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17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R E P U D I A T I O 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I/WE hereby repudiate the ${repudiation_object} on the ground that my/our consent was vitiated by:</w:t>
      </w:r>
    </w:p>
    <w:p>
      <w:pPr>
        <w:spacing w:before="0" w:after="80"/>
        <w:ind w:left="1080" w:hanging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[ ${chk_fraud} ]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Fraud. (State details) ${details_fraud}</w:t>
      </w:r>
    </w:p>
    <w:p>
      <w:pPr>
        <w:spacing w:before="0" w:after="80"/>
        <w:ind w:left="1080" w:hanging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[ ${chk_violence} ]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Violence. (State details) ${details_violence}</w:t>
      </w:r>
    </w:p>
    <w:p>
      <w:pPr>
        <w:spacing w:before="0" w:after="120"/>
        <w:ind w:left="1080" w:hanging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[ ${chk_intimidation} ]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Intimidation. (State details) ${details_intimidation}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${sworn_day} day of ${sworn_month}, ${sworn_year}.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${repudiating_complainant}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${repudiating_respondent}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SUBSCRIBED AND SWORN TO before me this ${sworn_day} day of ${sworn_month}, ${sworn_year} at ${place}.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${presiding_name}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${presiding_title}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Received and filed* this ________ day of ________________, 20____.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${punong_barangay}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Punong Barangay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both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 xml:space="preserve">* Failure to repudiate the settlement or the arbitration agreement within the time limits respectively set (ten [10] days from the date of settlement and five [5] days from the date of arbitration agreement) shall be deemed a waiver of the right to challenge on said grounds.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