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Yu Gothic" w:hAnsi="Yu Gothic"/>
          <w:sz w:val="44"/>
        </w:rPr>
        <w:t>ファシリテーターガイド — WHOシステム思考を、明日の外来でどう使うか</w:t>
      </w:r>
    </w:p>
    <w:p/>
    <w:p>
      <w:pPr>
        <w:pStyle w:val="Heading1"/>
      </w:pPr>
      <w:r>
        <w:rPr>
          <w:rFonts w:ascii="Yu Gothic" w:hAnsi="Yu Gothic"/>
          <w:sz w:val="32"/>
        </w:rPr>
        <w:t>1. チートシート(印刷して手元に持つ)</w:t>
      </w:r>
    </w:p>
    <w:p>
      <w:pPr>
        <w:pStyle w:val="Heading2"/>
      </w:pPr>
      <w:r>
        <w:rPr>
          <w:rFonts w:ascii="Yu Gothic" w:hAnsi="Yu Gothic"/>
          <w:sz w:val="28"/>
        </w:rPr>
        <w:t>必要物品</w:t>
      </w:r>
    </w:p>
    <w:p>
      <w:pPr>
        <w:pStyle w:val="ListBullet"/>
      </w:pPr>
      <w:r>
        <w:rPr>
          <w:rFonts w:ascii="Yu Gothic" w:hAnsi="Yu Gothic"/>
        </w:rPr>
        <w:t>スライド(slides-residents.md をPPTX化したもの)</w:t>
      </w:r>
    </w:p>
    <w:p>
      <w:pPr>
        <w:pStyle w:val="ListBullet"/>
      </w:pPr>
      <w:r>
        <w:rPr>
          <w:rFonts w:ascii="Yu Gothic" w:hAnsi="Yu Gothic"/>
        </w:rPr>
        <w:t>ホワイトボード or 模造紙 + マーカー(症例ワークの3つの繋がりを書き出す用)</w:t>
      </w:r>
    </w:p>
    <w:p>
      <w:pPr>
        <w:pStyle w:val="ListBullet"/>
      </w:pPr>
      <w:r>
        <w:rPr>
          <w:rFonts w:ascii="Yu Gothic" w:hAnsi="Yu Gothic"/>
        </w:rPr>
        <w:t>配布用チートシート(cheatsheet.md をA4で印刷)</w:t>
      </w:r>
    </w:p>
    <w:p>
      <w:pPr>
        <w:pStyle w:val="ListBullet"/>
      </w:pPr>
      <w:r>
        <w:rPr>
          <w:rFonts w:ascii="Yu Gothic" w:hAnsi="Yu Gothic"/>
        </w:rPr>
        <w:t>(任意)タイマー</w:t>
      </w:r>
    </w:p>
    <w:p>
      <w:pPr>
        <w:pStyle w:val="Heading2"/>
      </w:pPr>
      <w:r>
        <w:rPr>
          <w:rFonts w:ascii="Yu Gothic" w:hAnsi="Yu Gothic"/>
          <w:sz w:val="28"/>
        </w:rPr>
        <w:t>タイムライン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2088"/>
        <w:gridCol w:w="6230"/>
      </w:tblGrid>
      <w:tr>
        <w:tc>
          <w:tcPr>
            <w:tcW w:type="dxa" w:w="2880"/>
          </w:tcPr>
          <w:p>
            <w:r>
              <w:rPr>
                <w:rFonts w:ascii="Yu Gothic" w:hAnsi="Yu Gothic"/>
                <w:b/>
                <w:sz w:val="20"/>
              </w:rPr>
              <w:t>時間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b/>
                <w:sz w:val="20"/>
              </w:rPr>
              <w:t>セクション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b/>
                <w:sz w:val="20"/>
              </w:rPr>
              <w:t>声かけセリフ例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0:00-2:00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導入 + 持ち帰り3つの予告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「今日のゴールは、明日の外来で1問試せるようになることです。後半に進むにつれて視野が広がっていきますが、置いていきません」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2:00-6:00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症例 + 「次の一手は?」隣と30秒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「30秒、隣の人と相談してください。診断ではなく、自分なら次に何を聞くか/するか、で結構です」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6:00-9:00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「繋がりの見方」種明かし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「カルテに書かれていない情報をスライドに出します。これがあったら、皆さんの一手は変わりましたか?」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9:00-13:00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3つのフレーム転換 + 表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「左が今までのやり方、右がWHOの提言です。左が悪いわけではありません。両方を持ち替えできるようになるのが目標です」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13:00-16:00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明日の1問 + ふりかえりの型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「明日の外来の1人目で1回だけ試してみてください。失敗してもOKです」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16:00-19:00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半径を広げる(チーム→外来導線→自院→世界)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「ここからは、すぐにはできないけど "知っておくと外来の見え方が変わる" 話をします」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19:00-20:00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まとめ + 任意の宿題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「次回、試してみた話を1人1分で共有します」</w:t>
            </w:r>
          </w:p>
        </w:tc>
      </w:tr>
    </w:tbl>
    <w:p/>
    <w:p>
      <w:pPr>
        <w:pStyle w:val="Heading2"/>
      </w:pPr>
      <w:r>
        <w:rPr>
          <w:rFonts w:ascii="Yu Gothic" w:hAnsi="Yu Gothic"/>
          <w:sz w:val="28"/>
        </w:rPr>
        <w:t>困ったときの対処法</w:t>
      </w:r>
    </w:p>
    <w:p>
      <w:pPr>
        <w:pStyle w:val="ListBullet"/>
      </w:pPr>
      <w:r>
        <w:rPr>
          <w:rFonts w:ascii="Yu Gothic" w:hAnsi="Yu Gothic"/>
        </w:rPr>
        <w:t>症例ワークで誰も発言しない → 「正解はないので、まず "何を聞きたいか" を1人1つだけでOKです」</w:t>
      </w:r>
    </w:p>
    <w:p>
      <w:pPr>
        <w:pStyle w:val="ListBullet"/>
      </w:pPr>
      <w:r>
        <w:rPr>
          <w:rFonts w:ascii="Yu Gothic" w:hAnsi="Yu Gothic"/>
        </w:rPr>
        <w:t>「家庭医みたいなことは専門医にはできない」と言われたら → 「全部やる必要はありません。3つのうち1つだけでも持ち替えられたら今日は十分です」</w:t>
      </w:r>
    </w:p>
    <w:p>
      <w:pPr>
        <w:pStyle w:val="ListBullet"/>
      </w:pPr>
      <w:r>
        <w:rPr>
          <w:rFonts w:ascii="Yu Gothic" w:hAnsi="Yu Gothic"/>
        </w:rPr>
        <w:t>時間が押したら → Part 4(チーム/外来導線)を5分短縮し、「視野を広げる延長線上の話」とだけ触れる</w:t>
      </w:r>
    </w:p>
    <w:p>
      <w:pPr>
        <w:pStyle w:val="ListBullet"/>
      </w:pPr>
      <w:r>
        <w:rPr>
          <w:rFonts w:ascii="Yu Gothic" w:hAnsi="Yu Gothic"/>
        </w:rPr>
        <w:t>時間が余ったら → ホワイトボードにその場の1症例を書き出してもらい、繋がりを一緒に探すワークに切り替える</w:t>
      </w:r>
    </w:p>
    <w:p/>
    <w:p>
      <w:pPr>
        <w:pStyle w:val="Heading1"/>
      </w:pPr>
      <w:r>
        <w:rPr>
          <w:rFonts w:ascii="Yu Gothic" w:hAnsi="Yu Gothic"/>
          <w:sz w:val="32"/>
        </w:rPr>
        <w:t>2. インストラクショナルデザイン</w:t>
      </w:r>
    </w:p>
    <w:p>
      <w:pPr>
        <w:pStyle w:val="Heading2"/>
      </w:pPr>
      <w:r>
        <w:rPr>
          <w:rFonts w:ascii="Yu Gothic" w:hAnsi="Yu Gothic"/>
          <w:sz w:val="28"/>
        </w:rPr>
        <w:t>IDモデル: ガニェの9教授事象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50"/>
        <w:gridCol w:w="1845"/>
        <w:gridCol w:w="6765"/>
      </w:tblGrid>
      <w:tr>
        <w:tc>
          <w:tcPr>
            <w:tcW w:type="dxa" w:w="2880"/>
          </w:tcPr>
          <w:p>
            <w:r>
              <w:rPr>
                <w:rFonts w:ascii="Yu Gothic" w:hAnsi="Yu Gothic"/>
                <w:b/>
                <w:sz w:val="20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b/>
                <w:sz w:val="20"/>
              </w:rPr>
              <w:t>教授事象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b/>
                <w:sz w:val="20"/>
              </w:rPr>
              <w:t>本教材での実装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注意の獲得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65歳男性糖尿病症例の「次の一手は?」問いかけ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学習目標の予告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冒頭「持ち帰ってもらう3つ」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前提知識の想起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HbA1c, 服薬アドヒアランス等 既習概念の利用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新情報の提示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カルテ外の "繋がり情報" 開示 → 3つのフレーム転換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学習のガイダンス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症例への適用表(各転換を症例に当てはめる)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学習者の応答誘発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隣と30秒の対話、明日の1問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フィードバック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ファシリテーターからの即時フィードバック(声かけセリフ参照)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達成度の評価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任意の宿題「次回1人1分シェア」</w:t>
            </w:r>
          </w:p>
        </w:tc>
      </w:tr>
      <w:tr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保持と転移</w:t>
            </w:r>
          </w:p>
        </w:tc>
        <w:tc>
          <w:tcPr>
            <w:tcW w:type="dxa" w:w="2880"/>
          </w:tcPr>
          <w:p>
            <w:r>
              <w:rPr>
                <w:rFonts w:ascii="Yu Gothic" w:hAnsi="Yu Gothic"/>
                <w:sz w:val="20"/>
              </w:rPr>
              <w:t>チートシート配布 + 半径を広げる視点提示</w:t>
            </w:r>
          </w:p>
        </w:tc>
      </w:tr>
    </w:tbl>
    <w:p/>
    <w:p>
      <w:pPr>
        <w:pStyle w:val="Heading2"/>
      </w:pPr>
      <w:r>
        <w:rPr>
          <w:rFonts w:ascii="Yu Gothic" w:hAnsi="Yu Gothic"/>
          <w:sz w:val="28"/>
        </w:rPr>
        <w:t>学習目標(ブルーム分類法)</w:t>
      </w:r>
    </w:p>
    <w:p>
      <w:pPr>
        <w:pStyle w:val="ListBullet"/>
      </w:pPr>
      <w:r>
        <w:rPr>
          <w:rFonts w:ascii="Yu Gothic" w:hAnsi="Yu Gothic"/>
        </w:rPr>
        <w:t>理解レベル: WHO/NHS の3つのフレーム転換を自分の言葉で説明できる</w:t>
      </w:r>
    </w:p>
    <w:p>
      <w:pPr>
        <w:pStyle w:val="ListBullet"/>
      </w:pPr>
      <w:r>
        <w:rPr>
          <w:rFonts w:ascii="Yu Gothic" w:hAnsi="Yu Gothic"/>
        </w:rPr>
        <w:t>適用レベル: 1人の患者で「繋がりを意識した1問」を実施できる</w:t>
      </w:r>
    </w:p>
    <w:p>
      <w:pPr>
        <w:pStyle w:val="ListBullet"/>
      </w:pPr>
      <w:r>
        <w:rPr>
          <w:rFonts w:ascii="Yu Gothic" w:hAnsi="Yu Gothic"/>
        </w:rPr>
        <w:t>分析レベル: 自分の診療の中に "見落とされた繋がり" を特定できる</w:t>
      </w:r>
    </w:p>
    <w:p>
      <w:pPr>
        <w:pStyle w:val="ListBullet"/>
      </w:pPr>
      <w:r>
        <w:rPr>
          <w:rFonts w:ascii="Yu Gothic" w:hAnsi="Yu Gothic"/>
        </w:rPr>
        <w:t>(発展)創造レベル: 自院の外来導線・チーム運営のどこにシステム的な詰まりがあるかを言語化できる</w:t>
      </w:r>
    </w:p>
    <w:p>
      <w:r>
        <w:rPr>
          <w:rFonts w:ascii="Yu Gothic" w:hAnsi="Yu Gothic"/>
          <w:i/>
        </w:rPr>
        <w:t>初期研修医は理解〜適用、専攻医は分析〜創造まで届くことを期待。</w:t>
      </w:r>
    </w:p>
    <w:p>
      <w:r>
        <w:rPr>
          <w:rFonts w:ascii="Yu Gothic" w:hAnsi="Yu Gothic"/>
          <w:i/>
        </w:rPr>
        <w:t>ただし 明示的な層分けはせず、誰がどこまで届いても良いとする設計。</w:t>
      </w:r>
    </w:p>
    <w:p/>
    <w:p>
      <w:pPr>
        <w:pStyle w:val="Heading1"/>
      </w:pPr>
      <w:r>
        <w:rPr>
          <w:rFonts w:ascii="Yu Gothic" w:hAnsi="Yu Gothic"/>
          <w:sz w:val="32"/>
        </w:rPr>
        <w:t>3. ファシリテーター自身への注意</w:t>
      </w:r>
    </w:p>
    <w:p>
      <w:pPr>
        <w:pStyle w:val="ListBullet"/>
      </w:pPr>
      <w:r>
        <w:rPr>
          <w:rFonts w:ascii="Yu Gothic" w:hAnsi="Yu Gothic"/>
        </w:rPr>
        <w:t>「初期研修医はここまで、専攻医はここから」のような露骨な区切りは絶対に言わない。</w:t>
      </w:r>
    </w:p>
    <w:p>
      <w:r>
        <w:rPr>
          <w:rFonts w:ascii="Yu Gothic" w:hAnsi="Yu Gothic"/>
        </w:rPr>
        <w:t>本教材は「視野が広がっていく1本の旅」として設計されている。</w:t>
      </w:r>
    </w:p>
    <w:p>
      <w:pPr>
        <w:pStyle w:val="ListBullet"/>
      </w:pPr>
      <w:r>
        <w:rPr>
          <w:rFonts w:ascii="Yu Gothic" w:hAnsi="Yu Gothic"/>
        </w:rPr>
        <w:t>後半の組織レベルの話に入るとき、「ここからは興味のある人向け」とは言わず、「次は半径を広げてみましょう」 と言い換える。</w:t>
      </w:r>
    </w:p>
    <w:p>
      <w:pPr>
        <w:pStyle w:val="ListBullet"/>
      </w:pPr>
      <w:r>
        <w:rPr>
          <w:rFonts w:ascii="Yu Gothic" w:hAnsi="Yu Gothic"/>
        </w:rPr>
        <w:t>前半で帰っても何かを得てもらえる作りになっているので、後半に来てもついて来れない参加者がいても、それは設計通り。「全員が同じ深さに到達する必要はない」。</w:t>
      </w:r>
    </w:p>
    <w:p/>
    <w:p>
      <w:pPr>
        <w:pStyle w:val="Heading1"/>
      </w:pPr>
      <w:r>
        <w:rPr>
          <w:rFonts w:ascii="Yu Gothic" w:hAnsi="Yu Gothic"/>
          <w:sz w:val="32"/>
        </w:rPr>
        <w:t>4. 参考文献(改ページ後、配布用)</w:t>
      </w:r>
    </w:p>
    <w:p>
      <w:pPr>
        <w:pStyle w:val="Heading2"/>
      </w:pPr>
      <w:r>
        <w:rPr>
          <w:rFonts w:ascii="Yu Gothic" w:hAnsi="Yu Gothic"/>
          <w:sz w:val="28"/>
        </w:rPr>
        <w:t>主出典</w:t>
      </w:r>
    </w:p>
    <w:p>
      <w:pPr>
        <w:pStyle w:val="ListBullet"/>
      </w:pPr>
      <w:r>
        <w:rPr>
          <w:rFonts w:ascii="Yu Gothic" w:hAnsi="Yu Gothic"/>
        </w:rPr>
        <w:t>WHO/AHPSR (2026年2月). *Systems thinking for health systems strengthening – changing the frame*.</w:t>
      </w:r>
    </w:p>
    <w:p>
      <w:r>
        <w:rPr>
          <w:rFonts w:ascii="Yu Gothic" w:hAnsi="Yu Gothic"/>
        </w:rPr>
        <w:t>&lt;https://ahpsr.who.int/newsroom/news/item/02-02-2026-systems-thinking-for-health-systems-strengthening-changing-the-frame&gt;</w:t>
      </w:r>
    </w:p>
    <w:p>
      <w:pPr>
        <w:pStyle w:val="Heading2"/>
      </w:pPr>
      <w:r>
        <w:rPr>
          <w:rFonts w:ascii="Yu Gothic" w:hAnsi="Yu Gothic"/>
          <w:sz w:val="28"/>
        </w:rPr>
        <w:t>副出典</w:t>
      </w:r>
    </w:p>
    <w:p>
      <w:pPr>
        <w:pStyle w:val="ListBullet"/>
      </w:pPr>
      <w:r>
        <w:rPr>
          <w:rFonts w:ascii="Yu Gothic" w:hAnsi="Yu Gothic"/>
        </w:rPr>
        <w:t>WHO (2026年1月27日). *Embracing Complexity: Systems Thinking for Health Workforce Strengthening (Webinar)*.</w:t>
      </w:r>
    </w:p>
    <w:p>
      <w:r>
        <w:rPr>
          <w:rFonts w:ascii="Yu Gothic" w:hAnsi="Yu Gothic"/>
        </w:rPr>
        <w:t>&lt;https://www.who.int/news-room/events/detail/2026/01/27/default-calendar/embracing-complexity--systems-thinking-for-health-workforce-strengthening&gt;</w:t>
      </w:r>
    </w:p>
    <w:p>
      <w:pPr>
        <w:pStyle w:val="Heading2"/>
      </w:pPr>
      <w:r>
        <w:rPr>
          <w:rFonts w:ascii="Yu Gothic" w:hAnsi="Yu Gothic"/>
          <w:sz w:val="28"/>
        </w:rPr>
        <w:t>背景文献</w:t>
      </w:r>
    </w:p>
    <w:p>
      <w:pPr>
        <w:pStyle w:val="ListBullet"/>
      </w:pPr>
      <w:r>
        <w:rPr>
          <w:rFonts w:ascii="Yu Gothic" w:hAnsi="Yu Gothic"/>
        </w:rPr>
        <w:t>ドネラ・H・メドウズ『世界はシステムで動く — いま起きていることの本質をつかむ考え方』英治出版</w:t>
      </w:r>
    </w:p>
    <w:p>
      <w:r>
        <w:rPr>
          <w:rFonts w:ascii="Yu Gothic" w:hAnsi="Yu Gothic"/>
        </w:rPr>
        <w:t>&lt;https://www.amazon.co.jp/s?k=世界はシステムで動く+メドウズ+英治出版&gt;</w:t>
      </w:r>
    </w:p>
    <w:p>
      <w:pPr>
        <w:pStyle w:val="ListBullet"/>
      </w:pPr>
      <w:r>
        <w:rPr>
          <w:rFonts w:ascii="Yu Gothic" w:hAnsi="Yu Gothic"/>
        </w:rPr>
        <w:t>ピーター・M・センゲ『学習する組織 — システム思考で未来を創造する』英治出版</w:t>
      </w:r>
    </w:p>
    <w:p>
      <w:r>
        <w:rPr>
          <w:rFonts w:ascii="Yu Gothic" w:hAnsi="Yu Gothic"/>
        </w:rPr>
        <w:t>&lt;https://www.amazon.co.jp/s?k=学習する組織+センゲ+英治出版&gt;</w:t>
      </w:r>
    </w:p>
    <w:p>
      <w:pPr>
        <w:pStyle w:val="ListBullet"/>
      </w:pPr>
      <w:r>
        <w:rPr>
          <w:rFonts w:ascii="Yu Gothic" w:hAnsi="Yu Gothic"/>
        </w:rPr>
        <w:t>*Friday Night at the ER* (システム思考教育用シミュレーションゲーム)</w:t>
      </w:r>
    </w:p>
    <w:p>
      <w:r>
        <w:rPr>
          <w:rFonts w:ascii="Yu Gothic" w:hAnsi="Yu Gothic"/>
        </w:rPr>
        <w:t>&lt;https://www.amazon.co.jp/s?k=Friday+Night+at+the+ER+game&gt;</w:t>
      </w:r>
    </w:p>
    <w:p>
      <w:pPr>
        <w:pStyle w:val="Heading2"/>
      </w:pPr>
      <w:r>
        <w:rPr>
          <w:rFonts w:ascii="Yu Gothic" w:hAnsi="Yu Gothic"/>
          <w:sz w:val="28"/>
        </w:rPr>
        <w:t>関連する既存教材</w:t>
      </w:r>
    </w:p>
    <w:p>
      <w:pPr>
        <w:pStyle w:val="ListBullet"/>
      </w:pPr>
      <w:r>
        <w:rPr>
          <w:rFonts w:ascii="Yu Gothic" w:hAnsi="Yu Gothic"/>
        </w:rPr>
        <w:t>output/education/2026-04-01_systems-thinking-health-workforce/ — 全職員向け版(本教材は研修医個人の臨床判断起点で再構成)</w:t>
      </w:r>
    </w:p>
    <w:p>
      <w:r>
        <w:rPr>
          <w:rFonts w:ascii="Yu Gothic" w:hAnsi="Yu Gothic"/>
        </w:rPr>
        <w:t>*Generated by Scribe / 2026-04-09*</w:t>
      </w:r>
    </w:p>
    <w:p>
      <w:r>
        <w:br w:type="page"/>
      </w:r>
    </w:p>
    <w:p>
      <w:pPr>
        <w:pStyle w:val="Heading1"/>
      </w:pPr>
      <w:r>
        <w:rPr>
          <w:rFonts w:ascii="Yu Gothic" w:hAnsi="Yu Gothic"/>
        </w:rPr>
        <w:t>参考文献 QR コード一覧</w:t>
      </w:r>
    </w:p>
    <w:p>
      <w:r>
        <w:rPr>
          <w:rFonts w:ascii="Yu Gothic" w:hAnsi="Yu Gothic"/>
          <w:sz w:val="18"/>
        </w:rPr>
        <w:t>書籍は Amazon、論文・サイトは一次資料の URL を QR 化しています。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50"/>
        <w:gridCol w:w="4612"/>
        <w:gridCol w:w="850"/>
        <w:gridCol w:w="4197"/>
      </w:tblGrid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Systems thinking for health systems …</w:t>
            </w:r>
          </w:p>
          <w:p>
            <w:r>
              <w:rPr>
                <w:color w:val="444499"/>
                <w:sz w:val="12"/>
              </w:rPr>
              <w:t>https://ahpsr.who.int/newsroom/news/item/02-02-2026-sys...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Embracing Complexity: Systems Thinki…</w:t>
            </w:r>
          </w:p>
          <w:p>
            <w:r>
              <w:rPr>
                <w:color w:val="444499"/>
                <w:sz w:val="12"/>
              </w:rPr>
              <w:t>https://www.who.int/news-room/events/detail/2026/01/27/...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世界はシステムで動く — いま起きていることの本質をつかむ考え方</w:t>
            </w:r>
          </w:p>
          <w:p>
            <w:r>
              <w:rPr>
                <w:color w:val="444499"/>
                <w:sz w:val="12"/>
              </w:rPr>
              <w:t>https://www.amazon.co.jp/s?k=世界はシステムで動く+メドウズ+英治出版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学習する組織 — システム思考で未来を創造する</w:t>
            </w:r>
          </w:p>
          <w:p>
            <w:r>
              <w:rPr>
                <w:color w:val="444499"/>
                <w:sz w:val="12"/>
              </w:rPr>
              <w:t>https://www.amazon.co.jp/s?k=学習する組織+センゲ+英治出版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0000" cy="90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9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16"/>
              </w:rPr>
              <w:t>Friday Night at the ER</w:t>
            </w:r>
          </w:p>
          <w:p>
            <w:r>
              <w:rPr>
                <w:color w:val="444499"/>
                <w:sz w:val="12"/>
              </w:rPr>
              <w:t>https://www.amazon.co.jp/s?k=Friday+Night+at+the+ER+gam...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