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800"/>
        <w:jc w:val="center"/>
      </w:pPr>
      <w:r>
        <w:rPr>
          <w:rFonts w:ascii="Yu Gothic" w:hAnsi="Yu Gothic" w:eastAsia="Yu Gothic"/>
          <w:b/>
          <w:color w:val="2D2D2D"/>
          <w:sz w:val="48"/>
        </w:rPr>
        <w:t>認知バイアスを味方にする</w:t>
      </w:r>
    </w:p>
    <w:p>
      <w:pPr>
        <w:spacing w:after="240" w:before="0"/>
        <w:jc w:val="center"/>
      </w:pPr>
      <w:r>
        <w:rPr>
          <w:rFonts w:ascii="Yu Gothic" w:hAnsi="Yu Gothic" w:eastAsia="Yu Gothic"/>
          <w:b w:val="0"/>
          <w:color w:val="0D7377"/>
          <w:sz w:val="28"/>
        </w:rPr>
        <w:t>医療リーダーのための意思決定改善ガイド</w:t>
      </w:r>
    </w:p>
    <w:p>
      <w:pPr>
        <w:spacing w:after="480" w:before="0"/>
        <w:jc w:val="center"/>
      </w:pPr>
      <w:r>
        <w:rPr>
          <w:rFonts w:ascii="Yu Gothic" w:hAnsi="Yu Gothic" w:eastAsia="Yu Gothic"/>
          <w:b w:val="0"/>
          <w:color w:val="2D2D2D"/>
          <w:sz w:val="20"/>
        </w:rPr>
        <w:t>Journal of Management 統合レビュー (Fasolo, Heard &amp; Scopelliti, 2025) のエッセンスと明日からのアクション</w:t>
      </w:r>
    </w:p>
    <w:p>
      <w:pPr>
        <w:spacing w:after="80"/>
        <w:pBdr>
          <w:bottom w:val="single" w:sz="6" w:space="1" w:color="0D7377"/>
        </w:pBdr>
      </w:pPr>
    </w:p>
    <w:p>
      <w:pPr>
        <w:spacing w:before="320" w:after="160"/>
        <w:jc w:val="left"/>
        <w:pBdr>
          <w:bottom w:val="single" w:sz="8" w:space="4" w:color="0D7377"/>
        </w:pBdr>
      </w:pPr>
      <w:r>
        <w:rPr>
          <w:rFonts w:ascii="Yu Gothic" w:hAnsi="Yu Gothic" w:eastAsia="Yu Gothic"/>
          <w:b/>
          <w:color w:val="0D7377"/>
          <w:sz w:val="32"/>
        </w:rPr>
        <w:t>エグゼクティブサマリー</w:t>
      </w:r>
    </w:p>
    <w:p>
      <w:pPr>
        <w:spacing w:after="320" w:before="0"/>
        <w:jc w:val="left"/>
      </w:pPr>
      <w:r>
        <w:rPr>
          <w:rFonts w:ascii="Yu Gothic" w:hAnsi="Yu Gothic" w:eastAsia="Yu Gothic"/>
          <w:b w:val="0"/>
          <w:color w:val="2D2D2D"/>
          <w:sz w:val="21"/>
        </w:rPr>
        <w:t>医療現場における意思決定の質は、患者アウトカムと組織パフォーマンスの両方を左右する。しかし、臨床判断から経営判断まで、ヒトの認知バイアスが体系的にエラーを引き起こしていることが数多くの研究で示されてきた。Fasolo, Heard &amp; Scopelliti (2025) は、2000年から2023年までの実験研究を統合的にレビューし、バイアス緩和策を「デバイアシング（個人の思考習慣の修正）」と「チョイスアーキテクチャ（選択環境の設計）」の2つのアプローチに整理した。本ブリーフでは、この枠組みを医療リーダー向けに翻訳し、明日から実践できるアクションを提案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5" w:val="clear"/>
            <w:tcBorders>
              <w:top w:val="single" w:sz="12" w:space="0" w:color="0D7377"/>
              <w:bottom w:val="single" w:sz="12" w:space="0" w:color="0D7377"/>
              <w:start w:val="single" w:sz="12" w:space="0" w:color="0D7377"/>
              <w:end w:val="single" w:sz="12" w:space="0" w:color="0D7377"/>
            </w:tcBorders>
          </w:tcPr>
          <w:p>
            <w:pPr>
              <w:spacing w:before="200" w:after="200"/>
              <w:jc w:val="center"/>
            </w:pPr>
            <w:r>
              <w:rPr>
                <w:rFonts w:ascii="Yu Gothic" w:hAnsi="Yu Gothic" w:eastAsia="Yu Gothic"/>
                <w:b/>
                <w:color w:val="0D7377"/>
                <w:sz w:val="26"/>
              </w:rPr>
              <w:t>Key Message: バイアス対策は2つある。自分を変えるか、環境を変えるか。</w:t>
            </w:r>
          </w:p>
        </w:tc>
      </w:tr>
    </w:tbl>
    <w:p>
      <w:pPr>
        <w:spacing w:after="120" w:before="24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判断の複雑さに応じて最適なアプローチは異なる。複雑で非構造的な判断（診断推論など）にはデバイアシングが、単純で構造的な判断（処方・検査オーダーなど）にはチョイスアーキテクチャが有効であることが示されている。</w:t>
      </w:r>
    </w:p>
    <w:p>
      <w:r>
        <w:br w:type="page"/>
      </w:r>
    </w:p>
    <w:p>
      <w:pPr>
        <w:spacing w:before="320" w:after="160"/>
        <w:jc w:val="left"/>
        <w:pBdr>
          <w:bottom w:val="single" w:sz="8" w:space="4" w:color="0D7377"/>
        </w:pBdr>
      </w:pPr>
      <w:r>
        <w:rPr>
          <w:rFonts w:ascii="Yu Gothic" w:hAnsi="Yu Gothic" w:eastAsia="Yu Gothic"/>
          <w:b/>
          <w:color w:val="0D7377"/>
          <w:sz w:val="32"/>
        </w:rPr>
        <w:t>2つのアプローチ -- デバイアシング vs チョイスアーキテクチャ</w:t>
      </w:r>
    </w:p>
    <w:p>
      <w:pPr>
        <w:spacing w:after="240" w:before="0"/>
        <w:jc w:val="left"/>
      </w:pPr>
      <w:r>
        <w:rPr>
          <w:rFonts w:ascii="Yu Gothic" w:hAnsi="Yu Gothic" w:eastAsia="Yu Gothic"/>
          <w:b w:val="0"/>
          <w:color w:val="2D2D2D"/>
          <w:sz w:val="21"/>
        </w:rPr>
        <w:t>認知バイアスへの対策は大きく2つに分類される。個人の内面に働きかける「デバイアシング」と、外部環境を設計する「チョイスアーキテクチャ」である。両者は排他的ではなく、組み合わせることで効果が高ま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</w:r>
          </w:p>
        </w:tc>
        <w:tc>
          <w:tcPr>
            <w:tcW w:type="dxa" w:w="3249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デバイアシング</w:t>
            </w:r>
          </w:p>
        </w:tc>
        <w:tc>
          <w:tcPr>
            <w:tcW w:type="dxa" w:w="3249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チョイスアーキテクチャ</w:t>
            </w:r>
          </w:p>
        </w:tc>
      </w:tr>
      <w:tr>
        <w:tc>
          <w:tcPr>
            <w:tcW w:type="dxa" w:w="3249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9"/>
              </w:rPr>
              <w:t>意味</w:t>
            </w:r>
          </w:p>
        </w:tc>
        <w:tc>
          <w:tcPr>
            <w:tcW w:type="dxa" w:w="3249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個人の思考習慣を修正する</w:t>
            </w:r>
          </w:p>
        </w:tc>
        <w:tc>
          <w:tcPr>
            <w:tcW w:type="dxa" w:w="3249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選択環境を設計する</w:t>
            </w:r>
          </w:p>
        </w:tc>
      </w:tr>
      <w:tr>
        <w:tc>
          <w:tcPr>
            <w:tcW w:type="dxa" w:w="3249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9"/>
              </w:rPr>
              <w:t>有効な場面</w:t>
            </w:r>
          </w:p>
        </w:tc>
        <w:tc>
          <w:tcPr>
            <w:tcW w:type="dxa" w:w="3249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複雑・非構造的な判断</w:t>
            </w:r>
          </w:p>
        </w:tc>
        <w:tc>
          <w:tcPr>
            <w:tcW w:type="dxa" w:w="3249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単純・構造的な判断</w:t>
            </w:r>
          </w:p>
        </w:tc>
      </w:tr>
      <w:tr>
        <w:tc>
          <w:tcPr>
            <w:tcW w:type="dxa" w:w="3249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9"/>
              </w:rPr>
              <w:t>医療での例</w:t>
            </w:r>
          </w:p>
        </w:tc>
        <w:tc>
          <w:tcPr>
            <w:tcW w:type="dxa" w:w="3249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診断推論のトレーニング</w:t>
            </w:r>
          </w:p>
        </w:tc>
        <w:tc>
          <w:tcPr>
            <w:tcW w:type="dxa" w:w="3249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処方オーダーのデフォルト設定</w:t>
            </w:r>
          </w:p>
        </w:tc>
      </w:tr>
      <w:tr>
        <w:tc>
          <w:tcPr>
            <w:tcW w:type="dxa" w:w="3249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9"/>
              </w:rPr>
              <w:t>長所</w:t>
            </w:r>
          </w:p>
        </w:tc>
        <w:tc>
          <w:tcPr>
            <w:tcW w:type="dxa" w:w="3249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応用範囲が広い</w:t>
            </w:r>
          </w:p>
        </w:tc>
        <w:tc>
          <w:tcPr>
            <w:tcW w:type="dxa" w:w="3249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即効性がある</w:t>
            </w:r>
          </w:p>
        </w:tc>
      </w:tr>
      <w:tr>
        <w:tc>
          <w:tcPr>
            <w:tcW w:type="dxa" w:w="3249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9"/>
              </w:rPr>
              <w:t>短所</w:t>
            </w:r>
          </w:p>
        </w:tc>
        <w:tc>
          <w:tcPr>
            <w:tcW w:type="dxa" w:w="3249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時間がかかる</w:t>
            </w:r>
          </w:p>
        </w:tc>
        <w:tc>
          <w:tcPr>
            <w:tcW w:type="dxa" w:w="3249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9"/>
              </w:rPr>
              <w:t>複雑な判断には不向き</w:t>
            </w:r>
          </w:p>
        </w:tc>
      </w:tr>
    </w:tbl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12"/>
        </w:rPr>
      </w:r>
    </w:p>
    <w:p>
      <w:pPr>
        <w:spacing w:after="120" w:before="240"/>
        <w:jc w:val="left"/>
      </w:pPr>
      <w:r>
        <w:rPr>
          <w:rFonts w:ascii="Yu Gothic" w:hAnsi="Yu Gothic" w:eastAsia="Yu Gothic"/>
          <w:b/>
          <w:color w:val="0D7377"/>
          <w:sz w:val="24"/>
        </w:rPr>
        <w:t>3つの調整要因 (Moderating Layers)</w:t>
      </w:r>
    </w:p>
    <w:p>
      <w:pPr>
        <w:spacing w:after="40" w:before="120"/>
        <w:jc w:val="left"/>
      </w:pPr>
      <w:r>
        <w:rPr>
          <w:rFonts w:ascii="Yu Gothic" w:hAnsi="Yu Gothic" w:eastAsia="Yu Gothic"/>
          <w:b/>
          <w:color w:val="2D2D2D"/>
          <w:sz w:val="21"/>
        </w:rPr>
        <w:t>1. 意思決定の特性 (Decision Characteristics)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判断の複雑さ・構造化の度合い・時間的制約が、どちらのアプローチが有効かを左右する。</w:t>
      </w:r>
    </w:p>
    <w:p>
      <w:pPr>
        <w:spacing w:after="40" w:before="120"/>
        <w:jc w:val="left"/>
      </w:pPr>
      <w:r>
        <w:rPr>
          <w:rFonts w:ascii="Yu Gothic" w:hAnsi="Yu Gothic" w:eastAsia="Yu Gothic"/>
          <w:b/>
          <w:color w:val="2D2D2D"/>
          <w:sz w:val="21"/>
        </w:rPr>
        <w:t>2. 組織コンテキスト (Organization Context)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組織文化・インセンティブ構造・チーム構成が、介入の定着と効果に影響する。</w:t>
      </w:r>
    </w:p>
    <w:p>
      <w:pPr>
        <w:spacing w:after="40" w:before="120"/>
        <w:jc w:val="left"/>
      </w:pPr>
      <w:r>
        <w:rPr>
          <w:rFonts w:ascii="Yu Gothic" w:hAnsi="Yu Gothic" w:eastAsia="Yu Gothic"/>
          <w:b/>
          <w:color w:val="2D2D2D"/>
          <w:sz w:val="21"/>
        </w:rPr>
        <w:t>3. 個人差 (Individual Differences)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認知スタイル・専門性・メタ認知能力が、デバイアシングの効果を調整する。</w:t>
      </w:r>
    </w:p>
    <w:p>
      <w:r>
        <w:br w:type="page"/>
      </w:r>
    </w:p>
    <w:p>
      <w:pPr>
        <w:spacing w:before="320" w:after="160"/>
        <w:jc w:val="left"/>
        <w:pBdr>
          <w:bottom w:val="single" w:sz="8" w:space="4" w:color="0D7377"/>
        </w:pBdr>
      </w:pPr>
      <w:r>
        <w:rPr>
          <w:rFonts w:ascii="Yu Gothic" w:hAnsi="Yu Gothic" w:eastAsia="Yu Gothic"/>
          <w:b/>
          <w:color w:val="0D7377"/>
          <w:sz w:val="32"/>
        </w:rPr>
        <w:t>代表的な認知バイアスと医療での影響</w:t>
      </w:r>
    </w:p>
    <w:p>
      <w:pPr>
        <w:spacing w:after="200" w:before="0"/>
        <w:jc w:val="left"/>
      </w:pPr>
      <w:r>
        <w:rPr>
          <w:rFonts w:ascii="Yu Gothic" w:hAnsi="Yu Gothic" w:eastAsia="Yu Gothic"/>
          <w:b w:val="0"/>
          <w:color w:val="2D2D2D"/>
          <w:sz w:val="21"/>
        </w:rPr>
        <w:t>医療現場で特に影響の大きい6つの認知バイアスを整理する。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0"/>
        <w:gridCol w:w="1743"/>
        <w:gridCol w:w="1743"/>
        <w:gridCol w:w="2139"/>
        <w:gridCol w:w="3208"/>
      </w:tblGrid>
      <w:tr>
        <w:tc>
          <w:tcPr>
            <w:tcW w:type="dxa" w:w="454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1587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バイアス名</w:t>
            </w:r>
          </w:p>
        </w:tc>
        <w:tc>
          <w:tcPr>
            <w:tcW w:type="dxa" w:w="1417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英語名</w:t>
            </w:r>
          </w:p>
        </w:tc>
        <w:tc>
          <w:tcPr>
            <w:tcW w:type="dxa" w:w="2551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3118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医療での影響</w:t>
            </w:r>
          </w:p>
        </w:tc>
      </w:tr>
      <w:tr>
        <w:tc>
          <w:tcPr>
            <w:tcW w:type="dxa" w:w="454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1</w:t>
            </w:r>
          </w:p>
        </w:tc>
        <w:tc>
          <w:tcPr>
            <w:tcW w:type="dxa" w:w="1587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8"/>
              </w:rPr>
              <w:t>確証バイアス</w:t>
            </w:r>
          </w:p>
        </w:tc>
        <w:tc>
          <w:tcPr>
            <w:tcW w:type="dxa" w:w="1417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Confirmation Bias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最初の仮説を支持する情報ばかり集める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初期の診断仮説に固執し、矛盾する所見を見逃す（誤診）</w:t>
            </w:r>
          </w:p>
        </w:tc>
      </w:tr>
      <w:tr>
        <w:tc>
          <w:tcPr>
            <w:tcW w:type="dxa" w:w="454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2</w:t>
            </w:r>
          </w:p>
        </w:tc>
        <w:tc>
          <w:tcPr>
            <w:tcW w:type="dxa" w:w="1587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8"/>
              </w:rPr>
              <w:t>アンカリング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Anchoring</w:t>
            </w:r>
          </w:p>
        </w:tc>
        <w:tc>
          <w:tcPr>
            <w:tcW w:type="dxa" w:w="2551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最初の情報に引きずられる</w:t>
            </w:r>
          </w:p>
        </w:tc>
        <w:tc>
          <w:tcPr>
            <w:tcW w:type="dxa" w:w="3118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初期印象や紹介状の記載で方針が固定される</w:t>
            </w:r>
          </w:p>
        </w:tc>
      </w:tr>
      <w:tr>
        <w:tc>
          <w:tcPr>
            <w:tcW w:type="dxa" w:w="454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3</w:t>
            </w:r>
          </w:p>
        </w:tc>
        <w:tc>
          <w:tcPr>
            <w:tcW w:type="dxa" w:w="1587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8"/>
              </w:rPr>
              <w:t>利用可能性</w:t>
              <w:br/>
              <w:t>ヒューリスティック</w:t>
            </w:r>
          </w:p>
        </w:tc>
        <w:tc>
          <w:tcPr>
            <w:tcW w:type="dxa" w:w="1417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Availability</w:t>
              <w:br/>
              <w:t>Heuristic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印象的な事例に引きずられる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最近経験した症例に引きずられ、稀な疾患を過大評価する</w:t>
            </w:r>
          </w:p>
        </w:tc>
      </w:tr>
      <w:tr>
        <w:tc>
          <w:tcPr>
            <w:tcW w:type="dxa" w:w="454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4</w:t>
            </w:r>
          </w:p>
        </w:tc>
        <w:tc>
          <w:tcPr>
            <w:tcW w:type="dxa" w:w="1587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8"/>
              </w:rPr>
              <w:t>自動化バイアス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Automation</w:t>
              <w:br/>
              <w:t>Bias</w:t>
            </w:r>
          </w:p>
        </w:tc>
        <w:tc>
          <w:tcPr>
            <w:tcW w:type="dxa" w:w="2551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AI/ツールの出力を無条件に信頼する</w:t>
            </w:r>
          </w:p>
        </w:tc>
        <w:tc>
          <w:tcPr>
            <w:tcW w:type="dxa" w:w="3118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AIの診断支援を検証せず受け入れる（AI時代の新リスク）</w:t>
            </w:r>
          </w:p>
        </w:tc>
      </w:tr>
      <w:tr>
        <w:tc>
          <w:tcPr>
            <w:tcW w:type="dxa" w:w="454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5</w:t>
            </w:r>
          </w:p>
        </w:tc>
        <w:tc>
          <w:tcPr>
            <w:tcW w:type="dxa" w:w="1587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8"/>
              </w:rPr>
              <w:t>サンクコスト</w:t>
            </w:r>
          </w:p>
        </w:tc>
        <w:tc>
          <w:tcPr>
            <w:tcW w:type="dxa" w:w="1417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Sunk Cost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投資を回収したい心理に駆られる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効果のない治療を「ここまで続けたから」と継続する</w:t>
            </w:r>
          </w:p>
        </w:tc>
      </w:tr>
      <w:tr>
        <w:tc>
          <w:tcPr>
            <w:tcW w:type="dxa" w:w="454"/>
            <w:shd w:fill="0D7377" w:val="clear"/>
          </w:tcPr>
          <w:p>
            <w:pPr>
              <w:spacing w:before="60" w:after="6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6</w:t>
            </w:r>
          </w:p>
        </w:tc>
        <w:tc>
          <w:tcPr>
            <w:tcW w:type="dxa" w:w="1587"/>
            <w:shd w:fill="E8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/>
                <w:color w:val="0D7377"/>
                <w:sz w:val="18"/>
              </w:rPr>
              <w:t>集団思考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Groupthink</w:t>
            </w:r>
          </w:p>
        </w:tc>
        <w:tc>
          <w:tcPr>
            <w:tcW w:type="dxa" w:w="2551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チームの合意を優先する</w:t>
            </w:r>
          </w:p>
        </w:tc>
        <w:tc>
          <w:tcPr>
            <w:tcW w:type="dxa" w:w="3118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Yu Gothic" w:hAnsi="Yu Gothic" w:eastAsia="Yu Gothic"/>
                <w:b w:val="0"/>
                <w:color w:val="2D2D2D"/>
                <w:sz w:val="17"/>
              </w:rPr>
              <w:t>カンファレンスで異論が抑制され、多角的検討が阻害される</w:t>
            </w:r>
          </w:p>
        </w:tc>
      </w:tr>
    </w:tbl>
    <w:p>
      <w:r>
        <w:br w:type="page"/>
      </w:r>
    </w:p>
    <w:p>
      <w:pPr>
        <w:spacing w:before="320" w:after="160"/>
        <w:jc w:val="left"/>
        <w:pBdr>
          <w:bottom w:val="single" w:sz="8" w:space="4" w:color="0D7377"/>
        </w:pBdr>
      </w:pPr>
      <w:r>
        <w:rPr>
          <w:rFonts w:ascii="Yu Gothic" w:hAnsi="Yu Gothic" w:eastAsia="Yu Gothic"/>
          <w:b/>
          <w:color w:val="0D7377"/>
          <w:sz w:val="32"/>
        </w:rPr>
        <w:t>明日からできる6つのアクション</w:t>
      </w:r>
    </w:p>
    <w:p>
      <w:pPr>
        <w:spacing w:after="240" w:before="0"/>
        <w:jc w:val="left"/>
      </w:pPr>
      <w:r>
        <w:rPr>
          <w:rFonts w:ascii="Yu Gothic" w:hAnsi="Yu Gothic" w:eastAsia="Yu Gothic"/>
          <w:b w:val="0"/>
          <w:color w:val="2D2D2D"/>
          <w:sz w:val="21"/>
        </w:rPr>
        <w:t>理論を実践に落とし込む。以下の6つは、研究知見に基づきながらも明日の臨床・マネジメント現場ですぐに取り入れられるアクションである。</w:t>
      </w:r>
    </w:p>
    <w:p>
      <w:pPr>
        <w:spacing w:before="160" w:after="40"/>
      </w:pPr>
      <w:r>
        <w:rPr>
          <w:rFonts w:ascii="Yu Gothic" w:hAnsi="Yu Gothic" w:eastAsia="Yu Gothic"/>
          <w:b/>
          <w:color w:val="2D2D2D"/>
          <w:sz w:val="22"/>
        </w:rPr>
        <w:t>1.「逆を考える」習慣</w:t>
      </w:r>
      <w:r>
        <w:rPr>
          <w:rFonts w:ascii="Yu Gothic" w:hAnsi="Yu Gothic" w:eastAsia="Yu Gothic"/>
          <w:b w:val="0"/>
          <w:color w:val="0D7377"/>
          <w:sz w:val="18"/>
        </w:rPr>
        <w:t xml:space="preserve">  [デバイアシング]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判断する前に「もし逆だったら?」と30秒考える。確証バイアスへの最もシンプルな対抗策。鑑別診断を挙げた後、「この診断が間違っているとしたら、何が説明できないか?」と自問する。</w:t>
      </w:r>
    </w:p>
    <w:p>
      <w:pPr>
        <w:spacing w:before="160" w:after="40"/>
      </w:pPr>
      <w:r>
        <w:rPr>
          <w:rFonts w:ascii="Yu Gothic" w:hAnsi="Yu Gothic" w:eastAsia="Yu Gothic"/>
          <w:b/>
          <w:color w:val="2D2D2D"/>
          <w:sz w:val="22"/>
        </w:rPr>
        <w:t>2. チェックリストの導入</w:t>
      </w:r>
      <w:r>
        <w:rPr>
          <w:rFonts w:ascii="Yu Gothic" w:hAnsi="Yu Gothic" w:eastAsia="Yu Gothic"/>
          <w:b w:val="0"/>
          <w:color w:val="0D7377"/>
          <w:sz w:val="18"/>
        </w:rPr>
        <w:t xml:space="preserve">  [チョイスアーキテクチャ]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重要な意思決定に構造化チェックリストを使う。判断プロセスを外部化することで、個人の認知負荷を軽減し、見落としを防ぐ。</w:t>
      </w:r>
    </w:p>
    <w:p>
      <w:pPr>
        <w:spacing w:before="160" w:after="40"/>
      </w:pPr>
      <w:r>
        <w:rPr>
          <w:rFonts w:ascii="Yu Gothic" w:hAnsi="Yu Gothic" w:eastAsia="Yu Gothic"/>
          <w:b/>
          <w:color w:val="2D2D2D"/>
          <w:sz w:val="22"/>
        </w:rPr>
        <w:t>3.「プレモータム」の実施</w:t>
      </w:r>
      <w:r>
        <w:rPr>
          <w:rFonts w:ascii="Yu Gothic" w:hAnsi="Yu Gothic" w:eastAsia="Yu Gothic"/>
          <w:b w:val="0"/>
          <w:color w:val="0D7377"/>
          <w:sz w:val="18"/>
        </w:rPr>
        <w:t xml:space="preserve">  [デバイアシング]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決定を実行する前に、チームで「この決定が失敗するとしたら理由は何か?」を考える。事前に失敗シナリオを想像することで、集団思考を破り、リスクを先回りで特定できる。</w:t>
      </w:r>
    </w:p>
    <w:p>
      <w:pPr>
        <w:spacing w:before="160" w:after="40"/>
      </w:pPr>
      <w:r>
        <w:rPr>
          <w:rFonts w:ascii="Yu Gothic" w:hAnsi="Yu Gothic" w:eastAsia="Yu Gothic"/>
          <w:b/>
          <w:color w:val="2D2D2D"/>
          <w:sz w:val="22"/>
        </w:rPr>
        <w:t>4. デフォルト設計の見直し</w:t>
      </w:r>
      <w:r>
        <w:rPr>
          <w:rFonts w:ascii="Yu Gothic" w:hAnsi="Yu Gothic" w:eastAsia="Yu Gothic"/>
          <w:b w:val="0"/>
          <w:color w:val="0D7377"/>
          <w:sz w:val="18"/>
        </w:rPr>
        <w:t xml:space="preserve">  [チョイスアーキテクチャ]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処方や検査のデフォルト設定を最適化する。ジェネリック医薬品をデフォルトにする、不要な検査のチェックボックスを外しておくなど、「何もしなければ最善」の環境をつくる。</w:t>
      </w:r>
    </w:p>
    <w:p>
      <w:pPr>
        <w:spacing w:before="160" w:after="40"/>
      </w:pPr>
      <w:r>
        <w:rPr>
          <w:rFonts w:ascii="Yu Gothic" w:hAnsi="Yu Gothic" w:eastAsia="Yu Gothic"/>
          <w:b/>
          <w:color w:val="2D2D2D"/>
          <w:sz w:val="22"/>
        </w:rPr>
        <w:t>5.「悪魔の代弁者」の指名</w:t>
      </w:r>
      <w:r>
        <w:rPr>
          <w:rFonts w:ascii="Yu Gothic" w:hAnsi="Yu Gothic" w:eastAsia="Yu Gothic"/>
          <w:b w:val="0"/>
          <w:color w:val="0D7377"/>
          <w:sz w:val="18"/>
        </w:rPr>
        <w:t xml:space="preserve">  [デバイアシング + チョイスアーキテクチャ]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カンファレンスで1人を「反対意見を言う係」として明示的に指名する。役割として反論を制度化することで、集団思考のリスクを構造的に低減する。</w:t>
      </w:r>
    </w:p>
    <w:p>
      <w:pPr>
        <w:spacing w:before="160" w:after="40"/>
      </w:pPr>
      <w:r>
        <w:rPr>
          <w:rFonts w:ascii="Yu Gothic" w:hAnsi="Yu Gothic" w:eastAsia="Yu Gothic"/>
          <w:b/>
          <w:color w:val="2D2D2D"/>
          <w:sz w:val="22"/>
        </w:rPr>
        <w:t>6. AI出力への「3秒ルール」</w:t>
      </w:r>
      <w:r>
        <w:rPr>
          <w:rFonts w:ascii="Yu Gothic" w:hAnsi="Yu Gothic" w:eastAsia="Yu Gothic"/>
          <w:b w:val="0"/>
          <w:color w:val="0D7377"/>
          <w:sz w:val="18"/>
        </w:rPr>
        <w:t xml:space="preserve">  [デバイアシング]</w:t>
      </w:r>
    </w:p>
    <w:p>
      <w:pPr>
        <w:spacing w:after="80" w:before="0"/>
        <w:jc w:val="left"/>
      </w:pPr>
      <w:r>
        <w:rPr>
          <w:rFonts w:ascii="Yu Gothic" w:hAnsi="Yu Gothic" w:eastAsia="Yu Gothic"/>
          <w:b w:val="0"/>
          <w:color w:val="2D2D2D"/>
          <w:sz w:val="20"/>
        </w:rPr>
        <w:t>AIの答えを見る前に、自分の仮説を3秒で立てる。自動化バイアスを防ぎ、AIを「答え」ではなく「セカンドオピニオン」として活用する習慣を作る。</w:t>
      </w:r>
    </w:p>
    <w:p>
      <w:r>
        <w:br w:type="page"/>
      </w:r>
    </w:p>
    <w:p>
      <w:pPr>
        <w:spacing w:before="320" w:after="160"/>
        <w:jc w:val="left"/>
        <w:pBdr>
          <w:bottom w:val="single" w:sz="8" w:space="4" w:color="0D7377"/>
        </w:pBdr>
      </w:pPr>
      <w:r>
        <w:rPr>
          <w:rFonts w:ascii="Yu Gothic" w:hAnsi="Yu Gothic" w:eastAsia="Yu Gothic"/>
          <w:b/>
          <w:color w:val="0D7377"/>
          <w:sz w:val="32"/>
        </w:rPr>
        <w:t>参考文献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spacing w:before="160" w:after="40"/>
            </w:pPr>
            <w:r>
              <w:rPr>
                <w:rFonts w:ascii="Yu Gothic" w:hAnsi="Yu Gothic" w:eastAsia="Yu Gothic"/>
                <w:b/>
                <w:color w:val="0D7377"/>
                <w:sz w:val="19"/>
              </w:rPr>
              <w:t xml:space="preserve">[1] </w:t>
            </w:r>
            <w:r>
              <w:rPr>
                <w:rFonts w:ascii="Yu Gothic" w:hAnsi="Yu Gothic" w:eastAsia="Yu Gothic"/>
                <w:color w:val="2D2D2D"/>
                <w:sz w:val="18"/>
              </w:rPr>
              <w:t>Fasolo, B., Heard, C., &amp; Scopelliti, I. (2025). Mitigating Cognitive Bias to Improve Organizational Decisions: An Integrative Review, Framework, and Research Agenda. Journal of Management.</w:t>
            </w:r>
          </w:p>
          <w:p>
            <w:pPr>
              <w:spacing w:before="20" w:after="120"/>
            </w:pPr>
            <w:r>
              <w:rPr>
                <w:rFonts w:ascii="Yu Gothic" w:hAnsi="Yu Gothic" w:eastAsia="Yu Gothic"/>
                <w:color w:val="0D7377"/>
                <w:sz w:val="15"/>
              </w:rPr>
              <w:t>https://journals.sagepub.com/doi/10.1177/01492063241287188</w:t>
            </w:r>
          </w:p>
        </w:tc>
        <w:tc>
          <w:tcPr>
            <w:tcW w:type="dxa" w:w="1984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87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spacing w:before="160" w:after="40"/>
            </w:pPr>
            <w:r>
              <w:rPr>
                <w:rFonts w:ascii="Yu Gothic" w:hAnsi="Yu Gothic" w:eastAsia="Yu Gothic"/>
                <w:b/>
                <w:color w:val="0D7377"/>
                <w:sz w:val="19"/>
              </w:rPr>
              <w:t xml:space="preserve">[2] </w:t>
            </w:r>
            <w:r>
              <w:rPr>
                <w:rFonts w:ascii="Yu Gothic" w:hAnsi="Yu Gothic" w:eastAsia="Yu Gothic"/>
                <w:color w:val="2D2D2D"/>
                <w:sz w:val="18"/>
              </w:rPr>
              <w:t>Kahneman, D. (2011). Thinking, Fast and Slow. （邦訳: ダニエル・カーネマン『ファスト&amp;スロー』早川書房）</w:t>
            </w:r>
          </w:p>
          <w:p>
            <w:pPr>
              <w:spacing w:before="20" w:after="120"/>
            </w:pPr>
            <w:r>
              <w:rPr>
                <w:rFonts w:ascii="Yu Gothic" w:hAnsi="Yu Gothic" w:eastAsia="Yu Gothic"/>
                <w:color w:val="0D7377"/>
                <w:sz w:val="15"/>
              </w:rPr>
              <w:t>https://www.amazon.co.jp/dp/4150504105</w:t>
            </w:r>
          </w:p>
        </w:tc>
        <w:tc>
          <w:tcPr>
            <w:tcW w:type="dxa" w:w="1984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87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spacing w:before="160" w:after="40"/>
            </w:pPr>
            <w:r>
              <w:rPr>
                <w:rFonts w:ascii="Yu Gothic" w:hAnsi="Yu Gothic" w:eastAsia="Yu Gothic"/>
                <w:b/>
                <w:color w:val="0D7377"/>
                <w:sz w:val="19"/>
              </w:rPr>
              <w:t xml:space="preserve">[3] </w:t>
            </w:r>
            <w:r>
              <w:rPr>
                <w:rFonts w:ascii="Yu Gothic" w:hAnsi="Yu Gothic" w:eastAsia="Yu Gothic"/>
                <w:color w:val="2D2D2D"/>
                <w:sz w:val="18"/>
              </w:rPr>
              <w:t>Thaler, R. H., &amp; Sunstein, C. R. (2008). Nudge. （邦訳: リチャード・セイラー, キャス・サンスティーン『実践 行動経済学』日経BP）</w:t>
            </w:r>
          </w:p>
          <w:p>
            <w:pPr>
              <w:spacing w:before="20" w:after="120"/>
            </w:pPr>
            <w:r>
              <w:rPr>
                <w:rFonts w:ascii="Yu Gothic" w:hAnsi="Yu Gothic" w:eastAsia="Yu Gothic"/>
                <w:color w:val="0D7377"/>
                <w:sz w:val="15"/>
              </w:rPr>
              <w:t>https://www.amazon.co.jp/dp/4822249484</w:t>
            </w:r>
          </w:p>
        </w:tc>
        <w:tc>
          <w:tcPr>
            <w:tcW w:type="dxa" w:w="1984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left"/>
      </w:pPr>
      <w:r>
        <w:rPr>
          <w:rFonts w:ascii="Yu Gothic" w:hAnsi="Yu Gothic" w:eastAsia="Yu Gothic"/>
          <w:b w:val="0"/>
          <w:color w:val="2D2D2D"/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5" w:val="clear"/>
            <w:tcBorders>
              <w:top w:val="single" w:sz="12" w:space="0" w:color="0D7377"/>
              <w:bottom w:val="single" w:sz="12" w:space="0" w:color="0D7377"/>
              <w:start w:val="single" w:sz="12" w:space="0" w:color="0D7377"/>
              <w:end w:val="single" w:sz="12" w:space="0" w:color="0D7377"/>
            </w:tcBorders>
          </w:tcPr>
          <w:p>
            <w:pPr>
              <w:spacing w:before="200" w:after="200"/>
              <w:jc w:val="center"/>
            </w:pPr>
            <w:r>
              <w:rPr>
                <w:rFonts w:ascii="Yu Gothic" w:hAnsi="Yu Gothic" w:eastAsia="Yu Gothic"/>
                <w:b/>
                <w:color w:val="0D7377"/>
                <w:sz w:val="26"/>
              </w:rPr>
              <w:t>本資料は医療リーダーの意思決定改善を支援するために作成されました。</w:t>
              <w:br/>
              <w:t>学び方をデザインする -- Learning Design Lab</w:t>
            </w:r>
          </w:p>
        </w:tc>
      </w:tr>
    </w:tbl>
    <w:p>
      <w:pPr>
        <w:spacing w:after="120" w:before="240"/>
        <w:jc w:val="right"/>
      </w:pPr>
      <w:r>
        <w:rPr>
          <w:rFonts w:ascii="Yu Gothic" w:hAnsi="Yu Gothic" w:eastAsia="Yu Gothic"/>
          <w:b w:val="0"/>
          <w:color w:val="999999"/>
          <w:sz w:val="16"/>
        </w:rPr>
        <w:t>作成日: 2026-03-23 | Learning Design Lab</w:t>
      </w:r>
    </w:p>
    <w:sectPr w:rsidR="00FC693F" w:rsidRPr="0006063C" w:rsidSect="00034616">
      <w:pgSz w:w="12240" w:h="15840"/>
      <w:pgMar w:top="1134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