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33333"/>
          <w:sz w:val="44"/>
        </w:rPr>
        <w:t>ファシリテーターガイド</w:t>
      </w:r>
    </w:p>
    <w:p>
      <w:r>
        <w:rPr>
          <w:rFonts w:ascii="Calibri" w:hAnsi="Calibri"/>
          <w:b/>
          <w:i w:val="0"/>
          <w:sz w:val="28"/>
        </w:rPr>
        <w:t>2026年度診療報酬改定 — 総合診療・家庭医が押さえるべきポイント</w:t>
      </w:r>
    </w:p>
    <w:p>
      <w:r>
        <w:rPr>
          <w:rFonts w:ascii="Calibri" w:hAnsi="Calibri"/>
          <w:b w:val="0"/>
          <w:i/>
          <w:sz w:val="20"/>
        </w:rPr>
        <w:t>日付: 2026-03-27 | 研修医版15分 + 全スタッフ版10分</w:t>
      </w:r>
    </w:p>
    <w:p>
      <w:r>
        <w:rPr>
          <w:rFonts w:ascii="Calibri" w:hAnsi="Calibri"/>
          <w:b w:val="0"/>
          <w:i/>
          <w:sz w:val="20"/>
        </w:rPr>
        <w:t>スライドは概要のみ。詳細数字は本チートシートを印刷配布してください。</w:t>
      </w:r>
    </w:p>
    <w:p>
      <w:pPr>
        <w:pStyle w:val="Heading1"/>
      </w:pPr>
      <w:r>
        <w:t>Part 1: チートシート（印刷して手元に）</w:t>
      </w:r>
    </w:p>
    <w:p>
      <w:pPr>
        <w:pStyle w:val="Heading2"/>
      </w:pPr>
      <w:r>
        <w:t>必要物品</w:t>
      </w:r>
    </w:p>
    <w:p>
      <w:pPr>
        <w:pStyle w:val="ListBullet"/>
      </w:pPr>
      <w:r>
        <w:t>プロジェクター / モニター</w:t>
      </w:r>
    </w:p>
    <w:p>
      <w:pPr>
        <w:pStyle w:val="ListBullet"/>
      </w:pPr>
      <w:r>
        <w:t>タイマー（ディスカッション用）</w:t>
      </w:r>
    </w:p>
    <w:p>
      <w:pPr>
        <w:pStyle w:val="ListBullet"/>
      </w:pPr>
      <w:r>
        <w:t>本チートシートを人数分印刷</w:t>
      </w:r>
    </w:p>
    <w:p>
      <w:pPr>
        <w:pStyle w:val="ListBullet"/>
      </w:pPr>
      <w:r>
        <w:t>付箋 + ペン（任意）</w:t>
      </w:r>
    </w:p>
    <w:p>
      <w:pPr>
        <w:pStyle w:val="Heading2"/>
      </w:pPr>
      <w:r>
        <w:t>改定全体像</w:t>
      </w:r>
    </w:p>
    <w:p>
      <w:pPr>
        <w:pStyle w:val="Heading3"/>
      </w:pPr>
      <w:r>
        <w:t>本体+3.09%の内訳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134"/>
        <w:gridCol w:w="6236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改定率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賃上げ対応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+1.70%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ベースアップ評価料拡充（全職員対象化）、物価対応料新設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物価高騰対応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+0.76%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外来・在宅・入院の物価対応料を新設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食費・光熱水費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+0.09%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入院時食事療養費の引き上げ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経営改善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+0.44%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基本診療料の引き上げ（再診料+1点等）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合計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+3.09%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30年ぶりの大幅引き上げ</w:t>
            </w:r>
          </w:p>
        </w:tc>
      </w:tr>
    </w:tbl>
    <w:p/>
    <w:p>
      <w:pPr>
        <w:pStyle w:val="Heading3"/>
      </w:pPr>
      <w:r>
        <w:t>主な基本診療料の変更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417"/>
        <w:gridCol w:w="1417"/>
        <w:gridCol w:w="1417"/>
      </w:tblGrid>
      <w:tr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旧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新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増減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再診料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75点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76点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+1点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ベースアップ評価料(I) 初診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6点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17点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+11点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物価対応料 初診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―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2点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新設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物価対応料 再診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―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2点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新設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物価対応料 訪問診療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―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3点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新設</w:t>
            </w:r>
          </w:p>
        </w:tc>
      </w:tr>
    </w:tbl>
    <w:p/>
    <w:p>
      <w:pPr>
        <w:pStyle w:val="Heading2"/>
      </w:pPr>
      <w:r>
        <w:t>設定別ポイント一覧</w:t>
      </w:r>
    </w:p>
    <w:p>
      <w:pPr>
        <w:pStyle w:val="Heading3"/>
      </w:pPr>
      <w:r>
        <w:t>(A) 外来（診療所）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3969"/>
        <w:gridCol w:w="2835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変更内容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再診料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75点→76点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全再診に影響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機能強化加算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80点維持、BCP策定が施設基準に追加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経過措置2027/5/31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地域包括診療加算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認知症地域包括加算を統合、2区分化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加算1:(1)38点/(2)28点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生活習慣病管理料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眼科・歯科連携加算を新設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糖尿病合併症予防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ベースアップ評価料(I)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6点→17点、対象全職員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事務含む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物価対応料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初診2点/再診2点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2027年度倍増予定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電子的診療情報連携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初診最大15点（3区分）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マイナ利用率が鍵</w:t>
            </w:r>
          </w:p>
        </w:tc>
      </w:tr>
    </w:tbl>
    <w:p/>
    <w:p>
      <w:pPr>
        <w:pStyle w:val="Heading3"/>
      </w:pPr>
      <w:r>
        <w:t>(B) 入院（病院総合診療科）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3685"/>
        <w:gridCol w:w="2835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変更内容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地域包括医療病棟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6区分に細分化（3367-3066点）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急性期併設有無で区分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地域包括ケア病棟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入院料1: 2838点→2955点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40日以内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急性期一般入院料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新区分の新設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役割分担加速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総合的診療機能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小児・周産期等の幅広い対応を高評価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地域の砦に有利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入院ベースアップ評価料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拡充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全職員対象化</w:t>
            </w:r>
          </w:p>
        </w:tc>
      </w:tr>
    </w:tbl>
    <w:p/>
    <w:p>
      <w:pPr>
        <w:pStyle w:val="Heading3"/>
      </w:pPr>
      <w:r>
        <w:t>(C) 救急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3685"/>
        <w:gridCol w:w="2835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変更内容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院内トリアージ実施料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廃止→体制加算に再編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救急外来管理料の加算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ウォークイン患者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夜間休日にも加算可能に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時間外対応も評価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時間外救急搬送加算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休日夜間300/平日夜間250/休日日中200点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時間帯別段階評価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救急患者連携搬送料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+600点の引き上げ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高齢者下り搬送促進</w:t>
            </w:r>
          </w:p>
        </w:tc>
      </w:tr>
    </w:tbl>
    <w:p/>
    <w:p>
      <w:pPr>
        <w:pStyle w:val="Heading3"/>
      </w:pPr>
      <w:r>
        <w:t>(D) 診療所 ⇄ 病院連携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3685"/>
        <w:gridCol w:w="2835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変更内容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紹介患者受入加算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60点（新設）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200床未満が対象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救急患者連携搬送料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高次→地域の転院搬送を評価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急性期→地域連携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電子的診療情報連携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電子カルテ情報共有サービス参加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情報基盤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眼科・歯科連携加算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新設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かかりつけ→専門医</w:t>
            </w:r>
          </w:p>
        </w:tc>
      </w:tr>
    </w:tbl>
    <w:p/>
    <w:p>
      <w:pPr>
        <w:pStyle w:val="Heading2"/>
      </w:pPr>
      <w:r>
        <w:t>医療DX 3区分の詳細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417"/>
        <w:gridCol w:w="6520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初診点数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主な要件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区分1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15点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電子処方箋発行実績 + 電子カルテ情報共有サービス + マイナ保険証利用率30%以上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区分2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9点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電子処方箋発行体制（実績 or 導入計画）+ DXシステム整備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区分3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4点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マイナ保険証利用体制 + 基本的DXシステム</w:t>
            </w:r>
          </w:p>
        </w:tc>
      </w:tr>
    </w:tbl>
    <w:p/>
    <w:p>
      <w:pPr>
        <w:pStyle w:val="Heading2"/>
      </w:pPr>
      <w:r>
        <w:t>BCP策定チェックリスト</w:t>
      </w:r>
    </w:p>
    <w:p>
      <w:pPr>
        <w:pStyle w:val="Heading3"/>
      </w:pPr>
      <w:r>
        <w:t>対象施設基準</w:t>
      </w:r>
    </w:p>
    <w:p>
      <w:pPr>
        <w:pStyle w:val="ListBullet"/>
      </w:pPr>
      <w:r>
        <w:t>機能強化加算（経過措置: 2027年5月31日まで）</w:t>
      </w:r>
    </w:p>
    <w:p>
      <w:pPr>
        <w:pStyle w:val="ListBullet"/>
      </w:pPr>
      <w:r>
        <w:t>在宅療養支援診療所（在支診）</w:t>
      </w:r>
    </w:p>
    <w:p>
      <w:pPr>
        <w:pStyle w:val="ListBullet"/>
      </w:pPr>
      <w:r>
        <w:t>在宅療養支援病院（在支病）</w:t>
      </w:r>
    </w:p>
    <w:p>
      <w:pPr>
        <w:pStyle w:val="Heading3"/>
      </w:pPr>
      <w:r>
        <w:t>自然災害対応</w:t>
      </w:r>
    </w:p>
    <w:p>
      <w:pPr>
        <w:pStyle w:val="ListBullet"/>
      </w:pPr>
      <w:r>
        <w:t>災害時の優先業務の特定</w:t>
      </w:r>
    </w:p>
    <w:p>
      <w:pPr>
        <w:pStyle w:val="ListBullet"/>
      </w:pPr>
      <w:r>
        <w:t>職員の安否確認・参集計画</w:t>
      </w:r>
    </w:p>
    <w:p>
      <w:pPr>
        <w:pStyle w:val="ListBullet"/>
      </w:pPr>
      <w:r>
        <w:t>患者の安全確保手順（入院・外来・在宅）</w:t>
      </w:r>
    </w:p>
    <w:p>
      <w:pPr>
        <w:pStyle w:val="ListBullet"/>
      </w:pPr>
      <w:r>
        <w:t>ライフライン途絶時の対応</w:t>
      </w:r>
    </w:p>
    <w:p>
      <w:pPr>
        <w:pStyle w:val="ListBullet"/>
      </w:pPr>
      <w:r>
        <w:t>医薬品・医療材料の備蓄計画</w:t>
      </w:r>
    </w:p>
    <w:p>
      <w:pPr>
        <w:pStyle w:val="ListBullet"/>
      </w:pPr>
      <w:r>
        <w:t>地域の他医療機関との連携体制</w:t>
      </w:r>
    </w:p>
    <w:p>
      <w:pPr>
        <w:pStyle w:val="ListBullet"/>
      </w:pPr>
      <w:r>
        <w:t>避難計画と訓練スケジュール</w:t>
      </w:r>
    </w:p>
    <w:p>
      <w:pPr>
        <w:pStyle w:val="Heading3"/>
      </w:pPr>
      <w:r>
        <w:t>サイバーセキュリティ対応</w:t>
      </w:r>
    </w:p>
    <w:p>
      <w:pPr>
        <w:pStyle w:val="ListBullet"/>
      </w:pPr>
      <w:r>
        <w:t>電子カルテシステムのバックアップ体制</w:t>
      </w:r>
    </w:p>
    <w:p>
      <w:pPr>
        <w:pStyle w:val="ListBullet"/>
      </w:pPr>
      <w:r>
        <w:t>ランサムウェア等のサイバー攻撃時の対応手順</w:t>
      </w:r>
    </w:p>
    <w:p>
      <w:pPr>
        <w:pStyle w:val="ListBullet"/>
      </w:pPr>
      <w:r>
        <w:t>紙カルテへの切り替え手順</w:t>
      </w:r>
    </w:p>
    <w:p>
      <w:pPr>
        <w:pStyle w:val="ListBullet"/>
      </w:pPr>
      <w:r>
        <w:t>インシデント報告・連絡体制</w:t>
      </w:r>
    </w:p>
    <w:p>
      <w:pPr>
        <w:pStyle w:val="ListBullet"/>
      </w:pPr>
      <w:r>
        <w:t>職員へのセキュリティ教育計画</w:t>
      </w:r>
    </w:p>
    <w:p>
      <w:pPr>
        <w:pStyle w:val="Heading2"/>
      </w:pPr>
      <w:r>
        <w:t>スケジュール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969"/>
        <w:gridCol w:w="3118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対応事項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担当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2026年3月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改定内容の情報収集・院内勉強会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医事課・管理部門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2026年4月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告示・通知の詳細確認、届出準備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医事課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2026年4月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マイナ保険証利用率の現状把握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受付・医事課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2026年4月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BCP策定の着手（未策定の場合）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管理部門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2026年5月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新加算の届出提出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医事課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2026年5月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レセコンのアップデート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システム担当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2026年6月1日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改定施行日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全部門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2027年5月31日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BCP策定の経過措置期限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管理部門</w:t>
            </w:r>
          </w:p>
        </w:tc>
      </w:tr>
    </w:tbl>
    <w:p/>
    <w:p>
      <w:pPr>
        <w:pStyle w:val="Heading1"/>
      </w:pPr>
      <w:r>
        <w:t>Part 2: タイムライン + 声かけセリフ</w:t>
      </w:r>
    </w:p>
    <w:p>
      <w:pPr>
        <w:pStyle w:val="Heading2"/>
      </w:pPr>
      <w:r>
        <w:t>研修医・専攻医版（15分）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984"/>
        <w:gridCol w:w="5669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スライド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あなたのセリフ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0-1分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S1 インパクト数字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「+3.09%、30年ぶりの大幅改定です」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1-2分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S2 学習目標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「今日の15分で、この3つを目指します」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2-3分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S3 Quick Poll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「前回改定覚えてる人？少なければ安心してください、今日で追いつきます」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3-5分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S4 4つの柱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「賃上げ・DX・かかりつけ・急性期再編。全部に関わるのが総合診療医」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5-7分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S5 給料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「ベースアップ6→17点。全職員対象に拡大」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7-8分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S6 DX再編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「DXは利用率30%がキーナンバー」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8-10分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S7 BCP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「BCP策定が義務化。期限は2027年5月末」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10-13分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S8 ディスカッション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「ペアで3分、どうぞ！」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13-15分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S9 持ち帰り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「3つの宿題。チートシートは配布資料です」</w:t>
            </w:r>
          </w:p>
        </w:tc>
      </w:tr>
    </w:tbl>
    <w:p/>
    <w:p>
      <w:pPr>
        <w:pStyle w:val="Heading2"/>
      </w:pPr>
      <w:r>
        <w:t>全スタッフ版（10分）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984"/>
        <w:gridCol w:w="5669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スライド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あなたのセリフ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0-1分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S1 インパクト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「皆さんの給料に直結する改定です」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1-2分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S2 目標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「10分で3つだけ覚えて帰ってください」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2-4分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S3 給料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「ベースアップ6→17点。事務も介護も全職員対象に」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4-6分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S4 マイナ保険証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「利用率30%で収入が変わります」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6-7分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S5 BCP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「BCPが義務化。2027年5月末までに策定」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7-9分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S6 対話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「一番影響がありそうなのは？2分どうぞ」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9-10分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S7 まとめ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「3つ：賃上げ原資、マイナ保険証、BCP」</w:t>
            </w:r>
          </w:p>
        </w:tc>
      </w:tr>
    </w:tbl>
    <w:p/>
    <w:p>
      <w:pPr>
        <w:pStyle w:val="Heading2"/>
      </w:pPr>
      <w:r>
        <w:t>困ったときの対処法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「結局、給料はいくら上がるの？」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「病院全体の収入は確実に増えます。配分は経営判断ですが、原資が増えたのは事実」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「BCPなんて意味がない」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「能登半島地震でBCPがあった施設とない施設で対応に大差が出ました」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「マイナ保険証を嫌がる患者への対応は？」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「強制ではなく、メリットを伝えて自然に促す声かけが大切です」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時間が余った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「BCP策定、あなたの部署で最初にやるべきことは？」で追加ディスカッション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時間が足りない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ディスカッションを1分に圧縮、「配布資料参照」で省略</w:t>
            </w:r>
          </w:p>
        </w:tc>
      </w:tr>
    </w:tbl>
    <w:p/>
    <w:p>
      <w:pPr>
        <w:pStyle w:val="Heading1"/>
      </w:pPr>
      <w:r>
        <w:t>Part 3: 参考文献</w:t>
      </w:r>
    </w:p>
    <w:p>
      <w:pPr>
        <w:pStyle w:val="Heading2"/>
      </w:pPr>
      <w:r>
        <w:t>QRコード付き参考文献一覧</w:t>
      </w:r>
    </w:p>
    <w:p>
      <w:r>
        <w:rPr>
          <w:rFonts w:ascii="Calibri" w:hAnsi="Calibri"/>
          <w:b w:val="0"/>
          <w:i/>
          <w:sz w:val="18"/>
        </w:rPr>
        <w:t>スマートフォンでQRコードを読み取ると各ソースに直接アクセスできます。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厚生労働省 — 令和8年度診療報酬改定</w:t>
            </w:r>
          </w:p>
          <w:p>
            <w:r>
              <w:rPr>
                <w:color w:val="444499"/>
                <w:sz w:val="12"/>
              </w:rPr>
              <w:t>https://www.mhlw.go.jp/stf/newpage_67729.html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ユヤマ — 改定の要点と対策</w:t>
            </w:r>
          </w:p>
          <w:p>
            <w:r>
              <w:rPr>
                <w:color w:val="444499"/>
                <w:sz w:val="12"/>
              </w:rPr>
              <w:t>https://www.yuyama.co.jp/column/medicalrecord/revision-...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東京保険医協会 — 改定を読む</w:t>
            </w:r>
          </w:p>
          <w:p>
            <w:r>
              <w:rPr>
                <w:color w:val="444499"/>
                <w:sz w:val="12"/>
              </w:rPr>
              <w:t>https://www.hokeni.org/docs/2026021200012/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GemMed — 電子的診療情報連携</w:t>
            </w:r>
          </w:p>
          <w:p>
            <w:r>
              <w:rPr>
                <w:color w:val="444499"/>
                <w:sz w:val="12"/>
              </w:rPr>
              <w:t>https://gemmed.ghc-j.com/?p=72932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GemMed — 救急外来対応評価</w:t>
            </w:r>
          </w:p>
          <w:p>
            <w:r>
              <w:rPr>
                <w:color w:val="444499"/>
                <w:sz w:val="12"/>
              </w:rPr>
              <w:t>https://gemmed.ghc-j.com/?p=73050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GemMed — 地域包括医療病棟</w:t>
            </w:r>
          </w:p>
          <w:p>
            <w:r>
              <w:rPr>
                <w:color w:val="444499"/>
                <w:sz w:val="12"/>
              </w:rPr>
              <w:t>https://gemmed.ghc-j.com/?p=72897</w:t>
            </w:r>
          </w:p>
        </w:tc>
      </w:tr>
    </w:tbl>
    <w:p/>
    <w:p>
      <w:r>
        <w:rPr>
          <w:rFonts w:ascii="Calibri" w:hAnsi="Calibri"/>
          <w:b w:val="0"/>
          <w:i w:val="0"/>
        </w:rPr>
      </w:r>
    </w:p>
    <w:p>
      <w:r>
        <w:rPr>
          <w:rFonts w:ascii="Calibri" w:hAnsi="Calibri"/>
          <w:b w:val="0"/>
          <w:i/>
          <w:sz w:val="16"/>
        </w:rPr>
        <w:t>Scribe Agent | AI Agent Team | 2026-03-27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