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Yu Gothic" w:hAnsi="Yu Gothic"/>
          <w:sz w:val="44"/>
        </w:rPr>
        <w:t>ファシリテーターガイド — 行動経済学で支えるメンタルヘルス診療</w:t>
      </w:r>
    </w:p>
    <w:p/>
    <w:p>
      <w:pPr>
        <w:pStyle w:val="Heading1"/>
      </w:pPr>
      <w:r>
        <w:rPr>
          <w:rFonts w:ascii="Yu Gothic" w:hAnsi="Yu Gothic"/>
          <w:sz w:val="32"/>
        </w:rPr>
        <w:t>1. チートシート(印刷して手元に持つ)</w:t>
      </w:r>
    </w:p>
    <w:p>
      <w:pPr>
        <w:pStyle w:val="Heading2"/>
      </w:pPr>
      <w:r>
        <w:rPr>
          <w:rFonts w:ascii="Yu Gothic" w:hAnsi="Yu Gothic"/>
          <w:sz w:val="28"/>
        </w:rPr>
        <w:t>必要物品</w:t>
      </w:r>
    </w:p>
    <w:p>
      <w:pPr>
        <w:pStyle w:val="ListBullet"/>
      </w:pPr>
      <w:r>
        <w:rPr>
          <w:rFonts w:ascii="Yu Gothic" w:hAnsi="Yu Gothic"/>
        </w:rPr>
        <w:t>スライド(slides-residents.md をPPTX化したもの)</w:t>
      </w:r>
    </w:p>
    <w:p>
      <w:pPr>
        <w:pStyle w:val="ListBullet"/>
      </w:pPr>
      <w:r>
        <w:rPr>
          <w:rFonts w:ascii="Yu Gothic" w:hAnsi="Yu Gothic"/>
        </w:rPr>
        <w:t>ホワイトボード or 模造紙 + マーカー(3つの介入のデシジョンツリーを書き出す用)</w:t>
      </w:r>
    </w:p>
    <w:p>
      <w:pPr>
        <w:pStyle w:val="ListBullet"/>
      </w:pPr>
      <w:r>
        <w:rPr>
          <w:rFonts w:ascii="Yu Gothic" w:hAnsi="Yu Gothic"/>
        </w:rPr>
        <w:t>配布用チートシート(cheatsheet.md をA4で印刷)</w:t>
      </w:r>
    </w:p>
    <w:p>
      <w:pPr>
        <w:pStyle w:val="ListBullet"/>
      </w:pPr>
      <w:r>
        <w:rPr>
          <w:rFonts w:ascii="Yu Gothic" w:hAnsi="Yu Gothic"/>
        </w:rPr>
        <w:t>(任意)タイマー</w:t>
      </w:r>
    </w:p>
    <w:p>
      <w:pPr>
        <w:pStyle w:val="Heading2"/>
      </w:pPr>
      <w:r>
        <w:rPr>
          <w:rFonts w:ascii="Yu Gothic" w:hAnsi="Yu Gothic"/>
          <w:sz w:val="28"/>
        </w:rPr>
        <w:t>タイムライン</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Yu Gothic" w:hAnsi="Yu Gothic"/>
                <w:b/>
                <w:sz w:val="20"/>
              </w:rPr>
              <w:t>時間</w:t>
            </w:r>
          </w:p>
        </w:tc>
        <w:tc>
          <w:tcPr>
            <w:tcW w:type="dxa" w:w="2880"/>
          </w:tcPr>
          <w:p>
            <w:r>
              <w:rPr>
                <w:rFonts w:ascii="Yu Gothic" w:hAnsi="Yu Gothic"/>
                <w:b/>
                <w:sz w:val="20"/>
              </w:rPr>
              <w:t>セクション</w:t>
            </w:r>
          </w:p>
        </w:tc>
        <w:tc>
          <w:tcPr>
            <w:tcW w:type="dxa" w:w="2880"/>
          </w:tcPr>
          <w:p>
            <w:r>
              <w:rPr>
                <w:rFonts w:ascii="Yu Gothic" w:hAnsi="Yu Gothic"/>
                <w:b/>
                <w:sz w:val="20"/>
              </w:rPr>
              <w:t>声かけセリフ例</w:t>
            </w:r>
          </w:p>
        </w:tc>
      </w:tr>
      <w:tr>
        <w:tc>
          <w:tcPr>
            <w:tcW w:type="dxa" w:w="2880"/>
          </w:tcPr>
          <w:p>
            <w:r>
              <w:rPr>
                <w:rFonts w:ascii="Yu Gothic" w:hAnsi="Yu Gothic"/>
                <w:sz w:val="20"/>
              </w:rPr>
              <w:t>0:00-2:00</w:t>
            </w:r>
          </w:p>
        </w:tc>
        <w:tc>
          <w:tcPr>
            <w:tcW w:type="dxa" w:w="2880"/>
          </w:tcPr>
          <w:p>
            <w:r>
              <w:rPr>
                <w:rFonts w:ascii="Yu Gothic" w:hAnsi="Yu Gothic"/>
                <w:sz w:val="20"/>
              </w:rPr>
              <w:t>導入 + 持ち帰り3つの予告</w:t>
            </w:r>
          </w:p>
        </w:tc>
        <w:tc>
          <w:tcPr>
            <w:tcW w:type="dxa" w:w="2880"/>
          </w:tcPr>
          <w:p>
            <w:r>
              <w:rPr>
                <w:rFonts w:ascii="Yu Gothic" w:hAnsi="Yu Gothic"/>
                <w:sz w:val="20"/>
              </w:rPr>
              <w:t>「今日のゴールは "説教ではなく設計" という言い換えを身につけることです。後半は外来全体の話になりますが、一緒に歩いていきましょう」</w:t>
            </w:r>
          </w:p>
        </w:tc>
      </w:tr>
      <w:tr>
        <w:tc>
          <w:tcPr>
            <w:tcW w:type="dxa" w:w="2880"/>
          </w:tcPr>
          <w:p>
            <w:r>
              <w:rPr>
                <w:rFonts w:ascii="Yu Gothic" w:hAnsi="Yu Gothic"/>
                <w:sz w:val="20"/>
              </w:rPr>
              <w:t>2:00-5:00</w:t>
            </w:r>
          </w:p>
        </w:tc>
        <w:tc>
          <w:tcPr>
            <w:tcW w:type="dxa" w:w="2880"/>
          </w:tcPr>
          <w:p>
            <w:r>
              <w:rPr>
                <w:rFonts w:ascii="Yu Gothic" w:hAnsi="Yu Gothic"/>
                <w:sz w:val="20"/>
              </w:rPr>
              <w:t>38歳うつ病女性の症例 + 「この人は怠けているのか?」隣と30秒</w:t>
            </w:r>
          </w:p>
        </w:tc>
        <w:tc>
          <w:tcPr>
            <w:tcW w:type="dxa" w:w="2880"/>
          </w:tcPr>
          <w:p>
            <w:r>
              <w:rPr>
                <w:rFonts w:ascii="Yu Gothic" w:hAnsi="Yu Gothic"/>
                <w:sz w:val="20"/>
              </w:rPr>
              <w:t>「答えは出さなくていいです。"自分なら次に何を聞くか" を1つだけ決めてみてください」</w:t>
            </w:r>
          </w:p>
        </w:tc>
      </w:tr>
      <w:tr>
        <w:tc>
          <w:tcPr>
            <w:tcW w:type="dxa" w:w="2880"/>
          </w:tcPr>
          <w:p>
            <w:r>
              <w:rPr>
                <w:rFonts w:ascii="Yu Gothic" w:hAnsi="Yu Gothic"/>
                <w:sz w:val="20"/>
              </w:rPr>
              <w:t>5:00-9:00</w:t>
            </w:r>
          </w:p>
        </w:tc>
        <w:tc>
          <w:tcPr>
            <w:tcW w:type="dxa" w:w="2880"/>
          </w:tcPr>
          <w:p>
            <w:r>
              <w:rPr>
                <w:rFonts w:ascii="Yu Gothic" w:hAnsi="Yu Gothic"/>
                <w:sz w:val="20"/>
              </w:rPr>
              <w:t>報酬処理の連続体 + 3つの病名の共通回路</w:t>
            </w:r>
          </w:p>
        </w:tc>
        <w:tc>
          <w:tcPr>
            <w:tcW w:type="dxa" w:w="2880"/>
          </w:tcPr>
          <w:p>
            <w:r>
              <w:rPr>
                <w:rFonts w:ascii="Yu Gothic" w:hAnsi="Yu Gothic"/>
                <w:sz w:val="20"/>
              </w:rPr>
              <w:t>「うつ病・依存症・不安症は別物のようで、実は同じ回路の異なる現れ方です。これは患者本人にも伝えていい話です」</w:t>
            </w:r>
          </w:p>
        </w:tc>
      </w:tr>
      <w:tr>
        <w:tc>
          <w:tcPr>
            <w:tcW w:type="dxa" w:w="2880"/>
          </w:tcPr>
          <w:p>
            <w:r>
              <w:rPr>
                <w:rFonts w:ascii="Yu Gothic" w:hAnsi="Yu Gothic"/>
                <w:sz w:val="20"/>
              </w:rPr>
              <w:t>9:00-13:00</w:t>
            </w:r>
          </w:p>
        </w:tc>
        <w:tc>
          <w:tcPr>
            <w:tcW w:type="dxa" w:w="2880"/>
          </w:tcPr>
          <w:p>
            <w:r>
              <w:rPr>
                <w:rFonts w:ascii="Yu Gothic" w:hAnsi="Yu Gothic"/>
                <w:sz w:val="20"/>
              </w:rPr>
              <w:t>3つの介入 + デシジョンツリー</w:t>
            </w:r>
          </w:p>
        </w:tc>
        <w:tc>
          <w:tcPr>
            <w:tcW w:type="dxa" w:w="2880"/>
          </w:tcPr>
          <w:p>
            <w:r>
              <w:rPr>
                <w:rFonts w:ascii="Yu Gothic" w:hAnsi="Yu Gothic"/>
                <w:sz w:val="20"/>
              </w:rPr>
              <w:t>「最初は1つだけ覚えてくれればOK。3つあるんだ、ということを知っておくだけでも来週から見え方が変わります」</w:t>
            </w:r>
          </w:p>
        </w:tc>
      </w:tr>
      <w:tr>
        <w:tc>
          <w:tcPr>
            <w:tcW w:type="dxa" w:w="2880"/>
          </w:tcPr>
          <w:p>
            <w:r>
              <w:rPr>
                <w:rFonts w:ascii="Yu Gothic" w:hAnsi="Yu Gothic"/>
                <w:sz w:val="20"/>
              </w:rPr>
              <w:t>13:00-16:00</w:t>
            </w:r>
          </w:p>
        </w:tc>
        <w:tc>
          <w:tcPr>
            <w:tcW w:type="dxa" w:w="2880"/>
          </w:tcPr>
          <w:p>
            <w:r>
              <w:rPr>
                <w:rFonts w:ascii="Yu Gothic" w:hAnsi="Yu Gothic"/>
                <w:sz w:val="20"/>
              </w:rPr>
              <w:t>説教モード→設計モードの言い換え + 30秒ふりかえり</w:t>
            </w:r>
          </w:p>
        </w:tc>
        <w:tc>
          <w:tcPr>
            <w:tcW w:type="dxa" w:w="2880"/>
          </w:tcPr>
          <w:p>
            <w:r>
              <w:rPr>
                <w:rFonts w:ascii="Yu Gothic" w:hAnsi="Yu Gothic"/>
                <w:sz w:val="20"/>
              </w:rPr>
              <w:t>「明日の外来1人目で1つだけ試してみてください。失敗してもOKです」</w:t>
            </w:r>
          </w:p>
        </w:tc>
      </w:tr>
      <w:tr>
        <w:tc>
          <w:tcPr>
            <w:tcW w:type="dxa" w:w="2880"/>
          </w:tcPr>
          <w:p>
            <w:r>
              <w:rPr>
                <w:rFonts w:ascii="Yu Gothic" w:hAnsi="Yu Gothic"/>
                <w:sz w:val="20"/>
              </w:rPr>
              <w:t>16:00-19:00</w:t>
            </w:r>
          </w:p>
        </w:tc>
        <w:tc>
          <w:tcPr>
            <w:tcW w:type="dxa" w:w="2880"/>
          </w:tcPr>
          <w:p>
            <w:r>
              <w:rPr>
                <w:rFonts w:ascii="Yu Gothic" w:hAnsi="Yu Gothic"/>
                <w:sz w:val="20"/>
              </w:rPr>
              <w:t>外来導線 → Penn Nudge Unit → マクロ予測</w:t>
            </w:r>
          </w:p>
        </w:tc>
        <w:tc>
          <w:tcPr>
            <w:tcW w:type="dxa" w:w="2880"/>
          </w:tcPr>
          <w:p>
            <w:r>
              <w:rPr>
                <w:rFonts w:ascii="Yu Gothic" w:hAnsi="Yu Gothic"/>
                <w:sz w:val="20"/>
              </w:rPr>
              <w:t>「ここからは、すぐにはできないけど "知っておくと外来の見え方が変わる" 話をします」</w:t>
            </w:r>
          </w:p>
        </w:tc>
      </w:tr>
      <w:tr>
        <w:tc>
          <w:tcPr>
            <w:tcW w:type="dxa" w:w="2880"/>
          </w:tcPr>
          <w:p>
            <w:r>
              <w:rPr>
                <w:rFonts w:ascii="Yu Gothic" w:hAnsi="Yu Gothic"/>
                <w:sz w:val="20"/>
              </w:rPr>
              <w:t>19:00-20:00</w:t>
            </w:r>
          </w:p>
        </w:tc>
        <w:tc>
          <w:tcPr>
            <w:tcW w:type="dxa" w:w="2880"/>
          </w:tcPr>
          <w:p>
            <w:r>
              <w:rPr>
                <w:rFonts w:ascii="Yu Gothic" w:hAnsi="Yu Gothic"/>
                <w:sz w:val="20"/>
              </w:rPr>
              <w:t>まとめ + 任意の宿題</w:t>
            </w:r>
          </w:p>
        </w:tc>
        <w:tc>
          <w:tcPr>
            <w:tcW w:type="dxa" w:w="2880"/>
          </w:tcPr>
          <w:p>
            <w:r>
              <w:rPr>
                <w:rFonts w:ascii="Yu Gothic" w:hAnsi="Yu Gothic"/>
                <w:sz w:val="20"/>
              </w:rPr>
              <w:t>「次回、試してみた話を1人1分で共有します」</w:t>
            </w:r>
          </w:p>
        </w:tc>
      </w:tr>
    </w:tbl>
    <w:p/>
    <w:p>
      <w:pPr>
        <w:pStyle w:val="Heading2"/>
      </w:pPr>
      <w:r>
        <w:rPr>
          <w:rFonts w:ascii="Yu Gothic" w:hAnsi="Yu Gothic"/>
          <w:sz w:val="28"/>
        </w:rPr>
        <w:t>困ったときの対処法</w:t>
      </w:r>
    </w:p>
    <w:p>
      <w:pPr>
        <w:pStyle w:val="ListBullet"/>
      </w:pPr>
      <w:r>
        <w:rPr>
          <w:rFonts w:ascii="Yu Gothic" w:hAnsi="Yu Gothic"/>
        </w:rPr>
        <w:t>「怠惰じゃないって言われても、結局やらせなきゃいけないんでしょ?」 → 「はい、ただし "やらせ方" の選択肢が3つあります、というのが今日の話です」</w:t>
      </w:r>
    </w:p>
    <w:p>
      <w:pPr>
        <w:pStyle w:val="ListBullet"/>
      </w:pPr>
      <w:r>
        <w:rPr>
          <w:rFonts w:ascii="Yu Gothic" w:hAnsi="Yu Gothic"/>
        </w:rPr>
        <w:t>「ナッジって操作っぽくて気持ち悪い」 → 「とても大事な感覚です。だからこそ "本人が選んだコミットメントデバイス" のような介入があります。3つの介入はパターナリズムの強さで使い分けます」</w:t>
      </w:r>
    </w:p>
    <w:p>
      <w:pPr>
        <w:pStyle w:val="ListBullet"/>
      </w:pPr>
      <w:r>
        <w:rPr>
          <w:rFonts w:ascii="Yu Gothic" w:hAnsi="Yu Gothic"/>
        </w:rPr>
        <w:t>時間が押したら → Part 4(外来導線)とPart 5(Nudge Unit)を統合し、「外来導線そのものが行動設計です」と1スライドだけで触れる</w:t>
      </w:r>
    </w:p>
    <w:p>
      <w:pPr>
        <w:pStyle w:val="ListBullet"/>
      </w:pPr>
      <w:r>
        <w:rPr>
          <w:rFonts w:ascii="Yu Gothic" w:hAnsi="Yu Gothic"/>
        </w:rPr>
        <w:t>時間が余ったら → 参加者に「自分の外来でナッジっぽいなと思うこと」を1つずつ挙げてもらう</w:t>
      </w:r>
    </w:p>
    <w:p/>
    <w:p>
      <w:pPr>
        <w:pStyle w:val="Heading1"/>
      </w:pPr>
      <w:r>
        <w:rPr>
          <w:rFonts w:ascii="Yu Gothic" w:hAnsi="Yu Gothic"/>
          <w:sz w:val="32"/>
        </w:rPr>
        <w:t>2. インストラクショナルデザイン</w:t>
      </w:r>
    </w:p>
    <w:p>
      <w:pPr>
        <w:pStyle w:val="Heading2"/>
      </w:pPr>
      <w:r>
        <w:rPr>
          <w:rFonts w:ascii="Yu Gothic" w:hAnsi="Yu Gothic"/>
          <w:sz w:val="28"/>
        </w:rPr>
        <w:t>IDモデル: ガニェの9教授事象</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Yu Gothic" w:hAnsi="Yu Gothic"/>
                <w:b/>
                <w:sz w:val="20"/>
              </w:rPr>
              <w:t>#</w:t>
            </w:r>
          </w:p>
        </w:tc>
        <w:tc>
          <w:tcPr>
            <w:tcW w:type="dxa" w:w="2880"/>
          </w:tcPr>
          <w:p>
            <w:r>
              <w:rPr>
                <w:rFonts w:ascii="Yu Gothic" w:hAnsi="Yu Gothic"/>
                <w:b/>
                <w:sz w:val="20"/>
              </w:rPr>
              <w:t>教授事象</w:t>
            </w:r>
          </w:p>
        </w:tc>
        <w:tc>
          <w:tcPr>
            <w:tcW w:type="dxa" w:w="2880"/>
          </w:tcPr>
          <w:p>
            <w:r>
              <w:rPr>
                <w:rFonts w:ascii="Yu Gothic" w:hAnsi="Yu Gothic"/>
                <w:b/>
                <w:sz w:val="20"/>
              </w:rPr>
              <w:t>本教材での実装</w:t>
            </w:r>
          </w:p>
        </w:tc>
      </w:tr>
      <w:tr>
        <w:tc>
          <w:tcPr>
            <w:tcW w:type="dxa" w:w="2880"/>
          </w:tcPr>
          <w:p>
            <w:r>
              <w:rPr>
                <w:rFonts w:ascii="Yu Gothic" w:hAnsi="Yu Gothic"/>
                <w:sz w:val="20"/>
              </w:rPr>
              <w:t>1</w:t>
            </w:r>
          </w:p>
        </w:tc>
        <w:tc>
          <w:tcPr>
            <w:tcW w:type="dxa" w:w="2880"/>
          </w:tcPr>
          <w:p>
            <w:r>
              <w:rPr>
                <w:rFonts w:ascii="Yu Gothic" w:hAnsi="Yu Gothic"/>
                <w:sz w:val="20"/>
              </w:rPr>
              <w:t>注意の獲得</w:t>
            </w:r>
          </w:p>
        </w:tc>
        <w:tc>
          <w:tcPr>
            <w:tcW w:type="dxa" w:w="2880"/>
          </w:tcPr>
          <w:p>
            <w:r>
              <w:rPr>
                <w:rFonts w:ascii="Yu Gothic" w:hAnsi="Yu Gothic"/>
                <w:sz w:val="20"/>
              </w:rPr>
              <w:t>38歳うつ病女性症例「この人は怠けているのか?」</w:t>
            </w:r>
          </w:p>
        </w:tc>
      </w:tr>
      <w:tr>
        <w:tc>
          <w:tcPr>
            <w:tcW w:type="dxa" w:w="2880"/>
          </w:tcPr>
          <w:p>
            <w:r>
              <w:rPr>
                <w:rFonts w:ascii="Yu Gothic" w:hAnsi="Yu Gothic"/>
                <w:sz w:val="20"/>
              </w:rPr>
              <w:t>2</w:t>
            </w:r>
          </w:p>
        </w:tc>
        <w:tc>
          <w:tcPr>
            <w:tcW w:type="dxa" w:w="2880"/>
          </w:tcPr>
          <w:p>
            <w:r>
              <w:rPr>
                <w:rFonts w:ascii="Yu Gothic" w:hAnsi="Yu Gothic"/>
                <w:sz w:val="20"/>
              </w:rPr>
              <w:t>学習目標の予告</w:t>
            </w:r>
          </w:p>
        </w:tc>
        <w:tc>
          <w:tcPr>
            <w:tcW w:type="dxa" w:w="2880"/>
          </w:tcPr>
          <w:p>
            <w:r>
              <w:rPr>
                <w:rFonts w:ascii="Yu Gothic" w:hAnsi="Yu Gothic"/>
                <w:sz w:val="20"/>
              </w:rPr>
              <w:t>冒頭「持ち帰ってもらう3つ」</w:t>
            </w:r>
          </w:p>
        </w:tc>
      </w:tr>
      <w:tr>
        <w:tc>
          <w:tcPr>
            <w:tcW w:type="dxa" w:w="2880"/>
          </w:tcPr>
          <w:p>
            <w:r>
              <w:rPr>
                <w:rFonts w:ascii="Yu Gothic" w:hAnsi="Yu Gothic"/>
                <w:sz w:val="20"/>
              </w:rPr>
              <w:t>3</w:t>
            </w:r>
          </w:p>
        </w:tc>
        <w:tc>
          <w:tcPr>
            <w:tcW w:type="dxa" w:w="2880"/>
          </w:tcPr>
          <w:p>
            <w:r>
              <w:rPr>
                <w:rFonts w:ascii="Yu Gothic" w:hAnsi="Yu Gothic"/>
                <w:sz w:val="20"/>
              </w:rPr>
              <w:t>前提知識の想起</w:t>
            </w:r>
          </w:p>
        </w:tc>
        <w:tc>
          <w:tcPr>
            <w:tcW w:type="dxa" w:w="2880"/>
          </w:tcPr>
          <w:p>
            <w:r>
              <w:rPr>
                <w:rFonts w:ascii="Yu Gothic" w:hAnsi="Yu Gothic"/>
                <w:sz w:val="20"/>
              </w:rPr>
              <w:t>うつ病・服薬アドヒアランス・既習の生活習慣指導</w:t>
            </w:r>
          </w:p>
        </w:tc>
      </w:tr>
      <w:tr>
        <w:tc>
          <w:tcPr>
            <w:tcW w:type="dxa" w:w="2880"/>
          </w:tcPr>
          <w:p>
            <w:r>
              <w:rPr>
                <w:rFonts w:ascii="Yu Gothic" w:hAnsi="Yu Gothic"/>
                <w:sz w:val="20"/>
              </w:rPr>
              <w:t>4</w:t>
            </w:r>
          </w:p>
        </w:tc>
        <w:tc>
          <w:tcPr>
            <w:tcW w:type="dxa" w:w="2880"/>
          </w:tcPr>
          <w:p>
            <w:r>
              <w:rPr>
                <w:rFonts w:ascii="Yu Gothic" w:hAnsi="Yu Gothic"/>
                <w:sz w:val="20"/>
              </w:rPr>
              <w:t>新情報の提示</w:t>
            </w:r>
          </w:p>
        </w:tc>
        <w:tc>
          <w:tcPr>
            <w:tcW w:type="dxa" w:w="2880"/>
          </w:tcPr>
          <w:p>
            <w:r>
              <w:rPr>
                <w:rFonts w:ascii="Yu Gothic" w:hAnsi="Yu Gothic"/>
                <w:sz w:val="20"/>
              </w:rPr>
              <w:t>報酬処理の連続体 → 3つの介入 → デシジョンツリー</w:t>
            </w:r>
          </w:p>
        </w:tc>
      </w:tr>
      <w:tr>
        <w:tc>
          <w:tcPr>
            <w:tcW w:type="dxa" w:w="2880"/>
          </w:tcPr>
          <w:p>
            <w:r>
              <w:rPr>
                <w:rFonts w:ascii="Yu Gothic" w:hAnsi="Yu Gothic"/>
                <w:sz w:val="20"/>
              </w:rPr>
              <w:t>5</w:t>
            </w:r>
          </w:p>
        </w:tc>
        <w:tc>
          <w:tcPr>
            <w:tcW w:type="dxa" w:w="2880"/>
          </w:tcPr>
          <w:p>
            <w:r>
              <w:rPr>
                <w:rFonts w:ascii="Yu Gothic" w:hAnsi="Yu Gothic"/>
                <w:sz w:val="20"/>
              </w:rPr>
              <w:t>学習のガイダンス</w:t>
            </w:r>
          </w:p>
        </w:tc>
        <w:tc>
          <w:tcPr>
            <w:tcW w:type="dxa" w:w="2880"/>
          </w:tcPr>
          <w:p>
            <w:r>
              <w:rPr>
                <w:rFonts w:ascii="Yu Gothic" w:hAnsi="Yu Gothic"/>
                <w:sz w:val="20"/>
              </w:rPr>
              <w:t>症例への当てはめ表(各介入をこの症例に適用)</w:t>
            </w:r>
          </w:p>
        </w:tc>
      </w:tr>
      <w:tr>
        <w:tc>
          <w:tcPr>
            <w:tcW w:type="dxa" w:w="2880"/>
          </w:tcPr>
          <w:p>
            <w:r>
              <w:rPr>
                <w:rFonts w:ascii="Yu Gothic" w:hAnsi="Yu Gothic"/>
                <w:sz w:val="20"/>
              </w:rPr>
              <w:t>6</w:t>
            </w:r>
          </w:p>
        </w:tc>
        <w:tc>
          <w:tcPr>
            <w:tcW w:type="dxa" w:w="2880"/>
          </w:tcPr>
          <w:p>
            <w:r>
              <w:rPr>
                <w:rFonts w:ascii="Yu Gothic" w:hAnsi="Yu Gothic"/>
                <w:sz w:val="20"/>
              </w:rPr>
              <w:t>学習者の応答誘発</w:t>
            </w:r>
          </w:p>
        </w:tc>
        <w:tc>
          <w:tcPr>
            <w:tcW w:type="dxa" w:w="2880"/>
          </w:tcPr>
          <w:p>
            <w:r>
              <w:rPr>
                <w:rFonts w:ascii="Yu Gothic" w:hAnsi="Yu Gothic"/>
                <w:sz w:val="20"/>
              </w:rPr>
              <w:t>隣と30秒、説教→設計の言い換え練習</w:t>
            </w:r>
          </w:p>
        </w:tc>
      </w:tr>
      <w:tr>
        <w:tc>
          <w:tcPr>
            <w:tcW w:type="dxa" w:w="2880"/>
          </w:tcPr>
          <w:p>
            <w:r>
              <w:rPr>
                <w:rFonts w:ascii="Yu Gothic" w:hAnsi="Yu Gothic"/>
                <w:sz w:val="20"/>
              </w:rPr>
              <w:t>7</w:t>
            </w:r>
          </w:p>
        </w:tc>
        <w:tc>
          <w:tcPr>
            <w:tcW w:type="dxa" w:w="2880"/>
          </w:tcPr>
          <w:p>
            <w:r>
              <w:rPr>
                <w:rFonts w:ascii="Yu Gothic" w:hAnsi="Yu Gothic"/>
                <w:sz w:val="20"/>
              </w:rPr>
              <w:t>フィードバック</w:t>
            </w:r>
          </w:p>
        </w:tc>
        <w:tc>
          <w:tcPr>
            <w:tcW w:type="dxa" w:w="2880"/>
          </w:tcPr>
          <w:p>
            <w:r>
              <w:rPr>
                <w:rFonts w:ascii="Yu Gothic" w:hAnsi="Yu Gothic"/>
                <w:sz w:val="20"/>
              </w:rPr>
              <w:t>ファシリテーターからの声かけ(セリフ集参照)</w:t>
            </w:r>
          </w:p>
        </w:tc>
      </w:tr>
      <w:tr>
        <w:tc>
          <w:tcPr>
            <w:tcW w:type="dxa" w:w="2880"/>
          </w:tcPr>
          <w:p>
            <w:r>
              <w:rPr>
                <w:rFonts w:ascii="Yu Gothic" w:hAnsi="Yu Gothic"/>
                <w:sz w:val="20"/>
              </w:rPr>
              <w:t>8</w:t>
            </w:r>
          </w:p>
        </w:tc>
        <w:tc>
          <w:tcPr>
            <w:tcW w:type="dxa" w:w="2880"/>
          </w:tcPr>
          <w:p>
            <w:r>
              <w:rPr>
                <w:rFonts w:ascii="Yu Gothic" w:hAnsi="Yu Gothic"/>
                <w:sz w:val="20"/>
              </w:rPr>
              <w:t>達成度の評価</w:t>
            </w:r>
          </w:p>
        </w:tc>
        <w:tc>
          <w:tcPr>
            <w:tcW w:type="dxa" w:w="2880"/>
          </w:tcPr>
          <w:p>
            <w:r>
              <w:rPr>
                <w:rFonts w:ascii="Yu Gothic" w:hAnsi="Yu Gothic"/>
                <w:sz w:val="20"/>
              </w:rPr>
              <w:t>任意の宿題「次回1人1分シェア」</w:t>
            </w:r>
          </w:p>
        </w:tc>
      </w:tr>
      <w:tr>
        <w:tc>
          <w:tcPr>
            <w:tcW w:type="dxa" w:w="2880"/>
          </w:tcPr>
          <w:p>
            <w:r>
              <w:rPr>
                <w:rFonts w:ascii="Yu Gothic" w:hAnsi="Yu Gothic"/>
                <w:sz w:val="20"/>
              </w:rPr>
              <w:t>9</w:t>
            </w:r>
          </w:p>
        </w:tc>
        <w:tc>
          <w:tcPr>
            <w:tcW w:type="dxa" w:w="2880"/>
          </w:tcPr>
          <w:p>
            <w:r>
              <w:rPr>
                <w:rFonts w:ascii="Yu Gothic" w:hAnsi="Yu Gothic"/>
                <w:sz w:val="20"/>
              </w:rPr>
              <w:t>保持と転移</w:t>
            </w:r>
          </w:p>
        </w:tc>
        <w:tc>
          <w:tcPr>
            <w:tcW w:type="dxa" w:w="2880"/>
          </w:tcPr>
          <w:p>
            <w:r>
              <w:rPr>
                <w:rFonts w:ascii="Yu Gothic" w:hAnsi="Yu Gothic"/>
                <w:sz w:val="20"/>
              </w:rPr>
              <w:t>チートシート配布 + 半径を広げる視点提示</w:t>
            </w:r>
          </w:p>
        </w:tc>
      </w:tr>
    </w:tbl>
    <w:p/>
    <w:p>
      <w:pPr>
        <w:pStyle w:val="Heading2"/>
      </w:pPr>
      <w:r>
        <w:rPr>
          <w:rFonts w:ascii="Yu Gothic" w:hAnsi="Yu Gothic"/>
          <w:sz w:val="28"/>
        </w:rPr>
        <w:t>学習目標(ブルーム分類法)</w:t>
      </w:r>
    </w:p>
    <w:p>
      <w:pPr>
        <w:pStyle w:val="ListBullet"/>
      </w:pPr>
      <w:r>
        <w:rPr>
          <w:rFonts w:ascii="Yu Gothic" w:hAnsi="Yu Gothic"/>
        </w:rPr>
        <w:t>理解レベル: 「分かっていてもやめられない」を報酬処理の言葉で説明できる</w:t>
      </w:r>
    </w:p>
    <w:p>
      <w:pPr>
        <w:pStyle w:val="ListBullet"/>
      </w:pPr>
      <w:r>
        <w:rPr>
          <w:rFonts w:ascii="Yu Gothic" w:hAnsi="Yu Gothic"/>
        </w:rPr>
        <w:t>適用レベル: 説教モード→設計モードの言い換えを外来で実演できる</w:t>
      </w:r>
    </w:p>
    <w:p>
      <w:pPr>
        <w:pStyle w:val="ListBullet"/>
      </w:pPr>
      <w:r>
        <w:rPr>
          <w:rFonts w:ascii="Yu Gothic" w:hAnsi="Yu Gothic"/>
        </w:rPr>
        <w:t>分析レベル: 自分の外来導線の中の "見えないナッジ" を特定できる</w:t>
      </w:r>
    </w:p>
    <w:p>
      <w:pPr>
        <w:pStyle w:val="ListBullet"/>
      </w:pPr>
      <w:r>
        <w:rPr>
          <w:rFonts w:ascii="Yu Gothic" w:hAnsi="Yu Gothic"/>
        </w:rPr>
        <w:t>(発展)創造レベル: 自院のどこに行動設計の余地があるか提案できる</w:t>
      </w:r>
    </w:p>
    <w:p>
      <w:r>
        <w:rPr>
          <w:rFonts w:ascii="Yu Gothic" w:hAnsi="Yu Gothic"/>
          <w:i/>
        </w:rPr>
        <w:t>初期研修医は理解〜適用、専攻医は分析〜創造まで届くことを期待。</w:t>
      </w:r>
    </w:p>
    <w:p>
      <w:r>
        <w:rPr>
          <w:rFonts w:ascii="Yu Gothic" w:hAnsi="Yu Gothic"/>
          <w:i/>
        </w:rPr>
        <w:t>ただし 明示的な層分けはせず、誰がどこまで届いても良いとする設計。</w:t>
      </w:r>
    </w:p>
    <w:p/>
    <w:p>
      <w:pPr>
        <w:pStyle w:val="Heading1"/>
      </w:pPr>
      <w:r>
        <w:rPr>
          <w:rFonts w:ascii="Yu Gothic" w:hAnsi="Yu Gothic"/>
          <w:sz w:val="32"/>
        </w:rPr>
        <w:t>3. ファシリテーター自身への注意</w:t>
      </w:r>
    </w:p>
    <w:p>
      <w:pPr>
        <w:pStyle w:val="ListBullet"/>
      </w:pPr>
      <w:r>
        <w:rPr>
          <w:rFonts w:ascii="Yu Gothic" w:hAnsi="Yu Gothic"/>
        </w:rPr>
        <w:t>「初期研修医はここまで、専攻医はここから」のような露骨な区切りは絶対に言わない。</w:t>
      </w:r>
    </w:p>
    <w:p>
      <w:r>
        <w:rPr>
          <w:rFonts w:ascii="Yu Gothic" w:hAnsi="Yu Gothic"/>
        </w:rPr>
        <w:t>本教材は「視野が広がっていく1本の旅」として設計されている。</w:t>
      </w:r>
    </w:p>
    <w:p>
      <w:pPr>
        <w:pStyle w:val="ListBullet"/>
      </w:pPr>
      <w:r>
        <w:rPr>
          <w:rFonts w:ascii="Yu Gothic" w:hAnsi="Yu Gothic"/>
        </w:rPr>
        <w:t>後半の「外来導線」「Nudge Unit」の話に入るとき、「次は半径を広げてみましょう」 と言い換える。</w:t>
      </w:r>
    </w:p>
    <w:p>
      <w:pPr>
        <w:pStyle w:val="ListBullet"/>
      </w:pPr>
      <w:r>
        <w:rPr>
          <w:rFonts w:ascii="Yu Gothic" w:hAnsi="Yu Gothic"/>
        </w:rPr>
        <w:t>倫理的配慮: ナッジ・インセンティブ・コミットメントデバイスはいずれも患者の自律性と緊張関係になり得る。「リバタリアン・パターナリズム」という言葉が示す通り、選択の自由を奪わないこと が大前提だと、必ずどこかで明示する。</w:t>
      </w:r>
    </w:p>
    <w:p>
      <w:pPr>
        <w:pStyle w:val="ListBullet"/>
      </w:pPr>
      <w:r>
        <w:rPr>
          <w:rFonts w:ascii="Yu Gothic" w:hAnsi="Yu Gothic"/>
        </w:rPr>
        <w:t>「怠惰ではなく報酬処理の問題」というメッセージを患者責任の回避と取られないよう注意。患者が自分を責めずに次の一歩を考えやすくするための言い換えである、と強調する。</w:t>
      </w:r>
    </w:p>
    <w:p/>
    <w:p>
      <w:pPr>
        <w:pStyle w:val="Heading1"/>
      </w:pPr>
      <w:r>
        <w:rPr>
          <w:rFonts w:ascii="Yu Gothic" w:hAnsi="Yu Gothic"/>
          <w:sz w:val="32"/>
        </w:rPr>
        <w:t>4. 参考文献(改ページ後、配布用)</w:t>
      </w:r>
    </w:p>
    <w:p>
      <w:pPr>
        <w:pStyle w:val="Heading2"/>
      </w:pPr>
      <w:r>
        <w:rPr>
          <w:rFonts w:ascii="Yu Gothic" w:hAnsi="Yu Gothic"/>
          <w:sz w:val="28"/>
        </w:rPr>
        <w:t>主出典</w:t>
      </w:r>
    </w:p>
    <w:p>
      <w:pPr>
        <w:pStyle w:val="ListBullet"/>
      </w:pPr>
      <w:r>
        <w:rPr>
          <w:rFonts w:ascii="Yu Gothic" w:hAnsi="Yu Gothic"/>
        </w:rPr>
        <w:t>*Applications of Behavioral Economics and Neuroeconomics in Mental Health*. PMC11904746. 2025年.</w:t>
      </w:r>
    </w:p>
    <w:p>
      <w:r>
        <w:rPr>
          <w:rFonts w:ascii="Yu Gothic" w:hAnsi="Yu Gothic"/>
        </w:rPr>
        <w:t>&lt;https://pmc.ncbi.nlm.nih.gov/articles/PMC11904746/&gt;</w:t>
      </w:r>
    </w:p>
    <w:p>
      <w:pPr>
        <w:pStyle w:val="Heading2"/>
      </w:pPr>
      <w:r>
        <w:rPr>
          <w:rFonts w:ascii="Yu Gothic" w:hAnsi="Yu Gothic"/>
          <w:sz w:val="28"/>
        </w:rPr>
        <w:t>副出典</w:t>
      </w:r>
    </w:p>
    <w:p>
      <w:pPr>
        <w:pStyle w:val="ListBullet"/>
      </w:pPr>
      <w:r>
        <w:rPr>
          <w:rFonts w:ascii="Yu Gothic" w:hAnsi="Yu Gothic"/>
        </w:rPr>
        <w:t>Penn Medicine Nudge Unit | CHTI.</w:t>
      </w:r>
    </w:p>
    <w:p>
      <w:r>
        <w:rPr>
          <w:rFonts w:ascii="Yu Gothic" w:hAnsi="Yu Gothic"/>
        </w:rPr>
        <w:t>&lt;https://chti.upenn.edu/nudge-unit&gt;</w:t>
      </w:r>
    </w:p>
    <w:p>
      <w:pPr>
        <w:pStyle w:val="ListBullet"/>
      </w:pPr>
      <w:r>
        <w:rPr>
          <w:rFonts w:ascii="Yu Gothic" w:hAnsi="Yu Gothic"/>
        </w:rPr>
        <w:t>*Behavioral Economics in Health: Nudging Better Choices*. RO Journals. 2025年.</w:t>
      </w:r>
    </w:p>
    <w:p>
      <w:r>
        <w:rPr>
          <w:rFonts w:ascii="Yu Gothic" w:hAnsi="Yu Gothic"/>
        </w:rPr>
        <w:t>&lt;https://rojournals.org/wp-content/uploads/2025/03/ROJAM-41P5-2025.pdf&gt;</w:t>
      </w:r>
    </w:p>
    <w:p>
      <w:pPr>
        <w:pStyle w:val="Heading2"/>
      </w:pPr>
      <w:r>
        <w:rPr>
          <w:rFonts w:ascii="Yu Gothic" w:hAnsi="Yu Gothic"/>
          <w:sz w:val="28"/>
        </w:rPr>
        <w:t>背景文献</w:t>
      </w:r>
    </w:p>
    <w:p>
      <w:pPr>
        <w:pStyle w:val="ListBullet"/>
      </w:pPr>
      <w:r>
        <w:rPr>
          <w:rFonts w:ascii="Yu Gothic" w:hAnsi="Yu Gothic"/>
        </w:rPr>
        <w:t>ダニエル・カーネマン『ファスト&amp;スロー — あなたの意思はどのように決まるか?』早川書房</w:t>
      </w:r>
    </w:p>
    <w:p>
      <w:pPr>
        <w:pStyle w:val="ListBullet"/>
      </w:pPr>
      <w:r>
        <w:rPr>
          <w:rFonts w:ascii="Yu Gothic" w:hAnsi="Yu Gothic"/>
        </w:rPr>
        <w:t>リチャード・セイラー&amp;キャス・サンスティーン『NUDGE — 実践 行動経済学』日経BP</w:t>
      </w:r>
    </w:p>
    <w:p>
      <w:pPr>
        <w:pStyle w:val="ListBullet"/>
      </w:pPr>
      <w:r>
        <w:rPr>
          <w:rFonts w:ascii="Yu Gothic" w:hAnsi="Yu Gothic"/>
        </w:rPr>
        <w:t>NIMH RDoC Initiative: Positive Valence Systems (報酬処理関連の研究領域分類)</w:t>
      </w:r>
    </w:p>
    <w:p>
      <w:pPr>
        <w:pStyle w:val="Heading2"/>
      </w:pPr>
      <w:r>
        <w:rPr>
          <w:rFonts w:ascii="Yu Gothic" w:hAnsi="Yu Gothic"/>
          <w:sz w:val="28"/>
        </w:rPr>
        <w:t>関連メモ</w:t>
      </w:r>
    </w:p>
    <w:p>
      <w:pPr>
        <w:pStyle w:val="ListBullet"/>
      </w:pPr>
      <w:r>
        <w:rPr>
          <w:rFonts w:ascii="Yu Gothic" w:hAnsi="Yu Gothic"/>
        </w:rPr>
        <w:t>本教材はブリーフィング data/briefings/2026-04-08.json item-003 を起点に作成</w:t>
      </w:r>
    </w:p>
    <w:p>
      <w:pPr>
        <w:pStyle w:val="ListBullet"/>
      </w:pPr>
      <w:r>
        <w:rPr>
          <w:rFonts w:ascii="Yu Gothic" w:hAnsi="Yu Gothic"/>
        </w:rPr>
        <w:t>既存教材との重複なし(行動経済学×メンタルヘルスは初教材)</w:t>
      </w:r>
    </w:p>
    <w:p>
      <w:r>
        <w:rPr>
          <w:rFonts w:ascii="Yu Gothic" w:hAnsi="Yu Gothic"/>
        </w:rPr>
        <w:t>*Generated by Scribe / 2026-04-09*</w:t>
      </w:r>
    </w:p>
    <w:p>
      <w:r>
        <w:br w:type="page"/>
      </w:r>
    </w:p>
    <w:p>
      <w:pPr>
        <w:pStyle w:val="Heading1"/>
      </w:pPr>
      <w:r>
        <w:rPr>
          <w:rFonts w:ascii="Yu Gothic" w:hAnsi="Yu Gothic"/>
        </w:rPr>
        <w:t>出典 QR コード</w:t>
      </w:r>
    </w:p>
    <w:p>
      <w:pPr>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40000" cy="1440000"/>
                    </a:xfrm>
                    <a:prstGeom prst="rect"/>
                  </pic:spPr>
                </pic:pic>
              </a:graphicData>
            </a:graphic>
          </wp:inline>
        </w:drawing>
      </w:r>
    </w:p>
    <w:p>
      <w:pPr>
        <w:jc w:val="center"/>
      </w:pPr>
      <w:r>
        <w:rPr>
          <w:rFonts w:ascii="Yu Gothic" w:hAnsi="Yu Gothic"/>
          <w:sz w:val="16"/>
        </w:rPr>
        <w:t>https://pmc.ncbi.nlm.nih.gov/articles/PMC11904746/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