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33333"/>
          <w:sz w:val="44"/>
        </w:rPr>
        <w:t>ファシリテーターガイド</w:t>
      </w:r>
    </w:p>
    <w:p>
      <w:r>
        <w:rPr>
          <w:rFonts w:ascii="Calibri" w:hAnsi="Calibri"/>
          <w:b/>
          <w:i w:val="0"/>
          <w:sz w:val="28"/>
        </w:rPr>
        <w:t>認知バイアスが診断推論を歪める — 行動経済学からの処方箋</w:t>
      </w:r>
    </w:p>
    <w:p>
      <w:r>
        <w:rPr>
          <w:rFonts w:ascii="Calibri" w:hAnsi="Calibri"/>
          <w:b w:val="0"/>
          <w:i/>
          <w:sz w:val="20"/>
        </w:rPr>
        <w:t>研修医版 20分 + 全スタッフ版 20分 | 2026-03-30 | ガニェの9教授事象</w:t>
      </w:r>
    </w:p>
    <w:p>
      <w:pPr>
        <w:pStyle w:val="Heading1"/>
      </w:pPr>
      <w:r>
        <w:t>Part 1: チートシート</w:t>
      </w:r>
    </w:p>
    <w:p>
      <w:pPr>
        <w:pStyle w:val="Heading2"/>
      </w:pPr>
      <w:r>
        <w:t>必要物品と使い方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物品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スライド投影環境（PC + プロジェクタ）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メインスライド表示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研修医版20分 or 全スタッフ版20分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タイマー（スマホ可）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ワーク時間管理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ペア/グループワーク: 5分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付箋 + ペン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グループワーク用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全スタッフ版で使用推奨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配布資料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参考文献リスト（Part 3）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印刷またはQRコードで共有</w:t>
            </w:r>
          </w:p>
        </w:tc>
      </w:tr>
    </w:tbl>
    <w:p/>
    <w:p>
      <w:pPr>
        <w:pStyle w:val="Heading2"/>
      </w:pPr>
      <w:r>
        <w:t>タイムライン: 研修医・専攻医版（20分）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680"/>
        <w:gridCol w:w="680"/>
        <w:gridCol w:w="2041"/>
        <w:gridCol w:w="4535"/>
      </w:tblGrid>
      <w:tr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声かけセリフ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0:00-1:30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事象1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注意喚起: 40%誤診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「完全に確信がある医師の40%が間違っていました」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1:30-2:30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事象2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「今日の20分で、この3つができるように」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2:30-4:00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事象3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System 1/2の復習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「System 1/2、簡単に復習しましょう」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4:00-11:00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4-7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事象4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4バイアスの臨床発現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「こういう場面、心当たりありませんか？」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11:00-13:30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事象5-6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除偏介入3つ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「脳のクセを知ったら、次は対策。武器は3つ」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13:30-18:00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事象7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「最近の症例を1つ思い出して、4つの問いに答えて」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18:00-20:00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事象8-9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AI×バイアス+持ち帰り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「AIが入る時代のバイアスについて考えましょう」</w:t>
            </w:r>
          </w:p>
        </w:tc>
      </w:tr>
    </w:tbl>
    <w:p/>
    <w:p>
      <w:pPr>
        <w:pStyle w:val="Heading2"/>
      </w:pPr>
      <w:r>
        <w:t>タイムライン: 全スタッフ版（20分）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680"/>
        <w:gridCol w:w="680"/>
        <w:gridCol w:w="2041"/>
        <w:gridCol w:w="4535"/>
      </w:tblGrid>
      <w:tr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スライド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28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声かけセリフ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0:00-2:00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事象1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航空CRM+40%誤診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「ベテラン医師でも40%間違える。脳の仕組みの問題です」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2:00-3:00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事象2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「覚えてほしいことは3つだけ」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3:00-4:30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事象3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速い脳と遅い脳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「脳には2つのモードがあります」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4:30-8:30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4-5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事象4-5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4バイアス+まとめ表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「日常の"あるある"、ありませんか？」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8:30-13:00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6-7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事象5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5つの問い+ダブルチェック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「気をつけようだけでは50%しか効かない」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13:00-14:30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事象5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メタ認知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「バイアスを認めることは弱さではありません」</w:t>
            </w:r>
          </w:p>
        </w:tc>
      </w:tr>
      <w:tr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14:30-19:00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事象6-7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グループワーク</w:t>
            </w:r>
          </w:p>
        </w:tc>
        <w:tc>
          <w:tcPr>
            <w:tcW w:type="dxa" w:w="1728"/>
            <w:shd w:fill="E8F0F0" w:val="clear"/>
          </w:tcPr>
          <w:p>
            <w:r>
              <w:rPr>
                <w:rFonts w:ascii="Calibri" w:hAnsi="Calibri"/>
                <w:sz w:val="18"/>
              </w:rPr>
              <w:t>「うちのチームでできることを考えてみましょう」</w:t>
            </w:r>
          </w:p>
        </w:tc>
      </w:tr>
      <w:tr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19:00-20:00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事象8-9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職種別アクション</w:t>
            </w:r>
          </w:p>
        </w:tc>
        <w:tc>
          <w:tcPr>
            <w:tcW w:type="dxa" w:w="1728"/>
            <w:shd w:fill="FFFFFF" w:val="clear"/>
          </w:tcPr>
          <w:p>
            <w:r>
              <w:rPr>
                <w:rFonts w:ascii="Calibri" w:hAnsi="Calibri"/>
                <w:sz w:val="18"/>
              </w:rPr>
              <w:t>「明日からできることを1つだけ持ち帰って」</w:t>
            </w:r>
          </w:p>
        </w:tc>
      </w:tr>
    </w:tbl>
    <w:p/>
    <w:p>
      <w:pPr>
        <w:pStyle w:val="Heading2"/>
      </w:pPr>
      <w:r>
        <w:t>困ったときの対処法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32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対処法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「バイアスなんて知ってる」と言われた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ICUの医師たちも知識はありました。知っていることと気づけることは別です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ワークが盛り上がらない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自分の例を1つ共有する。「私も先週こういうことがありました」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「自分にはバイアスはない」という参加者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それ自体が過信バイアスの一種かもしれません（笑）</w:t>
            </w:r>
          </w:p>
        </w:tc>
      </w:tr>
      <w:tr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時間が押している</w:t>
            </w:r>
          </w:p>
        </w:tc>
        <w:tc>
          <w:tcPr>
            <w:tcW w:type="dxa" w:w="4320"/>
            <w:shd w:fill="FFFFFF" w:val="clear"/>
          </w:tcPr>
          <w:p>
            <w:r>
              <w:rPr>
                <w:rFonts w:ascii="Calibri" w:hAnsi="Calibri"/>
                <w:sz w:val="18"/>
              </w:rPr>
              <w:t>4バイアスを2つに絞る（確認バイアスと過信を優先）。ワークは3分に短縮</w:t>
            </w:r>
          </w:p>
        </w:tc>
      </w:tr>
      <w:tr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全スタッフ版で医学用語の質問が出た</w:t>
            </w:r>
          </w:p>
        </w:tc>
        <w:tc>
          <w:tcPr>
            <w:tcW w:type="dxa" w:w="4320"/>
            <w:shd w:fill="E8F0F0" w:val="clear"/>
          </w:tcPr>
          <w:p>
            <w:r>
              <w:rPr>
                <w:rFonts w:ascii="Calibri" w:hAnsi="Calibri"/>
                <w:sz w:val="18"/>
              </w:rPr>
              <w:t>詳しくは研修医向け教材でカバーしています。今日は仕組みの理解に集中</w:t>
            </w:r>
          </w:p>
        </w:tc>
      </w:tr>
    </w:tbl>
    <w:p/>
    <w:p>
      <w:pPr>
        <w:pStyle w:val="Heading1"/>
      </w:pPr>
      <w:r>
        <w:t>Part 2: インストラクショナルデザイン</w:t>
      </w:r>
    </w:p>
    <w:p>
      <w:pPr>
        <w:pStyle w:val="Heading2"/>
      </w:pPr>
      <w:r>
        <w:t>ガニェの9教授事象マッピング表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4"/>
        <w:gridCol w:w="1417"/>
        <w:gridCol w:w="3231"/>
        <w:gridCol w:w="3969"/>
      </w:tblGrid>
      <w:tr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事象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研修医版での実装</w:t>
            </w:r>
          </w:p>
        </w:tc>
        <w:tc>
          <w:tcPr>
            <w:tcW w:type="dxa" w:w="216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全スタッフ版での実装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注意を喚起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「40%が間違い」ICU剖検データ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航空CRM + 40%誤診で導入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学習目標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認識・実践・振り返りの3目標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説明・実践・評価の3目標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前提条件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System 1/2の学術的復習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速い脳・遅い脳の平易な説明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新内容提示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4バイアス x 臨床ケース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4バイアス x 仕事と日常の例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学習の指針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除偏介入3つ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5つの問い + ダブルチェック + メタ認知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練習機会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ペアワーク: 4つの問いで振り返り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グループワーク: チーム対策考案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フィードバック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パートナーからのプレモーテム質問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グループ発表 + 補足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成果評価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AI x バイアスの分析力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alibri" w:hAnsi="Calibri"/>
                <w:sz w:val="18"/>
              </w:rPr>
              <w:t>グループ提案の具体性</w:t>
            </w:r>
          </w:p>
        </w:tc>
      </w:tr>
      <w:tr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保持と転移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診断タイムアウト + バイアス日誌</w:t>
            </w:r>
          </w:p>
        </w:tc>
        <w:tc>
          <w:tcPr>
            <w:tcW w:type="dxa" w:w="2160"/>
            <w:shd w:fill="E8F0F0" w:val="clear"/>
          </w:tcPr>
          <w:p>
            <w:r>
              <w:rPr>
                <w:rFonts w:ascii="Calibri" w:hAnsi="Calibri"/>
                <w:sz w:val="18"/>
              </w:rPr>
              <w:t>職種別アクション + メッセージ</w:t>
            </w:r>
          </w:p>
        </w:tc>
      </w:tr>
    </w:tbl>
    <w:p/>
    <w:p>
      <w:pPr>
        <w:pStyle w:val="Heading2"/>
      </w:pPr>
      <w:r>
        <w:t>ブルームの分類法 — 研修医・専攻医（理解 → 分析 → 創造）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969"/>
        <w:gridCol w:w="3118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ブルームレベル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学習目標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理解 (Understand)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4バイアスを臨床場面で認識できる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ケースでバイアスを同定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分析 (Analyze)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除偏介入を3つ使い分けられる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自分の症例にどの介入が有効か判断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創造 (Create)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推論プロセスを構造化して振り返れる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ペアワーク + バイアス日誌</w:t>
            </w:r>
          </w:p>
        </w:tc>
      </w:tr>
    </w:tbl>
    <w:p/>
    <w:p>
      <w:pPr>
        <w:pStyle w:val="Heading2"/>
      </w:pPr>
      <w:r>
        <w:t>ブルームの分類法 — 全スタッフ（理解 → 適用 → 評価）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4"/>
        <w:gridCol w:w="3969"/>
        <w:gridCol w:w="3118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ブルームレベル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学習目標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評価方法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理解 (Understand)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バイアスが「脳の仕組み」であることを説明できる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同僚に説明できるか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適用 (Apply)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日常業務で1つデバイアスを実践できる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5つの問いの1つを使えるか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評価 (Evaluate)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チームの安全確認の効果を評価できる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グループ提案の具体性</w:t>
            </w:r>
          </w:p>
        </w:tc>
      </w:tr>
    </w:tbl>
    <w:p/>
    <w:p>
      <w:pPr>
        <w:pStyle w:val="Heading2"/>
      </w:pPr>
      <w:r>
        <w:t>3/29教材との差別化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1"/>
        <w:gridCol w:w="3685"/>
        <w:gridCol w:w="3685"/>
      </w:tblGrid>
      <w:tr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比較項目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3/29 利用可能性バイアス教材</w:t>
            </w:r>
          </w:p>
        </w:tc>
        <w:tc>
          <w:tcPr>
            <w:tcW w:type="dxa" w:w="2880"/>
            <w:shd w:fill="0D2B3E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本教材（3/30）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スコープ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利用可能性バイアス単体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4バイアスの統合フレーム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理論基盤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定量データ中心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行動経済学（Kahneman/Tversky/Enke）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介入手法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バイアス固有の対策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横断的デバイアス戦略3種</w:t>
            </w:r>
          </w:p>
        </w:tc>
      </w:tr>
      <w:tr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対象者設計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研修医中心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rFonts w:ascii="Calibri" w:hAnsi="Calibri"/>
                <w:sz w:val="18"/>
              </w:rPr>
              <w:t>研修医 + 全スタッフの2バージョン</w:t>
            </w:r>
          </w:p>
        </w:tc>
      </w:tr>
      <w:tr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位置づけ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個別の深掘り</w:t>
            </w:r>
          </w:p>
        </w:tc>
        <w:tc>
          <w:tcPr>
            <w:tcW w:type="dxa" w:w="2880"/>
            <w:shd w:fill="E8F0F0" w:val="clear"/>
          </w:tcPr>
          <w:p>
            <w:r>
              <w:rPr>
                <w:rFonts w:ascii="Calibri" w:hAnsi="Calibri"/>
                <w:sz w:val="18"/>
              </w:rPr>
              <w:t>全体の俯瞰フレームワーク</w:t>
            </w:r>
          </w:p>
        </w:tc>
      </w:tr>
    </w:tbl>
    <w:p/>
    <w:p>
      <w:pPr>
        <w:pStyle w:val="Heading2"/>
      </w:pPr>
      <w:r>
        <w:t>設計上の意図メモ</w:t>
      </w:r>
    </w:p>
    <w:p>
      <w:r>
        <w:rPr>
          <w:rFonts w:ascii="Calibri" w:hAnsi="Calibri"/>
          <w:b w:val="0"/>
          <w:i w:val="0"/>
          <w:sz w:val="20"/>
        </w:rPr>
        <w:t>研修医版: ダーク学術トーンで知的緊張感を演出。4バイアスを各ケースで体験的に理解し、除偏介入3種を実践レベルで習得。ペアワークでメタ認知を促進。AI x バイアスで時代の最先端に接続。</w:t>
      </w:r>
    </w:p>
    <w:p>
      <w:r>
        <w:rPr>
          <w:rFonts w:ascii="Calibri" w:hAnsi="Calibri"/>
          <w:b w:val="0"/>
          <w:i w:val="0"/>
          <w:sz w:val="20"/>
        </w:rPr>
        <w:t>全スタッフ版: 専門用語を日常語に変換。全職種の仕事での例を多用し自分ごと化を促進。5つの問い → ダブルチェック → メタ認知の段階的理解。グループワークで職場改善に直結。</w:t>
      </w:r>
    </w:p>
    <w:p>
      <w:r>
        <w:rPr>
          <w:rFonts w:ascii="Calibri" w:hAnsi="Calibri"/>
          <w:b w:val="0"/>
          <w:i w:val="0"/>
          <w:sz w:val="20"/>
        </w:rPr>
        <w:t>共通: 「個人の注意力」ではなく「チームの仕組み」でバイアスに対抗するメッセージを核心に置く。航空CRMの歴史と対比し「システムエラー」として再フレーミング。</w:t>
      </w:r>
    </w:p>
    <w:p>
      <w:pPr>
        <w:pStyle w:val="Heading1"/>
      </w:pPr>
      <w:r>
        <w:t>Part 3: 参考文献・リンク（配布用）</w:t>
      </w:r>
    </w:p>
    <w:p>
      <w:pPr>
        <w:pStyle w:val="Heading2"/>
      </w:pPr>
      <w:r>
        <w:t>QRコード付き参考文献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Kahneman D. (2011)</w:t>
              <w:br/>
              <w:t>Thinking, Fast and Slow</w:t>
            </w:r>
          </w:p>
          <w:p>
            <w:r>
              <w:rPr>
                <w:color w:val="444499"/>
                <w:sz w:val="12"/>
              </w:rPr>
              <w:t>https://en.wikipedia.org/wiki/Thinking,_Fast_and_Slow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Saposnik G. et al. (2016)</w:t>
              <w:br/>
              <w:t>認知バイアスと医療判断の系統的レビュー</w:t>
            </w:r>
          </w:p>
          <w:p>
            <w:r>
              <w:rPr>
                <w:color w:val="444499"/>
                <w:sz w:val="12"/>
              </w:rPr>
              <w:t>https://pubmed.ncbi.nlm.nih.gov/27809908/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Croskerry P. (2003)</w:t>
              <w:br/>
              <w:t>認知的強制戦略</w:t>
            </w:r>
          </w:p>
          <w:p>
            <w:r>
              <w:rPr>
                <w:color w:val="444499"/>
                <w:sz w:val="12"/>
              </w:rPr>
              <w:t>https://www.annemergmed.com/article/S0196-0644(02)84945...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Ludolph R. &amp; Schulz P.J. (2018)</w:t>
              <w:br/>
              <w:t>除偏介入の系統的レビュー</w:t>
            </w:r>
          </w:p>
          <w:p>
            <w:r>
              <w:rPr>
                <w:color w:val="444499"/>
                <w:sz w:val="12"/>
              </w:rPr>
              <w:t>https://journals.sagepub.com/doi/full/10.1177/0272989X1...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Ezenwaka O. et al. (2025)</w:t>
              <w:br/>
              <w:t>行動経済学と認知バイアス — WJARR</w:t>
            </w:r>
          </w:p>
          <w:p>
            <w:r>
              <w:rPr>
                <w:color w:val="444499"/>
                <w:sz w:val="12"/>
              </w:rPr>
              <w:t>https://wjarr.com/content/role-behavioral-economics-and...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Enke B. (2023)</w:t>
              <w:br/>
              <w:t>Cognitive Biases: Mistakes or Missing Stakes?</w:t>
            </w:r>
          </w:p>
          <w:p>
            <w:r>
              <w:rPr>
                <w:color w:val="444499"/>
                <w:sz w:val="12"/>
              </w:rPr>
              <w:t>https://benjamin-enke.com/pdf/Biases_stakes.pdf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Cabrera-Barona et al. (2024)</w:t>
              <w:br/>
              <w:t>マルチエージェント対話とバイアス緩和 — JMIR</w:t>
            </w:r>
          </w:p>
          <w:p>
            <w:r>
              <w:rPr>
                <w:color w:val="444499"/>
                <w:sz w:val="12"/>
              </w:rPr>
              <w:t>https://www.jmir.org/2024/1/e59439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Friedman K.A. et al. (2020)</w:t>
              <w:br/>
              <w:t>研修医とDunning-Kruger効果</w:t>
            </w:r>
          </w:p>
          <w:p>
            <w:r>
              <w:rPr>
                <w:color w:val="444499"/>
                <w:sz w:val="12"/>
              </w:rPr>
              <w:t>https://pmc.ncbi.nlm.nih.gov/articles/PMC7594774/</w:t>
            </w:r>
          </w:p>
        </w:tc>
      </w:tr>
    </w:tbl>
    <w:p/>
    <w:p>
      <w:r>
        <w:rPr>
          <w:rFonts w:ascii="Calibri" w:hAnsi="Calibri"/>
          <w:b w:val="0"/>
          <w:i/>
          <w:sz w:val="16"/>
        </w:rPr>
        <w:t>Publisher Agent | AI Agent Team | 2026-03-30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