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  <w:gridCol w:w="1361"/>
      </w:tblGrid>
      <w:tr>
        <w:tc>
          <w:tcPr>
            <w:tcW w:type="dxa" w:w="5273"/>
          </w:tcPr>
          <w:p>
            <w:r>
              <w:rPr>
                <w:rFonts w:ascii="Yu Gothic" w:hAnsi="Yu Gothic"/>
                <w:b/>
                <w:sz w:val="32"/>
              </w:rPr>
              <w:t>行動経済学×メンタルヘルス — 外来チートシート</w:t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Yu Gothic" w:hAnsi="Yu Gothic"/>
          <w:sz w:val="20"/>
        </w:rPr>
        <w:t>説教ではなく、設計を。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まず、この前提</w:t>
      </w:r>
    </w:p>
    <w:p>
      <w:r>
        <w:rPr>
          <w:rFonts w:ascii="Yu Gothic" w:hAnsi="Yu Gothic"/>
          <w:sz w:val="20"/>
        </w:rPr>
        <w:t>「分かっていてもやめられない/始められない」は、怠惰ではなく報酬処理の問題。</w:t>
      </w:r>
    </w:p>
    <w:p>
      <w:r>
        <w:rPr>
          <w:rFonts w:ascii="Yu Gothic" w:hAnsi="Yu Gothic"/>
          <w:sz w:val="20"/>
        </w:rPr>
        <w:t>うつ病・依存症・不安症は、腹側線条体・前頭前野の同じ報酬回路の異なる現れ方</w:t>
      </w:r>
    </w:p>
    <w:p>
      <w:r>
        <w:rPr>
          <w:rFonts w:ascii="Yu Gothic" w:hAnsi="Yu Gothic"/>
          <w:sz w:val="20"/>
        </w:rPr>
        <w:t>(transdiagnostic; NIMH RDoC: Positive Valence Systems)。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3つの介入の使い分け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介入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仕組み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向いている場面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ナッジ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選択肢を変えず、選びやすさを変える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本人の合意がなくても始められる、抵抗感を避けたい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インセンティブ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即時報酬で双曲割引のバイアスを逆手に取る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短期決戦、本人が「変えたい」と言っている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コミットメントデバイス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強い現在の自分が、弱い未来の自分を縛る仕組み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本人が主体的に縛りを作りたい、長期戦</w:t>
            </w:r>
          </w:p>
        </w:tc>
      </w:tr>
    </w:tbl>
    <w:p>
      <w:pPr>
        <w:pStyle w:val="Heading3"/>
      </w:pPr>
      <w:r>
        <w:rPr>
          <w:rFonts w:ascii="Yu Gothic" w:hAnsi="Yu Gothic"/>
          <w:b/>
          <w:sz w:val="22"/>
        </w:rPr>
        <w:t>デシジョンツリー</w:t>
      </w:r>
    </w:p>
    <w:p>
      <w:r>
        <w:rPr>
          <w:rFonts w:ascii="Yu Gothic" w:hAnsi="Yu Gothic"/>
          <w:sz w:val="20"/>
        </w:rPr>
        <w:t>```</w:t>
      </w:r>
    </w:p>
    <w:p>
      <w:r>
        <w:rPr>
          <w:rFonts w:ascii="Yu Gothic" w:hAnsi="Yu Gothic"/>
          <w:sz w:val="20"/>
        </w:rPr>
        <w:t>本人が変えたい? → NO → ナッジ</w:t>
      </w:r>
    </w:p>
    <w:p>
      <w:r>
        <w:rPr>
          <w:rFonts w:ascii="Yu Gothic" w:hAnsi="Yu Gothic"/>
          <w:sz w:val="20"/>
        </w:rPr>
        <w:t>→ YES → 自制サポートが必要? → NO → インセンティブ</w:t>
      </w:r>
    </w:p>
    <w:p>
      <w:r>
        <w:rPr>
          <w:rFonts w:ascii="Yu Gothic" w:hAnsi="Yu Gothic"/>
          <w:sz w:val="20"/>
        </w:rPr>
        <w:t>→ YES → コミットメントデバイス</w:t>
      </w:r>
    </w:p>
    <w:p>
      <w:r>
        <w:rPr>
          <w:rFonts w:ascii="Yu Gothic" w:hAnsi="Yu Gothic"/>
          <w:sz w:val="20"/>
        </w:rPr>
        <w:t>```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説教モード → 設計モードの言い換え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❌ 説教モード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✅ 設計モード</w:t>
            </w:r>
          </w:p>
        </w:tc>
      </w:tr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「散歩、続けてくださいね」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「次の散歩の前に何を準備しておくと一番楽になりそうですか?」</w:t>
            </w:r>
          </w:p>
        </w:tc>
      </w:tr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「お薬、ちゃんと飲んで」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「飲み忘れる時って、どんな時ですか?」</w:t>
            </w:r>
          </w:p>
        </w:tc>
      </w:tr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「禁煙、頑張って」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「次に吸いたくなったら、代わりに3分で何をしたいですか?」</w:t>
            </w:r>
          </w:p>
        </w:tc>
      </w:tr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「やってないんですね」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「今は、それをやるエネルギーが必要な状態じゃないんですね」</w:t>
            </w:r>
          </w:p>
        </w:tc>
      </w:tr>
    </w:tbl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自分の診療の30秒ふりかえり</w:t>
      </w:r>
    </w:p>
    <w:p>
      <w:pPr>
        <w:pStyle w:val="ListNumber"/>
        <w:spacing w:after="0"/>
      </w:pPr>
      <w:r>
        <w:rPr>
          <w:rFonts w:ascii="Yu Gothic" w:hAnsi="Yu Gothic"/>
          <w:sz w:val="20"/>
        </w:rPr>
        <w:t>今日、説教モードに流された 瞬間はなかったか?</w:t>
      </w:r>
    </w:p>
    <w:p>
      <w:pPr>
        <w:pStyle w:val="ListNumber"/>
        <w:spacing w:after="0"/>
      </w:pPr>
      <w:r>
        <w:rPr>
          <w:rFonts w:ascii="Yu Gothic" w:hAnsi="Yu Gothic"/>
          <w:sz w:val="20"/>
        </w:rPr>
        <w:t>その時、設計モードならどう声をかけられたか?</w:t>
      </w:r>
    </w:p>
    <w:p>
      <w:pPr>
        <w:pStyle w:val="ListNumber"/>
        <w:spacing w:after="0"/>
      </w:pPr>
      <w:r>
        <w:rPr>
          <w:rFonts w:ascii="Yu Gothic" w:hAnsi="Yu Gothic"/>
          <w:sz w:val="20"/>
        </w:rPr>
        <w:t>患者の生活の "次の一歩のハードル" は、どこに下げられそうか?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視野を広げると…(欄外メモ)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外来導線: 待合の椅子・問診票の質問順・カルテテンプレ・予約デフォルト = すべて "見えないナッジ"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Penn Medicine Nudge Unit: 米国に存在する、医療機関組み込み型の行動設計チーム。処方デフォルト変更や接種リマインダー文言で大きな効果実証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マクロ予測: 2026〜2028年に EMR 組み込み型ナッジが日本でも議論入り。家庭医がナッジ設計チームのコアメンバーとして位置付けられる流れ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出典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*Applications of Behavioral Economics and Neuroeconomics in Mental Health*, PMC11904746 (2025)</w:t>
      </w:r>
    </w:p>
    <w:p>
      <w:r>
        <w:rPr>
          <w:rFonts w:ascii="Yu Gothic" w:hAnsi="Yu Gothic"/>
          <w:sz w:val="20"/>
        </w:rPr>
        <w:t>&lt;https://pmc.ncbi.nlm.nih.gov/articles/PMC11904746/&gt;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Penn Medicine Nudge Unit: &lt;https://chti.upenn.edu/nudge-unit&gt;</w:t>
      </w:r>
    </w:p>
    <w:p>
      <w:r>
        <w:rPr>
          <w:rFonts w:ascii="Yu Gothic" w:hAnsi="Yu Gothic"/>
          <w:sz w:val="20"/>
        </w:rPr>
        <w:t>*印刷して白衣のポケットへ / Scribe 2026-04-09*</w:t>
      </w:r>
    </w:p>
    <w:p>
      <w:pPr>
        <w:spacing w:before="80"/>
      </w:pPr>
      <w:r>
        <w:rPr>
          <w:rFonts w:ascii="Yu Gothic" w:hAnsi="Yu Gothic"/>
          <w:color w:val="808080"/>
          <w:sz w:val="16"/>
        </w:rPr>
        <w:t>藪医者の学び / 2026-04-09 / 行動経済学×メンタルヘルス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