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33333"/>
          <w:sz w:val="44"/>
        </w:rPr>
        <w:t>ファシリテーターガイド</w:t>
      </w:r>
    </w:p>
    <w:p>
      <w:r>
        <w:rPr>
          <w:rFonts w:ascii="Calibri" w:hAnsi="Calibri"/>
          <w:b/>
          <w:i w:val="0"/>
          <w:sz w:val="28"/>
        </w:rPr>
        <w:t>認知バイアスと診断推論 — 行動経済学からの処方箋</w:t>
      </w:r>
    </w:p>
    <w:p>
      <w:r>
        <w:rPr>
          <w:rFonts w:ascii="Calibri" w:hAnsi="Calibri"/>
          <w:b w:val="0"/>
          <w:i/>
          <w:sz w:val="20"/>
        </w:rPr>
        <w:t>研修医・専攻医向け + 全スタッフ向け 各20分 | 2026-03-30 | ガニェの9教授事象</w:t>
      </w:r>
    </w:p>
    <w:p>
      <w:pPr>
        <w:pStyle w:val="Heading1"/>
      </w:pPr>
      <w:r>
        <w:t>Part 1: チートシート</w:t>
      </w:r>
    </w:p>
    <w:p>
      <w:pPr>
        <w:pStyle w:val="Heading2"/>
      </w:pPr>
      <w:r>
        <w:t>必要物品</w:t>
      </w:r>
    </w:p>
    <w:p>
      <w:pPr>
        <w:pStyle w:val="ListBullet"/>
      </w:pPr>
      <w:r>
        <w:t>プロジェクター / モニター</w:t>
      </w:r>
    </w:p>
    <w:p>
      <w:pPr>
        <w:pStyle w:val="ListBullet"/>
      </w:pPr>
      <w:r>
        <w:t>タイマー</w:t>
      </w:r>
    </w:p>
    <w:p>
      <w:pPr>
        <w:pStyle w:val="ListBullet"/>
      </w:pPr>
      <w:r>
        <w:t>ホワイトボード / 模造紙</w:t>
      </w:r>
    </w:p>
    <w:p>
      <w:pPr>
        <w:pStyle w:val="ListBullet"/>
      </w:pPr>
      <w:r>
        <w:t>付箋（スタッフ版グループワーク用）</w:t>
      </w:r>
    </w:p>
    <w:p>
      <w:pPr>
        <w:pStyle w:val="ListBullet"/>
      </w:pPr>
      <w:r>
        <w:t>配布資料: 参考文献リスト</w:t>
      </w:r>
    </w:p>
    <w:p>
      <w:pPr>
        <w:pStyle w:val="ListBullet"/>
      </w:pPr>
      <w:r>
        <w:t>バイアスチェック5つの問いカード（スタッフ版、印刷配布推奨）</w:t>
      </w:r>
    </w:p>
    <w:p>
      <w:pPr>
        <w:pStyle w:val="Heading2"/>
      </w:pPr>
      <w:r>
        <w:t>研修医・専攻医向け（20分）タイムライン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4"/>
        <w:gridCol w:w="1701"/>
        <w:gridCol w:w="567"/>
        <w:gridCol w:w="5669"/>
      </w:tblGrid>
      <w:tr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時間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スライド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事象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セリフ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0:00-1:30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S1 注意喚起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確信ある医師の40%が間違っていた。能力の問題ではありません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1:30-2:30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S2 学習目標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4つのバイアスを知るだけでなく防ぐ技術を持ち帰ってください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2:30-4:00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S3 System 1/2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速い思考と遅い思考。臨床ではどちらを多く使っていますか？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4:00-6:00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S4 確認+アンカリング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不安障害の既往がある胸痛患者。最初に何を考えましたか？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6:00-8:00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S5 利用可能性+過信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先週の見逃し経験が今週の判断にどう影響するか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8:00-10:00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S6 4バイアスまとめ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診断エラーの36-77%にバイアスが寄与。予測可能なパターンです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10:00-12:00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S7 除偏介入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診断タイムアウト: 立ち止まって他に何があり得るかと自問する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12:00-16:00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S8 ペアワーク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6,7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最近の症例でバイアスが働いていたと思える場面はありますか？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16:00-18:00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S9 AI×バイアス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AIがバイアスを増幅する場面と緩和する場面、両方を知っておく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18:00-20:00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S10 持ち帰り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8,9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バイアスに気づくことは弱さではなくメタ認知能力の高さです</w:t>
            </w:r>
          </w:p>
        </w:tc>
      </w:tr>
    </w:tbl>
    <w:p/>
    <w:p>
      <w:pPr>
        <w:pStyle w:val="Heading2"/>
      </w:pPr>
      <w:r>
        <w:t>全スタッフ向け（20分）タイムライン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4"/>
        <w:gridCol w:w="1701"/>
        <w:gridCol w:w="567"/>
        <w:gridCol w:w="5669"/>
      </w:tblGrid>
      <w:tr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時間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スライド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事象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セリフ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0:00-2:00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S1 なぜ間違える？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ベテラン医師の40%が間違い。ヒューマンファクターと呼び直して事故が減った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2:00-3:00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S2 学習目標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今日は仕組みで防ぐを1つ持ち帰ってください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3:00-5:00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S3 速い脳と遅い脳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レジでお釣り合ってると直感で判断 → これがSystem 1です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5:00-8:00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S4-5 4バイアス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4,5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投薬確認、申し送り、トリアージ。全部にバイアスが潜んでいます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8:00-11:00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S6-7 5つの問い+DC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他にない？ この一言がチームの安全を変えます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11:00-13:00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S8 メタ認知=強さ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思い込みだったかもと言えることがプロの証です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13:00-18:00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S9 グループワーク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6,7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ヒヤリとした経験と、あったら防げた仕組みを1つ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18:00-20:00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S10 アクション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8,9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申し送りの最後に他にない？を追加するだけでもOK</w:t>
            </w:r>
          </w:p>
        </w:tc>
      </w:tr>
    </w:tbl>
    <w:p/>
    <w:p>
      <w:pPr>
        <w:pStyle w:val="Heading2"/>
      </w:pPr>
      <w:r>
        <w:t>困ったときの対処法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5"/>
        <w:gridCol w:w="6236"/>
      </w:tblGrid>
      <w:tr>
        <w:tc>
          <w:tcPr>
            <w:tcW w:type="dxa" w:w="432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状況</w:t>
            </w:r>
          </w:p>
        </w:tc>
        <w:tc>
          <w:tcPr>
            <w:tcW w:type="dxa" w:w="432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対処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バイアスなんて自分には関係ない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それ自体が過信バイアスかもしれません（笑）。全員に起きます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4つ覚えられない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全部覚えなくて大丈夫。他にない？の一言だけ覚えてください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うちの職場では無理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大きな変革は不要。1つの問いを追加するだけと小さく始める提案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失敗を話しにくい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教科書のケースでOK。もし自分だったらで想像してください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時間が足りない（研修医）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AI×バイアス（S9）を短縮し、ペアワークの時間を確保</w:t>
            </w:r>
          </w:p>
        </w:tc>
      </w:tr>
    </w:tbl>
    <w:p/>
    <w:p>
      <w:pPr>
        <w:pStyle w:val="Heading1"/>
      </w:pPr>
      <w:r>
        <w:t>Part 2: IDマッピング</w:t>
      </w:r>
    </w:p>
    <w:p>
      <w:pPr>
        <w:pStyle w:val="Heading2"/>
      </w:pPr>
      <w:r>
        <w:t>ガニェの9教授事象 — 対応表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67"/>
        <w:gridCol w:w="1417"/>
        <w:gridCol w:w="3118"/>
        <w:gridCol w:w="3118"/>
      </w:tblGrid>
      <w:tr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事象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事象名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研修医スライド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全スタッフスライド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注意の獲得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S1: ICU剖検研究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S1: 航空CRM事例導入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目標の提示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S2: 認識・実践・振り返り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S2: 説明・実践・評価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前提知識の想起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S3: 二重過程理論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S3: 速い脳・遅い脳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新内容の提示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S4-6: 4バイアス臨床ケース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S4-5: 4バイアス日常例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学習の指針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S7: 除偏介入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S6-8: 5つの問い+DC+メタ認知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練習の機会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S8: ペアワーク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S9: グループワーク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フィードバック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S8: 全体共有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S9: グループ発表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成果の評価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S10: バイアス日誌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S10: 職種別アクション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保持と転移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S9-10: AI×バイアス+問い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S10: 仕組みで防ぐ</w:t>
            </w:r>
          </w:p>
        </w:tc>
      </w:tr>
    </w:tbl>
    <w:p/>
    <w:p>
      <w:pPr>
        <w:pStyle w:val="Heading2"/>
      </w:pPr>
      <w:r>
        <w:t>略語一覧</w:t>
      </w:r>
    </w:p>
    <w:p>
      <w:pPr>
        <w:pStyle w:val="Heading2"/>
      </w:pPr>
      <w:r>
        <w:t>略語一覧（印刷して手元に）</w:t>
      </w:r>
    </w:p>
    <w:p>
      <w:r>
        <w:rPr>
          <w:rFonts w:ascii="Calibri" w:hAnsi="Calibri"/>
          <w:b w:val="0"/>
          <w:i/>
          <w:sz w:val="18"/>
        </w:rPr>
        <w:t>本セッションで使用する略語をまとめました。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略語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正式名称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意味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CRM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Crew Resource Management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航空業界発の安全管理手法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ACP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Advance Care Planning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アドバンス・ケア・プランニング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LLM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Large Language Model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大規模言語モデル</w:t>
            </w:r>
          </w:p>
        </w:tc>
      </w:tr>
    </w:tbl>
    <w:p/>
    <w:p>
      <w:r>
        <w:br w:type="page"/>
      </w:r>
    </w:p>
    <w:p>
      <w:pPr>
        <w:pStyle w:val="Heading1"/>
      </w:pPr>
      <w:r>
        <w:t>Part 3: 参考文献 + リンク（配布用）</w:t>
      </w:r>
    </w:p>
    <w:p>
      <w:pPr>
        <w:pStyle w:val="Heading2"/>
      </w:pPr>
      <w:r>
        <w:t>QRコード付き参考文献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Kahneman D.</w:t>
              <w:br/>
              <w:t>Thinking, Fast and Slow</w:t>
              <w:br/>
              <w:t>Farrar, Straus and Giroux, 2011</w:t>
            </w:r>
          </w:p>
          <w:p>
            <w:r>
              <w:rPr>
                <w:color w:val="444499"/>
                <w:sz w:val="12"/>
              </w:rPr>
              <w:t>https://en.wikipedia.org/wiki/Thinking,_Fast_and_Slow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Saposnik G et al.</w:t>
              <w:br/>
              <w:t>Cognitive biases in medical decisions: SR</w:t>
              <w:br/>
              <w:t>BMC Med Inform Decis Mak 2016;16:138</w:t>
            </w:r>
          </w:p>
          <w:p>
            <w:r>
              <w:rPr>
                <w:color w:val="444499"/>
                <w:sz w:val="12"/>
              </w:rPr>
              <w:t>https://pubmed.ncbi.nlm.nih.gov/27809908/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Croskerry P.</w:t>
              <w:br/>
              <w:t>Cognitive forcing strategies</w:t>
              <w:br/>
              <w:t>Ann Emerg Med 2003;41(1):110-120</w:t>
            </w:r>
          </w:p>
          <w:p>
            <w:r>
              <w:rPr>
                <w:color w:val="444499"/>
                <w:sz w:val="12"/>
              </w:rPr>
              <w:t>https://www.annemergmed.com/article/S0196-0644(02)84945...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Ludolph R &amp; Schulz PJ.</w:t>
              <w:br/>
              <w:t>Debiasing Health-Related Judgments: SR</w:t>
              <w:br/>
              <w:t>Med Decis Making 2018;38(1):3-13</w:t>
            </w:r>
          </w:p>
          <w:p>
            <w:r>
              <w:rPr>
                <w:color w:val="444499"/>
                <w:sz w:val="12"/>
              </w:rPr>
              <w:t>https://journals.sagepub.com/doi/full/10.1177/0272989X1...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Ezenwaka O et al.</w:t>
              <w:br/>
              <w:t>Behavioral Economics and Cognitive Bias</w:t>
              <w:br/>
              <w:t>WJARR 2025</w:t>
            </w:r>
          </w:p>
          <w:p>
            <w:r>
              <w:rPr>
                <w:color w:val="444499"/>
                <w:sz w:val="12"/>
              </w:rPr>
              <w:t>https://wjarr.com/content/role-behavioral-economics-and...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Enke B.</w:t>
              <w:br/>
              <w:t>Cognitive Biases: Mistakes or Missing Stakes?</w:t>
              <w:br/>
              <w:t>2023</w:t>
            </w:r>
          </w:p>
          <w:p>
            <w:r>
              <w:rPr>
                <w:color w:val="444499"/>
                <w:sz w:val="12"/>
              </w:rPr>
              <w:t>https://benjamin-enke.com/pdf/Biases_stakes.pdf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Cabrera-Barona PF et al.</w:t>
              <w:br/>
              <w:t>Mitigating Cognitive Biases via Multi-Agent LLM</w:t>
              <w:br/>
              <w:t>JMIR 2024;26:e59439</w:t>
            </w:r>
          </w:p>
          <w:p>
            <w:r>
              <w:rPr>
                <w:color w:val="444499"/>
                <w:sz w:val="12"/>
              </w:rPr>
              <w:t>https://www.jmir.org/2024/1/e59439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Calibri" w:hAnsi="Calibri"/>
          <w:b w:val="0"/>
          <w:i/>
          <w:sz w:val="16"/>
        </w:rPr>
        <w:t>Scribe Agent | AI Agent Team | 2026-03-30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