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ファシリテーターガイド</w:t>
      </w:r>
    </w:p>
    <w:p>
      <w:pPr>
        <w:pStyle w:val="Heading1"/>
      </w:pPr>
      <w:r>
        <w:t>CBE/EPA改革：能力基盤型医学教育の再設計</w:t>
      </w:r>
    </w:p>
    <w:p>
      <w:r>
        <w:rPr>
          <w:b/>
        </w:rPr>
        <w:t xml:space="preserve">対象: </w:t>
      </w:r>
      <w:r>
        <w:t>指導医・プログラムディレクター</w:t>
      </w:r>
    </w:p>
    <w:p>
      <w:r>
        <w:rPr>
          <w:b/>
        </w:rPr>
        <w:t xml:space="preserve">所要時間: </w:t>
      </w:r>
      <w:r>
        <w:t>30分</w:t>
      </w:r>
    </w:p>
    <w:p>
      <w:r>
        <w:rPr>
          <w:b/>
        </w:rPr>
        <w:t xml:space="preserve">作成日: </w:t>
      </w:r>
      <w:r>
        <w:t>2026年3月24日</w:t>
      </w:r>
    </w:p>
    <w:p>
      <w:r>
        <w:br w:type="page"/>
      </w:r>
    </w:p>
    <w:p>
      <w:pPr>
        <w:pStyle w:val="Heading1"/>
      </w:pPr>
      <w:r>
        <w:t>第1部: スライド別スピーキングガイド</w:t>
      </w:r>
    </w:p>
    <w:p>
      <w:pPr>
        <w:pStyle w:val="Heading2"/>
      </w:pPr>
      <w:r>
        <w:t>スライド1: タイトル</w:t>
      </w:r>
    </w:p>
    <w:p>
      <w:pPr>
        <w:pStyle w:val="Heading3"/>
      </w:pPr>
      <w:r>
        <w:t>伝え方</w:t>
      </w:r>
    </w:p>
    <w:p>
      <w:pPr>
        <w:pStyle w:val="ListBullet"/>
      </w:pPr>
      <w:r>
        <w:t>開始前に参加者の自己紹介を促す（名前・所属・担当研修医数）。</w:t>
      </w:r>
    </w:p>
    <w:p>
      <w:pPr>
        <w:pStyle w:val="ListBullet"/>
      </w:pPr>
      <w:r>
        <w:t>「今日は30分で、研修評価の新しい考え方を共有します」と宣言する。</w:t>
      </w:r>
    </w:p>
    <w:p>
      <w:pPr>
        <w:pStyle w:val="ListBullet"/>
      </w:pPr>
      <w:r>
        <w:t>「CBEやEPAという言葉を聞いたことがある方は？」と挙手を求め、既知レベルを把握する。</w:t>
      </w:r>
    </w:p>
    <w:p>
      <w:pPr>
        <w:pStyle w:val="ListBullet"/>
      </w:pPr>
      <w:r>
        <w:t>配布資料がある場合はこの時点で配布する。</w:t>
      </w:r>
    </w:p>
    <w:p>
      <w:pPr>
        <w:pStyle w:val="Heading3"/>
      </w:pPr>
      <w:r>
        <w:t>困ったとき</w:t>
      </w:r>
    </w:p>
    <w:p>
      <w:r>
        <w:rPr>
          <w:b/>
        </w:rPr>
        <w:t>Q: 参加者がほとんどCBEを知らない</w:t>
      </w:r>
    </w:p>
    <w:p>
      <w:r>
        <w:t>A: 「全く問題ありません。今日はゼロから説明しますので安心してください」と伝える。</w:t>
      </w:r>
    </w:p>
    <w:p/>
    <w:p>
      <w:pPr>
        <w:pStyle w:val="Heading2"/>
      </w:pPr>
      <w:r>
        <w:t>スライド2: 導入の問い — 「研修医が"1年目だからできない"のは本当か？」</w:t>
      </w:r>
    </w:p>
    <w:p>
      <w:pPr>
        <w:pStyle w:val="Heading3"/>
      </w:pPr>
      <w:r>
        <w:t>伝え方</w:t>
      </w:r>
    </w:p>
    <w:p>
      <w:pPr>
        <w:pStyle w:val="ListBullet"/>
      </w:pPr>
      <w:r>
        <w:t>「1年目の研修医に中心静脈カテーテルを任せますか？」と問いかける。</w:t>
      </w:r>
    </w:p>
    <w:p>
      <w:pPr>
        <w:pStyle w:val="ListBullet"/>
      </w:pPr>
      <w:r>
        <w:t>多くの指導医が「経験年数」で判断している現実を指摘する。</w:t>
      </w:r>
    </w:p>
    <w:p>
      <w:pPr>
        <w:pStyle w:val="ListBullet"/>
      </w:pPr>
      <w:r>
        <w:t>「もし1年目でも十分な訓練を受けて能力を証明できたら？」と問題提起する。</w:t>
      </w:r>
    </w:p>
    <w:p>
      <w:pPr>
        <w:pStyle w:val="ListBullet"/>
      </w:pPr>
      <w:r>
        <w:t>従来の時間基盤型モデル（2年間で一律修了）の限界を簡潔に説明する。</w:t>
      </w:r>
    </w:p>
    <w:p>
      <w:pPr>
        <w:pStyle w:val="ListBullet"/>
      </w:pPr>
      <w:r>
        <w:t>参加者に30秒間、隣の人と「年数で判断した経験」を共有してもらう。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時間基盤型教育: </w:t>
      </w:r>
      <w:r>
        <w:t>一定期間（例：2年間）の研修を修了すれば能力があるとみなす従来型の教育モデル。</w:t>
      </w:r>
    </w:p>
    <w:p>
      <w:pPr>
        <w:pStyle w:val="Heading3"/>
      </w:pPr>
      <w:r>
        <w:t>困ったとき</w:t>
      </w:r>
    </w:p>
    <w:p>
      <w:r>
        <w:rPr>
          <w:b/>
        </w:rPr>
        <w:t>Q: 「年数で判断するのは当然では？」という反論</w:t>
      </w:r>
    </w:p>
    <w:p>
      <w:r>
        <w:t>A: 「その考えは自然です。ただ、同じ2年間でも到達度に大きな差があることを、この後データでお見せします」と繋げる。</w:t>
      </w:r>
    </w:p>
    <w:p/>
    <w:p>
      <w:pPr>
        <w:pStyle w:val="Heading2"/>
      </w:pPr>
      <w:r>
        <w:t>スライド3: CBEの基本概念 — 「時間ではなく能力で測る」</w:t>
      </w:r>
    </w:p>
    <w:p>
      <w:pPr>
        <w:pStyle w:val="Heading3"/>
      </w:pPr>
      <w:r>
        <w:t>伝え方</w:t>
      </w:r>
    </w:p>
    <w:p>
      <w:pPr>
        <w:pStyle w:val="ListBullet"/>
      </w:pPr>
      <w:r>
        <w:t>CBE（Competency-Based Education）の定義を明確に述べる：「学習者が何を知り、何ができるかを基準にする教育」。</w:t>
      </w:r>
    </w:p>
    <w:p>
      <w:pPr>
        <w:pStyle w:val="ListBullet"/>
      </w:pPr>
      <w:r>
        <w:t>従来モデル（時間基盤）との対比表をスライドで示しながら説明する。</w:t>
      </w:r>
    </w:p>
    <w:p>
      <w:pPr>
        <w:pStyle w:val="ListBullet"/>
      </w:pPr>
      <w:r>
        <w:t>医学教育以外の例を挙げる：パイロット訓練は飛行時間だけでなくシミュレーション評価で判断される。</w:t>
      </w:r>
    </w:p>
    <w:p>
      <w:pPr>
        <w:pStyle w:val="ListBullet"/>
      </w:pPr>
      <w:r>
        <w:t>CBMEはCBEの医学教育版であることを補足する。</w:t>
      </w:r>
    </w:p>
    <w:p>
      <w:pPr>
        <w:pStyle w:val="ListBullet"/>
      </w:pPr>
      <w:r>
        <w:t>ACGMEが2013年にマイルストーンを導入した背景を簡潔に触れる。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CBE: </w:t>
      </w:r>
      <w:r>
        <w:t>Competency-Based Education（コンピテンシー基盤型教育）。学習者の能力到達度を基準にする教育の考え方。</w:t>
      </w:r>
    </w:p>
    <w:p>
      <w:r>
        <w:rPr>
          <w:b/>
        </w:rPr>
        <w:t xml:space="preserve">CBME: </w:t>
      </w:r>
      <w:r>
        <w:t>Competency-Based Medical Education（コンピテンシー基盤型医学教育）。CBEの医学教育への適用。</w:t>
      </w:r>
    </w:p>
    <w:p>
      <w:r>
        <w:rPr>
          <w:b/>
        </w:rPr>
        <w:t xml:space="preserve">マイルストーン: </w:t>
      </w:r>
      <w:r>
        <w:t>ACGMEが定めた、研修の各段階で期待される能力の到達指標。</w:t>
      </w:r>
    </w:p>
    <w:p>
      <w:pPr>
        <w:pStyle w:val="Heading3"/>
      </w:pPr>
      <w:r>
        <w:t>困ったとき</w:t>
      </w:r>
    </w:p>
    <w:p>
      <w:r>
        <w:rPr>
          <w:b/>
        </w:rPr>
        <w:t>Q: 「概念はわかるが実際にどう測るのか」</w:t>
      </w:r>
    </w:p>
    <w:p>
      <w:r>
        <w:t>A: 「次のスライドでEPAという具体的な測定ツールを紹介します」と先を示す。</w:t>
      </w:r>
    </w:p>
    <w:p/>
    <w:p>
      <w:pPr>
        <w:pStyle w:val="Heading2"/>
      </w:pPr>
      <w:r>
        <w:t>スライド4: EPAの5段階 — 任せられる専門的活動</w:t>
      </w:r>
    </w:p>
    <w:p>
      <w:pPr>
        <w:pStyle w:val="Heading3"/>
      </w:pPr>
      <w:r>
        <w:t>伝え方</w:t>
      </w:r>
    </w:p>
    <w:p>
      <w:pPr>
        <w:pStyle w:val="ListBullet"/>
      </w:pPr>
      <w:r>
        <w:t>EPA（Entrustable Professional Activity）を「指導医が研修医に任せてよいと判断できる臨床業務の単位」と定義する。</w:t>
      </w:r>
    </w:p>
    <w:p>
      <w:pPr>
        <w:pStyle w:val="ListBullet"/>
      </w:pPr>
      <w:r>
        <w:t>5段階の信頼レベルを順に説明する：(1)観察のみ (2)直接監督下で実施 (3)間接監督下で実施 (4)独立して実施 (5)後進を指導できる。</w:t>
      </w:r>
    </w:p>
    <w:p>
      <w:pPr>
        <w:pStyle w:val="ListBullet"/>
      </w:pPr>
      <w:r>
        <w:t>具体例を示す：「急性腹症の初期評価」というEPAなら、レベル3は「上級医が院内にいれば一人で対応できる」。</w:t>
      </w:r>
    </w:p>
    <w:p>
      <w:pPr>
        <w:pStyle w:val="ListBullet"/>
      </w:pPr>
      <w:r>
        <w:t>「EPAは能力の"通貨"のようなもの。貯まれば次の段階に進める」と比喩を使う。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EPA: </w:t>
      </w:r>
      <w:r>
        <w:t>Entrustable Professional Activity（任せられる専門的活動）。研修医に委託可能な臨床業務の最小単位。</w:t>
      </w:r>
    </w:p>
    <w:p>
      <w:r>
        <w:rPr>
          <w:b/>
        </w:rPr>
        <w:t xml:space="preserve">信頼レベル: </w:t>
      </w:r>
      <w:r>
        <w:t>EPAにおける5段階の監督度合い。レベルが上がるほど独立性が高い。</w:t>
      </w:r>
    </w:p>
    <w:p>
      <w:pPr>
        <w:pStyle w:val="Heading3"/>
      </w:pPr>
      <w:r>
        <w:t>困ったとき</w:t>
      </w:r>
    </w:p>
    <w:p>
      <w:r>
        <w:rPr>
          <w:b/>
        </w:rPr>
        <w:t>Q: 「5段階の境界が曖昧では？」</w:t>
      </w:r>
    </w:p>
    <w:p>
      <w:r>
        <w:t>A: 「確かに境界は主観的になりがちです。そのため複数の評価者による合議が推奨されています」と説明する。</w:t>
      </w:r>
    </w:p>
    <w:p>
      <w:r>
        <w:rPr>
          <w:b/>
        </w:rPr>
        <w:t>Q: 「日本の研修制度にEPAはあるのか？」</w:t>
      </w:r>
    </w:p>
    <w:p>
      <w:r>
        <w:t>A: 「日本では現在、一部の大学や研修病院でパイロット導入が始まっています。まだ全国統一のEPAリストはありません」と現状を伝える。</w:t>
      </w:r>
    </w:p>
    <w:p/>
    <w:p>
      <w:pPr>
        <w:pStyle w:val="Heading2"/>
      </w:pPr>
      <w:r>
        <w:t>スライド5: 時間変動型研修 — 「できたら進む、できなければ追加」</w:t>
      </w:r>
    </w:p>
    <w:p>
      <w:pPr>
        <w:pStyle w:val="Heading3"/>
      </w:pPr>
      <w:r>
        <w:t>伝え方</w:t>
      </w:r>
    </w:p>
    <w:p>
      <w:pPr>
        <w:pStyle w:val="ListBullet"/>
      </w:pPr>
      <w:r>
        <w:t>従来の「固定時間・変動能力」から「固定能力・変動時間」への転換を図で説明する。</w:t>
      </w:r>
    </w:p>
    <w:p>
      <w:pPr>
        <w:pStyle w:val="ListBullet"/>
      </w:pPr>
      <w:r>
        <w:t>早期修了の例：ある研修医が外科ローテーションのEPAを全て早期にクリアすれば、次のローテーションに進める。</w:t>
      </w:r>
    </w:p>
    <w:p>
      <w:pPr>
        <w:pStyle w:val="ListBullet"/>
      </w:pPr>
      <w:r>
        <w:t>延長の例：基本的な手技のEPAが未達の場合、追加のトレーニング期間が設けられる。</w:t>
      </w:r>
    </w:p>
    <w:p>
      <w:pPr>
        <w:pStyle w:val="ListBullet"/>
      </w:pPr>
      <w:r>
        <w:t>「これは罰ではなく、患者安全のための仕組みです」と強調する。</w:t>
      </w:r>
    </w:p>
    <w:p>
      <w:pPr>
        <w:pStyle w:val="ListBullet"/>
      </w:pPr>
      <w:r>
        <w:t>研修期間の短縮・延長に伴う制度的課題（人員配置、給与）にも言及する。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時間変動型研修: </w:t>
      </w:r>
      <w:r>
        <w:t>能力到達を固定し、研修期間を個人に合わせて変動させるモデル。</w:t>
      </w:r>
    </w:p>
    <w:p>
      <w:r>
        <w:rPr>
          <w:b/>
        </w:rPr>
        <w:t xml:space="preserve">固定時間型研修: </w:t>
      </w:r>
      <w:r>
        <w:t>研修期間を固定し、能力到達が変動する従来モデル。</w:t>
      </w:r>
    </w:p>
    <w:p>
      <w:pPr>
        <w:pStyle w:val="Heading3"/>
      </w:pPr>
      <w:r>
        <w:t>困ったとき</w:t>
      </w:r>
    </w:p>
    <w:p>
      <w:r>
        <w:rPr>
          <w:b/>
        </w:rPr>
        <w:t>Q: 「早く終わった研修医は何をするのか？」</w:t>
      </w:r>
    </w:p>
    <w:p>
      <w:r>
        <w:t>A: 「追加の選択ローテーション、研究活動、あるいはフェローシップへの早期進学などが検討されています」と回答する。</w:t>
      </w:r>
    </w:p>
    <w:p/>
    <w:p>
      <w:pPr>
        <w:pStyle w:val="Heading2"/>
      </w:pPr>
      <w:r>
        <w:t>スライド6: 導入の課題と批判</w:t>
      </w:r>
    </w:p>
    <w:p>
      <w:pPr>
        <w:pStyle w:val="Heading3"/>
      </w:pPr>
      <w:r>
        <w:t>伝え方</w:t>
      </w:r>
    </w:p>
    <w:p>
      <w:pPr>
        <w:pStyle w:val="ListBullet"/>
      </w:pPr>
      <w:r>
        <w:t>評価の信頼性：複数評価者間の一致度が低いというデータを紹介する。</w:t>
      </w:r>
    </w:p>
    <w:p>
      <w:pPr>
        <w:pStyle w:val="ListBullet"/>
      </w:pPr>
      <w:r>
        <w:t>評価負担：指導医一人あたりの評価回数が大幅に増加する問題。</w:t>
      </w:r>
    </w:p>
    <w:p>
      <w:pPr>
        <w:pStyle w:val="ListBullet"/>
      </w:pPr>
      <w:r>
        <w:t>レジデント間の不公平感：修了時期が異なることへの懸念。</w:t>
      </w:r>
    </w:p>
    <w:p>
      <w:pPr>
        <w:pStyle w:val="ListBullet"/>
      </w:pPr>
      <w:r>
        <w:t>制度的障壁：病院の人員配置計画、保険制度との整合性。</w:t>
      </w:r>
    </w:p>
    <w:p>
      <w:pPr>
        <w:pStyle w:val="ListBullet"/>
      </w:pPr>
      <w:r>
        <w:t>「これらの批判は無視できません。だからこそ、どう対応するかが重要です」とバランスを取る。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評価者間信頼性: </w:t>
      </w:r>
      <w:r>
        <w:t>複数の評価者が同じ研修医を評価した際に、結果がどれだけ一致するかを示す指標。</w:t>
      </w:r>
    </w:p>
    <w:p>
      <w:r>
        <w:rPr>
          <w:b/>
        </w:rPr>
        <w:t xml:space="preserve">OSCE: </w:t>
      </w:r>
      <w:r>
        <w:t>Objective Structured Clinical Examination（客観的臨床能力試験）。標準模擬患者を用いた実技試験。</w:t>
      </w:r>
    </w:p>
    <w:p>
      <w:pPr>
        <w:pStyle w:val="Heading3"/>
      </w:pPr>
      <w:r>
        <w:t>困ったとき</w:t>
      </w:r>
    </w:p>
    <w:p>
      <w:r>
        <w:rPr>
          <w:b/>
        </w:rPr>
        <w:t>Q: 「うちの病院では無理だ」という声</w:t>
      </w:r>
    </w:p>
    <w:p>
      <w:r>
        <w:t>A: 「全面導入でなくても、特定のEPA（例：手技系）だけ試験的に導入する方法もあります」と段階的アプローチを提案する。</w:t>
      </w:r>
    </w:p>
    <w:p/>
    <w:p>
      <w:pPr>
        <w:pStyle w:val="Heading2"/>
      </w:pPr>
      <w:r>
        <w:t>スライド7: ディスカッション — 「あなたのプログラムでEPAを導入するなら」</w:t>
      </w:r>
    </w:p>
    <w:p>
      <w:pPr>
        <w:pStyle w:val="Heading3"/>
      </w:pPr>
      <w:r>
        <w:t>伝え方</w:t>
      </w:r>
    </w:p>
    <w:p>
      <w:pPr>
        <w:pStyle w:val="ListBullet"/>
      </w:pPr>
      <w:r>
        <w:t>3〜4人のグループに分かれてもらう。</w:t>
      </w:r>
    </w:p>
    <w:p>
      <w:pPr>
        <w:pStyle w:val="ListBullet"/>
      </w:pPr>
      <w:r>
        <w:t>ディスカッションの問い：「あなたのプログラムで最初に導入すべきEPAを1つ選ぶなら何か？その理由は？」</w:t>
      </w:r>
    </w:p>
    <w:p>
      <w:pPr>
        <w:pStyle w:val="ListBullet"/>
      </w:pPr>
      <w:r>
        <w:t>5分間のグループ討議 → 各グループ1分で発表。</w:t>
      </w:r>
    </w:p>
    <w:p>
      <w:pPr>
        <w:pStyle w:val="ListBullet"/>
      </w:pPr>
      <w:r>
        <w:t>ファシリテーターは各グループの発表を板書またはホワイトボードに記録する。</w:t>
      </w:r>
    </w:p>
    <w:p>
      <w:pPr>
        <w:pStyle w:val="ListBullet"/>
      </w:pPr>
      <w:r>
        <w:t>共通点と相違点を指摘し、「現場の文脈によって優先すべきEPAは異なる」とまとめる。</w:t>
      </w:r>
    </w:p>
    <w:p>
      <w:pPr>
        <w:pStyle w:val="Heading3"/>
      </w:pPr>
      <w:r>
        <w:t>困ったとき</w:t>
      </w:r>
    </w:p>
    <w:p>
      <w:r>
        <w:rPr>
          <w:b/>
        </w:rPr>
        <w:t>Q: 議論が盛り上がらない</w:t>
      </w:r>
    </w:p>
    <w:p>
      <w:r>
        <w:t>A: 「例えば"急患の初期対応"や"退院サマリー作成"などはどうでしょうか？」と具体例を提示して議論を活性化する。</w:t>
      </w:r>
    </w:p>
    <w:p>
      <w:r>
        <w:rPr>
          <w:b/>
        </w:rPr>
        <w:t>Q: 一つのグループが独占する</w:t>
      </w:r>
    </w:p>
    <w:p>
      <w:r>
        <w:t>A: 「他のグループの意見も聞きたいので、次のグループお願いします」とファシリテートする。</w:t>
      </w:r>
    </w:p>
    <w:p/>
    <w:p>
      <w:pPr>
        <w:pStyle w:val="Heading2"/>
      </w:pPr>
      <w:r>
        <w:t>スライド8: 持ち帰り — 「何年目か」ではなく「何ができるか」</w:t>
      </w:r>
    </w:p>
    <w:p>
      <w:pPr>
        <w:pStyle w:val="Heading3"/>
      </w:pPr>
      <w:r>
        <w:t>伝え方</w:t>
      </w:r>
    </w:p>
    <w:p>
      <w:pPr>
        <w:pStyle w:val="ListBullet"/>
      </w:pPr>
      <w:r>
        <w:t>本日のキーメッセージを3点に集約する：(1)能力で測る (2)EPAで具体化する (3)段階的に導入する。</w:t>
      </w:r>
    </w:p>
    <w:p>
      <w:pPr>
        <w:pStyle w:val="ListBullet"/>
      </w:pPr>
      <w:r>
        <w:t>「明日から1つだけ変えるとしたら、研修医への問いかけを"何年目？"から"何ができる？"に変えてみてください」と提案する。</w:t>
      </w:r>
    </w:p>
    <w:p>
      <w:pPr>
        <w:pStyle w:val="ListBullet"/>
      </w:pPr>
      <w:r>
        <w:t>参考文献リストと略語一覧が配布資料にあることを案内する。</w:t>
      </w:r>
    </w:p>
    <w:p>
      <w:pPr>
        <w:pStyle w:val="ListBullet"/>
      </w:pPr>
      <w:r>
        <w:t>質疑応答の時間を設ける（残り時間に応じて3〜5分）。</w:t>
      </w:r>
    </w:p>
    <w:p>
      <w:pPr>
        <w:pStyle w:val="ListBullet"/>
      </w:pPr>
      <w:r>
        <w:t>「ご参加ありがとうございました。ご質問はメールでも受け付けます」と締める。</w:t>
      </w:r>
    </w:p>
    <w:p>
      <w:pPr>
        <w:pStyle w:val="Heading3"/>
      </w:pPr>
      <w:r>
        <w:t>困ったとき</w:t>
      </w:r>
    </w:p>
    <w:p>
      <w:r>
        <w:rPr>
          <w:b/>
        </w:rPr>
        <w:t>Q: 時間が足りなかった</w:t>
      </w:r>
    </w:p>
    <w:p>
      <w:r>
        <w:t>A: 「最後のスライドの要点だけ30秒でまとめ、詳細は配布資料をご覧ください」と対応する。</w:t>
      </w:r>
    </w:p>
    <w:p/>
    <w:p>
      <w:r>
        <w:br w:type="page"/>
      </w:r>
    </w:p>
    <w:p>
      <w:pPr>
        <w:pStyle w:val="Heading1"/>
      </w:pPr>
      <w:r>
        <w:t>略語一覧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略語</w:t>
            </w:r>
          </w:p>
        </w:tc>
        <w:tc>
          <w:tcPr>
            <w:tcW w:type="dxa" w:w="2880"/>
          </w:tcPr>
          <w:p>
            <w:r>
              <w:t>英語フルスペル</w:t>
            </w:r>
          </w:p>
        </w:tc>
        <w:tc>
          <w:tcPr>
            <w:tcW w:type="dxa" w:w="2880"/>
          </w:tcPr>
          <w:p>
            <w:r>
              <w:t>日本語</w:t>
            </w:r>
          </w:p>
        </w:tc>
      </w:tr>
      <w:tr>
        <w:tc>
          <w:tcPr>
            <w:tcW w:type="dxa" w:w="2880"/>
          </w:tcPr>
          <w:p>
            <w:r>
              <w:t>CBE</w:t>
            </w:r>
          </w:p>
        </w:tc>
        <w:tc>
          <w:tcPr>
            <w:tcW w:type="dxa" w:w="2880"/>
          </w:tcPr>
          <w:p>
            <w:r>
              <w:t>Competency-Based Education</w:t>
            </w:r>
          </w:p>
        </w:tc>
        <w:tc>
          <w:tcPr>
            <w:tcW w:type="dxa" w:w="2880"/>
          </w:tcPr>
          <w:p>
            <w:r>
              <w:t>コンピテンシー基盤型教育</w:t>
            </w:r>
          </w:p>
        </w:tc>
      </w:tr>
      <w:tr>
        <w:tc>
          <w:tcPr>
            <w:tcW w:type="dxa" w:w="2880"/>
          </w:tcPr>
          <w:p>
            <w:r>
              <w:t>EPA</w:t>
            </w:r>
          </w:p>
        </w:tc>
        <w:tc>
          <w:tcPr>
            <w:tcW w:type="dxa" w:w="2880"/>
          </w:tcPr>
          <w:p>
            <w:r>
              <w:t>Entrustable Professional Activity</w:t>
            </w:r>
          </w:p>
        </w:tc>
        <w:tc>
          <w:tcPr>
            <w:tcW w:type="dxa" w:w="2880"/>
          </w:tcPr>
          <w:p>
            <w:r>
              <w:t>任せられる専門的活動</w:t>
            </w:r>
          </w:p>
        </w:tc>
      </w:tr>
      <w:tr>
        <w:tc>
          <w:tcPr>
            <w:tcW w:type="dxa" w:w="2880"/>
          </w:tcPr>
          <w:p>
            <w:r>
              <w:t>CBME</w:t>
            </w:r>
          </w:p>
        </w:tc>
        <w:tc>
          <w:tcPr>
            <w:tcW w:type="dxa" w:w="2880"/>
          </w:tcPr>
          <w:p>
            <w:r>
              <w:t>Competency-Based Medical Education</w:t>
            </w:r>
          </w:p>
        </w:tc>
        <w:tc>
          <w:tcPr>
            <w:tcW w:type="dxa" w:w="2880"/>
          </w:tcPr>
          <w:p>
            <w:r>
              <w:t>コンピテンシー基盤型医学教育</w:t>
            </w:r>
          </w:p>
        </w:tc>
      </w:tr>
      <w:tr>
        <w:tc>
          <w:tcPr>
            <w:tcW w:type="dxa" w:w="2880"/>
          </w:tcPr>
          <w:p>
            <w:r>
              <w:t>ACGME</w:t>
            </w:r>
          </w:p>
        </w:tc>
        <w:tc>
          <w:tcPr>
            <w:tcW w:type="dxa" w:w="2880"/>
          </w:tcPr>
          <w:p>
            <w:r>
              <w:t>Accreditation Council for Graduate Medical Education</w:t>
            </w:r>
          </w:p>
        </w:tc>
        <w:tc>
          <w:tcPr>
            <w:tcW w:type="dxa" w:w="2880"/>
          </w:tcPr>
          <w:p>
            <w:r>
              <w:t>米国卒後医学教育認定評議会</w:t>
            </w:r>
          </w:p>
        </w:tc>
      </w:tr>
      <w:tr>
        <w:tc>
          <w:tcPr>
            <w:tcW w:type="dxa" w:w="2880"/>
          </w:tcPr>
          <w:p>
            <w:r>
              <w:t>OSCE</w:t>
            </w:r>
          </w:p>
        </w:tc>
        <w:tc>
          <w:tcPr>
            <w:tcW w:type="dxa" w:w="2880"/>
          </w:tcPr>
          <w:p>
            <w:r>
              <w:t>Objective Structured Clinical Examination</w:t>
            </w:r>
          </w:p>
        </w:tc>
        <w:tc>
          <w:tcPr>
            <w:tcW w:type="dxa" w:w="2880"/>
          </w:tcPr>
          <w:p>
            <w:r>
              <w:t>客観的臨床能力試験</w:t>
            </w:r>
          </w:p>
        </w:tc>
      </w:tr>
      <w:tr>
        <w:tc>
          <w:tcPr>
            <w:tcW w:type="dxa" w:w="2880"/>
          </w:tcPr>
          <w:p>
            <w:r>
              <w:t>Mini-CEX</w:t>
            </w:r>
          </w:p>
        </w:tc>
        <w:tc>
          <w:tcPr>
            <w:tcW w:type="dxa" w:w="2880"/>
          </w:tcPr>
          <w:p>
            <w:r>
              <w:t>Mini Clinical Evaluation Exercise</w:t>
            </w:r>
          </w:p>
        </w:tc>
        <w:tc>
          <w:tcPr>
            <w:tcW w:type="dxa" w:w="2880"/>
          </w:tcPr>
          <w:p>
            <w:r>
              <w:t>ミニ臨床評価演習</w:t>
            </w:r>
          </w:p>
        </w:tc>
      </w:tr>
      <w:tr>
        <w:tc>
          <w:tcPr>
            <w:tcW w:type="dxa" w:w="2880"/>
          </w:tcPr>
          <w:p>
            <w:r>
              <w:t>PD</w:t>
            </w:r>
          </w:p>
        </w:tc>
        <w:tc>
          <w:tcPr>
            <w:tcW w:type="dxa" w:w="2880"/>
          </w:tcPr>
          <w:p>
            <w:r>
              <w:t>Program Director</w:t>
            </w:r>
          </w:p>
        </w:tc>
        <w:tc>
          <w:tcPr>
            <w:tcW w:type="dxa" w:w="2880"/>
          </w:tcPr>
          <w:p>
            <w:r>
              <w:t>プログラムディレクター：研修責任者</w:t>
            </w:r>
          </w:p>
        </w:tc>
      </w:tr>
    </w:tbl>
    <w:p/>
    <w:p>
      <w:r>
        <w:br w:type="page"/>
      </w:r>
    </w:p>
    <w:p>
      <w:pPr>
        <w:pStyle w:val="Heading1"/>
      </w:pPr>
      <w:r>
        <w:t>参考文献・QRコード</w:t>
      </w:r>
    </w:p>
    <w:p>
      <w:pPr>
        <w:pStyle w:val="ListBullet"/>
      </w:pPr>
      <w:r>
        <w:t>Ten Cate O. Entrustability of professional activities and competency-based training. Health Professions Education. 2005.</w:t>
      </w:r>
    </w:p>
    <w:p>
      <w:pPr>
        <w:pStyle w:val="ListBullet"/>
      </w:pPr>
      <w:r>
        <w:t>Frank JR, et al. Competency-based medical education: theory to practice. Medical Teacher. 2010;32(8):638-645.</w:t>
      </w:r>
    </w:p>
    <w:p>
      <w:pPr>
        <w:pStyle w:val="ListBullet"/>
      </w:pPr>
      <w:r>
        <w:t>ACGME Milestones Guidebook. Accreditation Council for Graduate Medical Education. 2020.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color w:val="555555"/>
          <w:sz w:val="16"/>
        </w:rPr>
        <w:t>https://www.acgme.org/</w:t>
      </w:r>
    </w:p>
    <w:p>
      <w:r>
        <w:br w:type="page"/>
      </w:r>
    </w:p>
    <w:p>
      <w:pPr>
        <w:pStyle w:val="Heading1"/>
      </w:pPr>
      <w:r>
        <w:t>困ったときの対処法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状況</w:t>
            </w:r>
          </w:p>
        </w:tc>
        <w:tc>
          <w:tcPr>
            <w:tcW w:type="dxa" w:w="2880"/>
          </w:tcPr>
          <w:p>
            <w:r>
              <w:t>考えられる原因</w:t>
            </w:r>
          </w:p>
        </w:tc>
        <w:tc>
          <w:tcPr>
            <w:tcW w:type="dxa" w:w="2880"/>
          </w:tcPr>
          <w:p>
            <w:r>
              <w:t>対処法</w:t>
            </w:r>
          </w:p>
        </w:tc>
      </w:tr>
      <w:tr>
        <w:tc>
          <w:tcPr>
            <w:tcW w:type="dxa" w:w="2880"/>
          </w:tcPr>
          <w:p>
            <w:r>
              <w:t>参加者の知識レベルにばらつきがある</w:t>
            </w:r>
          </w:p>
        </w:tc>
        <w:tc>
          <w:tcPr>
            <w:tcW w:type="dxa" w:w="2880"/>
          </w:tcPr>
          <w:p>
            <w:r>
              <w:t>対象者の事前確認が不十分</w:t>
            </w:r>
          </w:p>
        </w:tc>
        <w:tc>
          <w:tcPr>
            <w:tcW w:type="dxa" w:w="2880"/>
          </w:tcPr>
          <w:p>
            <w:r>
              <w:t>冒頭で挙手アンケートを行い、説明の深さを調整する</w:t>
            </w:r>
          </w:p>
        </w:tc>
      </w:tr>
      <w:tr>
        <w:tc>
          <w:tcPr>
            <w:tcW w:type="dxa" w:w="2880"/>
          </w:tcPr>
          <w:p>
            <w:r>
              <w:t>「日本には関係ない」という反応</w:t>
            </w:r>
          </w:p>
        </w:tc>
        <w:tc>
          <w:tcPr>
            <w:tcW w:type="dxa" w:w="2880"/>
          </w:tcPr>
          <w:p>
            <w:r>
              <w:t>海外の事例中心に感じられる</w:t>
            </w:r>
          </w:p>
        </w:tc>
        <w:tc>
          <w:tcPr>
            <w:tcW w:type="dxa" w:w="2880"/>
          </w:tcPr>
          <w:p>
            <w:r>
              <w:t>日本の臨床研修制度の課題と結びつけて説明する。例：「研修修了＝能力保証ではない現状」</w:t>
            </w:r>
          </w:p>
        </w:tc>
      </w:tr>
      <w:tr>
        <w:tc>
          <w:tcPr>
            <w:tcW w:type="dxa" w:w="2880"/>
          </w:tcPr>
          <w:p>
            <w:r>
              <w:t>ディスカッションが停滞する</w:t>
            </w:r>
          </w:p>
        </w:tc>
        <w:tc>
          <w:tcPr>
            <w:tcW w:type="dxa" w:w="2880"/>
          </w:tcPr>
          <w:p>
            <w:r>
              <w:t>問いが抽象的すぎる</w:t>
            </w:r>
          </w:p>
        </w:tc>
        <w:tc>
          <w:tcPr>
            <w:tcW w:type="dxa" w:w="2880"/>
          </w:tcPr>
          <w:p>
            <w:r>
              <w:t>具体的な臨床場面（例：当直での急患対応）を提示して議論を促す</w:t>
            </w:r>
          </w:p>
        </w:tc>
      </w:tr>
      <w:tr>
        <w:tc>
          <w:tcPr>
            <w:tcW w:type="dxa" w:w="2880"/>
          </w:tcPr>
          <w:p>
            <w:r>
              <w:t>時間が足りない</w:t>
            </w:r>
          </w:p>
        </w:tc>
        <w:tc>
          <w:tcPr>
            <w:tcW w:type="dxa" w:w="2880"/>
          </w:tcPr>
          <w:p>
            <w:r>
              <w:t>各スライドの説明が長引いた</w:t>
            </w:r>
          </w:p>
        </w:tc>
        <w:tc>
          <w:tcPr>
            <w:tcW w:type="dxa" w:w="2880"/>
          </w:tcPr>
          <w:p>
            <w:r>
              <w:t>スライド6（課題と批判）を簡略化し、ディスカッション時間を確保する</w:t>
            </w:r>
          </w:p>
        </w:tc>
      </w:tr>
      <w:tr>
        <w:tc>
          <w:tcPr>
            <w:tcW w:type="dxa" w:w="2880"/>
          </w:tcPr>
          <w:p>
            <w:r>
              <w:t>「評価が増えて大変」という不安</w:t>
            </w:r>
          </w:p>
        </w:tc>
        <w:tc>
          <w:tcPr>
            <w:tcW w:type="dxa" w:w="2880"/>
          </w:tcPr>
          <w:p>
            <w:r>
              <w:t>EPA導入の負担への懸念</w:t>
            </w:r>
          </w:p>
        </w:tc>
        <w:tc>
          <w:tcPr>
            <w:tcW w:type="dxa" w:w="2880"/>
          </w:tcPr>
          <w:p>
            <w:r>
              <w:t>「全EPAを一度に導入する必要はない。まず1〜2個から」と段階的導入を提案する</w:t>
            </w:r>
          </w:p>
        </w:tc>
      </w:tr>
      <w:tr>
        <w:tc>
          <w:tcPr>
            <w:tcW w:type="dxa" w:w="2880"/>
          </w:tcPr>
          <w:p>
            <w:r>
              <w:t>プロジェクター/機材トラブル</w:t>
            </w:r>
          </w:p>
        </w:tc>
        <w:tc>
          <w:tcPr>
            <w:tcW w:type="dxa" w:w="2880"/>
          </w:tcPr>
          <w:p>
            <w:r>
              <w:t>事前の動作確認不足</w:t>
            </w:r>
          </w:p>
        </w:tc>
        <w:tc>
          <w:tcPr>
            <w:tcW w:type="dxa" w:w="2880"/>
          </w:tcPr>
          <w:p>
            <w:r>
              <w:t>配布資料だけでも進行できるよう、手元資料にスライド縮小版を含める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