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333333"/>
          <w:sz w:val="44"/>
        </w:rPr>
        <w:t>2026年度 診療報酬改定</w:t>
        <w:br/>
        <w:t>管理者・指導医のための完全ガイド</w:t>
      </w:r>
    </w:p>
    <w:p>
      <w:r>
        <w:rPr>
          <w:rFonts w:ascii="Calibri" w:hAnsi="Calibri"/>
          <w:b w:val="0"/>
          <w:i/>
          <w:sz w:val="18"/>
        </w:rPr>
        <w:t>対象: 指導医・管理職 | スライド30枚 | ガニェの9教授事象 | 2026-03-28</w:t>
      </w:r>
    </w:p>
    <w:p>
      <w:pPr>
        <w:pStyle w:val="Heading1"/>
      </w:pPr>
      <w:r>
        <w:t>Part 1: チートシート（印刷して手元に）</w:t>
      </w:r>
    </w:p>
    <w:p>
      <w:pPr>
        <w:pStyle w:val="Heading2"/>
      </w:pPr>
      <w:r>
        <w:t>チートシート1: 改定全体像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1417"/>
        <w:gridCol w:w="1984"/>
        <w:gridCol w:w="1701"/>
      </w:tblGrid>
      <w:tr>
        <w:tc>
          <w:tcPr>
            <w:tcW w:type="dxa" w:w="216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16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改定率</w:t>
            </w:r>
          </w:p>
        </w:tc>
        <w:tc>
          <w:tcPr>
            <w:tcW w:type="dxa" w:w="216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概算影響額</w:t>
            </w:r>
          </w:p>
        </w:tc>
        <w:tc>
          <w:tcPr>
            <w:tcW w:type="dxa" w:w="216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賃上げ対応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+1.70%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約7,700億円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全体の55%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物価高騰対応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+0.76%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約3,400億円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2段階実施</w:t>
            </w:r>
          </w:p>
        </w:tc>
      </w:tr>
      <w:tr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食費・光熱水費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+0.09%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約400億円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入院のみ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経営難緊急対応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+0.44%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約2,000億円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緊急措置</w:t>
            </w:r>
          </w:p>
        </w:tc>
      </w:tr>
      <w:tr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合計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+3.09%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約1.35兆円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30年ぶり</w:t>
            </w:r>
          </w:p>
        </w:tc>
      </w:tr>
    </w:tbl>
    <w:p/>
    <w:p>
      <w:pPr>
        <w:pStyle w:val="Heading2"/>
      </w:pPr>
      <w:r>
        <w:t>チートシート2: 外来改定の主要変更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1701"/>
        <w:gridCol w:w="1984"/>
        <w:gridCol w:w="2268"/>
      </w:tblGrid>
      <w:tr>
        <w:tc>
          <w:tcPr>
            <w:tcW w:type="dxa" w:w="216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16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旧制度</w:t>
            </w:r>
          </w:p>
        </w:tc>
        <w:tc>
          <w:tcPr>
            <w:tcW w:type="dxa" w:w="216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新制度</w:t>
            </w:r>
          </w:p>
        </w:tc>
        <w:tc>
          <w:tcPr>
            <w:tcW w:type="dxa" w:w="216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経営インパクト</w:t>
            </w:r>
          </w:p>
        </w:tc>
      </w:tr>
      <w:tr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再診料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75点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76点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100人/日で年間約36万円増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機能強化加算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80点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80点（維持）+ BCP義務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未策定なら算定不可</w:t>
            </w:r>
          </w:p>
        </w:tc>
      </w:tr>
      <w:tr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地域包括診療加算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1区分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2区分（28点/20点）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認知症研修で+8点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ベースアップ評価料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6点（医療従事者）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17点（全職員）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100人/日で年間約600万円増</w:t>
            </w:r>
          </w:p>
        </w:tc>
      </w:tr>
      <w:tr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物価対応料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なし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初診2点/再診2点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2027年度倍増予定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電子的診療情報連携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DX推進+情報取得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統合3区分（15/9/4点）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区分差で年間約400万円</w:t>
            </w:r>
          </w:p>
        </w:tc>
      </w:tr>
      <w:tr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生活習慣病管理料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Ⅰ/Ⅱ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Ⅰ/Ⅱ+眼科/歯科連携加算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連携体制で加算可</w:t>
            </w:r>
          </w:p>
        </w:tc>
      </w:tr>
    </w:tbl>
    <w:p/>
    <w:p>
      <w:pPr>
        <w:pStyle w:val="Heading2"/>
      </w:pPr>
      <w:r>
        <w:t>チートシート3: 入院改定の主要変更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551"/>
        <w:gridCol w:w="3118"/>
      </w:tblGrid>
      <w:tr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変更内容</w:t>
            </w:r>
          </w:p>
        </w:tc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管理職への示唆</w:t>
            </w:r>
          </w:p>
        </w:tc>
      </w:tr>
      <w:tr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地域包括医療病棟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6区分に細分化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自院の該当区分を早期に評価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急性期入院料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重症度基準精緻化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「急性期」の定義厳格化に対応</w:t>
            </w:r>
          </w:p>
        </w:tc>
      </w:tr>
      <w:tr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総合診療機能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初の点数化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総合診療医の採用・育成が戦略に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紹介患者受入加算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新設60点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連携パス整備が収益に直結</w:t>
            </w:r>
          </w:p>
        </w:tc>
      </w:tr>
      <w:tr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救急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実施→体制加算化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受入体制整備が安定収入源に</w:t>
            </w:r>
          </w:p>
        </w:tc>
      </w:tr>
    </w:tbl>
    <w:p/>
    <w:p>
      <w:pPr>
        <w:pStyle w:val="Heading2"/>
      </w:pPr>
      <w:r>
        <w:t>チートシート4: BCP策定チェックリスト</w:t>
      </w:r>
    </w:p>
    <w:p>
      <w:pPr>
        <w:pStyle w:val="Heading3"/>
      </w:pPr>
      <w:r>
        <w:t>対象施設基準</w:t>
      </w:r>
    </w:p>
    <w:p>
      <w:pPr>
        <w:pStyle w:val="ListBullet"/>
      </w:pPr>
      <w:r>
        <w:t>機能強化加算（経過措置: 2027年5月31日）</w:t>
      </w:r>
    </w:p>
    <w:p>
      <w:pPr>
        <w:pStyle w:val="ListBullet"/>
      </w:pPr>
      <w:r>
        <w:t>在宅療養支援診療所（在支診）</w:t>
      </w:r>
    </w:p>
    <w:p>
      <w:pPr>
        <w:pStyle w:val="ListBullet"/>
      </w:pPr>
      <w:r>
        <w:t>在宅療養支援病院（在支病）</w:t>
      </w:r>
    </w:p>
    <w:p>
      <w:pPr>
        <w:pStyle w:val="Heading3"/>
      </w:pPr>
      <w:r>
        <w:t>自然災害BCP（7項目）</w:t>
      </w:r>
    </w:p>
    <w:p>
      <w:pPr>
        <w:pStyle w:val="ListBullet"/>
      </w:pPr>
      <w:r>
        <w:t>優先業務の特定と順位付け</w:t>
      </w:r>
    </w:p>
    <w:p>
      <w:pPr>
        <w:pStyle w:val="ListBullet"/>
      </w:pPr>
      <w:r>
        <w:t>職員参集計画（連絡網・代替手段）</w:t>
      </w:r>
    </w:p>
    <w:p>
      <w:pPr>
        <w:pStyle w:val="ListBullet"/>
      </w:pPr>
      <w:r>
        <w:t>患者安全確保手順</w:t>
      </w:r>
    </w:p>
    <w:p>
      <w:pPr>
        <w:pStyle w:val="ListBullet"/>
      </w:pPr>
      <w:r>
        <w:t>ライフライン途絶時の対応</w:t>
      </w:r>
    </w:p>
    <w:p>
      <w:pPr>
        <w:pStyle w:val="ListBullet"/>
      </w:pPr>
      <w:r>
        <w:t>備蓄計画（医薬品・食料・燃料）</w:t>
      </w:r>
    </w:p>
    <w:p>
      <w:pPr>
        <w:pStyle w:val="ListBullet"/>
      </w:pPr>
      <w:r>
        <w:t>地域連携体制（受入・搬送）</w:t>
      </w:r>
    </w:p>
    <w:p>
      <w:pPr>
        <w:pStyle w:val="ListBullet"/>
      </w:pPr>
      <w:r>
        <w:t>年1回以上の訓練実施</w:t>
      </w:r>
    </w:p>
    <w:p>
      <w:pPr>
        <w:pStyle w:val="Heading3"/>
      </w:pPr>
      <w:r>
        <w:t>サイバーセキュリティBCP（5項目）</w:t>
      </w:r>
    </w:p>
    <w:p>
      <w:pPr>
        <w:pStyle w:val="ListBullet"/>
      </w:pPr>
      <w:r>
        <w:t>バックアップ体制（3-2-1ルール）</w:t>
      </w:r>
    </w:p>
    <w:p>
      <w:pPr>
        <w:pStyle w:val="ListBullet"/>
      </w:pPr>
      <w:r>
        <w:t>ランサムウェア対策（ネットワーク分離）</w:t>
      </w:r>
    </w:p>
    <w:p>
      <w:pPr>
        <w:pStyle w:val="ListBullet"/>
      </w:pPr>
      <w:r>
        <w:t>紙カルテ運用への切り替え手順</w:t>
      </w:r>
    </w:p>
    <w:p>
      <w:pPr>
        <w:pStyle w:val="ListBullet"/>
      </w:pPr>
      <w:r>
        <w:t>全職員向けセキュリティ教育（年1回以上）</w:t>
      </w:r>
    </w:p>
    <w:p>
      <w:pPr>
        <w:pStyle w:val="ListBullet"/>
      </w:pPr>
      <w:r>
        <w:t>インシデント発生時の報告・対応フロー</w:t>
      </w:r>
    </w:p>
    <w:p>
      <w:pPr>
        <w:pStyle w:val="Heading2"/>
      </w:pPr>
      <w:r>
        <w:t>チートシート5: 医療DX 3区分の要件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850"/>
        <w:gridCol w:w="1417"/>
        <w:gridCol w:w="1417"/>
        <w:gridCol w:w="1701"/>
      </w:tblGrid>
      <w:tr>
        <w:tc>
          <w:tcPr>
            <w:tcW w:type="dxa" w:w="1728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1728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点数</w:t>
            </w:r>
          </w:p>
        </w:tc>
        <w:tc>
          <w:tcPr>
            <w:tcW w:type="dxa" w:w="1728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電子処方箋</w:t>
            </w:r>
          </w:p>
        </w:tc>
        <w:tc>
          <w:tcPr>
            <w:tcW w:type="dxa" w:w="1728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マイナ利用率</w:t>
            </w:r>
          </w:p>
        </w:tc>
        <w:tc>
          <w:tcPr>
            <w:tcW w:type="dxa" w:w="1728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要件概要</w:t>
            </w:r>
          </w:p>
        </w:tc>
      </w:tr>
      <w:tr>
        <w:tc>
          <w:tcPr>
            <w:tcW w:type="dxa" w:w="1728"/>
            <w:shd w:fill="E8F0F0" w:val="clear"/>
          </w:tcPr>
          <w:p>
            <w:r>
              <w:rPr>
                <w:rFonts w:ascii="Calibri" w:hAnsi="Calibri"/>
                <w:sz w:val="18"/>
              </w:rPr>
              <w:t>区分1</w:t>
            </w:r>
          </w:p>
        </w:tc>
        <w:tc>
          <w:tcPr>
            <w:tcW w:type="dxa" w:w="1728"/>
            <w:shd w:fill="E8F0F0" w:val="clear"/>
          </w:tcPr>
          <w:p>
            <w:r>
              <w:rPr>
                <w:rFonts w:ascii="Calibri" w:hAnsi="Calibri"/>
                <w:sz w:val="18"/>
              </w:rPr>
              <w:t>15点</w:t>
            </w:r>
          </w:p>
        </w:tc>
        <w:tc>
          <w:tcPr>
            <w:tcW w:type="dxa" w:w="1728"/>
            <w:shd w:fill="E8F0F0" w:val="clear"/>
          </w:tcPr>
          <w:p>
            <w:r>
              <w:rPr>
                <w:rFonts w:ascii="Calibri" w:hAnsi="Calibri"/>
                <w:sz w:val="18"/>
              </w:rPr>
              <w:t>実績あり</w:t>
            </w:r>
          </w:p>
        </w:tc>
        <w:tc>
          <w:tcPr>
            <w:tcW w:type="dxa" w:w="1728"/>
            <w:shd w:fill="E8F0F0" w:val="clear"/>
          </w:tcPr>
          <w:p>
            <w:r>
              <w:rPr>
                <w:rFonts w:ascii="Calibri" w:hAnsi="Calibri"/>
                <w:sz w:val="18"/>
              </w:rPr>
              <w:t>30%以上</w:t>
            </w:r>
          </w:p>
        </w:tc>
        <w:tc>
          <w:tcPr>
            <w:tcW w:type="dxa" w:w="1728"/>
            <w:shd w:fill="E8F0F0" w:val="clear"/>
          </w:tcPr>
          <w:p>
            <w:r>
              <w:rPr>
                <w:rFonts w:ascii="Calibri" w:hAnsi="Calibri"/>
                <w:sz w:val="18"/>
              </w:rPr>
              <w:t>フル対応</w:t>
            </w:r>
          </w:p>
        </w:tc>
      </w:tr>
      <w:tr>
        <w:tc>
          <w:tcPr>
            <w:tcW w:type="dxa" w:w="1728"/>
            <w:shd w:fill="FFFFFF" w:val="clear"/>
          </w:tcPr>
          <w:p>
            <w:r>
              <w:rPr>
                <w:rFonts w:ascii="Calibri" w:hAnsi="Calibri"/>
                <w:sz w:val="18"/>
              </w:rPr>
              <w:t>区分2</w:t>
            </w:r>
          </w:p>
        </w:tc>
        <w:tc>
          <w:tcPr>
            <w:tcW w:type="dxa" w:w="1728"/>
            <w:shd w:fill="FFFFFF" w:val="clear"/>
          </w:tcPr>
          <w:p>
            <w:r>
              <w:rPr>
                <w:rFonts w:ascii="Calibri" w:hAnsi="Calibri"/>
                <w:sz w:val="18"/>
              </w:rPr>
              <w:t>9点</w:t>
            </w:r>
          </w:p>
        </w:tc>
        <w:tc>
          <w:tcPr>
            <w:tcW w:type="dxa" w:w="1728"/>
            <w:shd w:fill="FFFFFF" w:val="clear"/>
          </w:tcPr>
          <w:p>
            <w:r>
              <w:rPr>
                <w:rFonts w:ascii="Calibri" w:hAnsi="Calibri"/>
                <w:sz w:val="18"/>
              </w:rPr>
              <w:t>体制あり</w:t>
            </w:r>
          </w:p>
        </w:tc>
        <w:tc>
          <w:tcPr>
            <w:tcW w:type="dxa" w:w="1728"/>
            <w:shd w:fill="FFFFFF" w:val="clear"/>
          </w:tcPr>
          <w:p>
            <w:r>
              <w:rPr>
                <w:rFonts w:ascii="Calibri" w:hAnsi="Calibri"/>
                <w:sz w:val="18"/>
              </w:rPr>
              <w:t>要件なし</w:t>
            </w:r>
          </w:p>
        </w:tc>
        <w:tc>
          <w:tcPr>
            <w:tcW w:type="dxa" w:w="1728"/>
            <w:shd w:fill="FFFFFF" w:val="clear"/>
          </w:tcPr>
          <w:p>
            <w:r>
              <w:rPr>
                <w:rFonts w:ascii="Calibri" w:hAnsi="Calibri"/>
                <w:sz w:val="18"/>
              </w:rPr>
              <w:t>中間</w:t>
            </w:r>
          </w:p>
        </w:tc>
      </w:tr>
      <w:tr>
        <w:tc>
          <w:tcPr>
            <w:tcW w:type="dxa" w:w="1728"/>
            <w:shd w:fill="E8F0F0" w:val="clear"/>
          </w:tcPr>
          <w:p>
            <w:r>
              <w:rPr>
                <w:rFonts w:ascii="Calibri" w:hAnsi="Calibri"/>
                <w:sz w:val="18"/>
              </w:rPr>
              <w:t>区分3</w:t>
            </w:r>
          </w:p>
        </w:tc>
        <w:tc>
          <w:tcPr>
            <w:tcW w:type="dxa" w:w="1728"/>
            <w:shd w:fill="E8F0F0" w:val="clear"/>
          </w:tcPr>
          <w:p>
            <w:r>
              <w:rPr>
                <w:rFonts w:ascii="Calibri" w:hAnsi="Calibri"/>
                <w:sz w:val="18"/>
              </w:rPr>
              <w:t>4点</w:t>
            </w:r>
          </w:p>
        </w:tc>
        <w:tc>
          <w:tcPr>
            <w:tcW w:type="dxa" w:w="1728"/>
            <w:shd w:fill="E8F0F0" w:val="clear"/>
          </w:tcPr>
          <w:p>
            <w:r>
              <w:rPr>
                <w:rFonts w:ascii="Calibri" w:hAnsi="Calibri"/>
                <w:sz w:val="18"/>
              </w:rPr>
              <w:t>不要</w:t>
            </w:r>
          </w:p>
        </w:tc>
        <w:tc>
          <w:tcPr>
            <w:tcW w:type="dxa" w:w="1728"/>
            <w:shd w:fill="E8F0F0" w:val="clear"/>
          </w:tcPr>
          <w:p>
            <w:r>
              <w:rPr>
                <w:rFonts w:ascii="Calibri" w:hAnsi="Calibri"/>
                <w:sz w:val="18"/>
              </w:rPr>
              <w:t>基本体制</w:t>
            </w:r>
          </w:p>
        </w:tc>
        <w:tc>
          <w:tcPr>
            <w:tcW w:type="dxa" w:w="1728"/>
            <w:shd w:fill="E8F0F0" w:val="clear"/>
          </w:tcPr>
          <w:p>
            <w:r>
              <w:rPr>
                <w:rFonts w:ascii="Calibri" w:hAnsi="Calibri"/>
                <w:sz w:val="18"/>
              </w:rPr>
              <w:t>最低限</w:t>
            </w:r>
          </w:p>
        </w:tc>
      </w:tr>
    </w:tbl>
    <w:p/>
    <w:p>
      <w:pPr>
        <w:pStyle w:val="Heading2"/>
      </w:pPr>
      <w:r>
        <w:t>チートシート6: 施設基準 優先度マトリクス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7"/>
        <w:gridCol w:w="3402"/>
        <w:gridCol w:w="2551"/>
      </w:tblGrid>
      <w:tr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効果大</w:t>
            </w:r>
          </w:p>
        </w:tc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効果小</w:t>
            </w:r>
          </w:p>
        </w:tc>
      </w:tr>
      <w:tr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緊急度高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BCP策定（期限あり）/ ベースアップ評価料申請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物価対応料の届出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緊急度低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電子処方箋導入 / 地域包括診療加算1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その他の加算見直し</w:t>
            </w:r>
          </w:p>
        </w:tc>
      </w:tr>
    </w:tbl>
    <w:p/>
    <w:p>
      <w:pPr>
        <w:pStyle w:val="Heading1"/>
      </w:pPr>
      <w:r>
        <w:t>Part 2: インストラクショナルデザイン</w:t>
      </w:r>
    </w:p>
    <w:p>
      <w:pPr>
        <w:pStyle w:val="Heading2"/>
      </w:pPr>
      <w:r>
        <w:t>ガニェの9教授事象マッピング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7"/>
        <w:gridCol w:w="1417"/>
        <w:gridCol w:w="1134"/>
        <w:gridCol w:w="4252"/>
      </w:tblGrid>
      <w:tr>
        <w:tc>
          <w:tcPr>
            <w:tcW w:type="dxa" w:w="216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事象</w:t>
            </w:r>
          </w:p>
        </w:tc>
        <w:tc>
          <w:tcPr>
            <w:tcW w:type="dxa" w:w="216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スライド</w:t>
            </w:r>
          </w:p>
        </w:tc>
        <w:tc>
          <w:tcPr>
            <w:tcW w:type="dxa" w:w="216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実装</w:t>
            </w:r>
          </w:p>
        </w:tc>
      </w:tr>
      <w:tr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注意喚起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S1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「30年ぶり+3.09%」のインパクト数字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学習目標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S2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分析→評価→創造の3段階</w:t>
            </w:r>
          </w:p>
        </w:tc>
      </w:tr>
      <w:tr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前提想起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S3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過去の改定率との比較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内容提示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S4-S26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5セクションに分けて体系的に解説</w:t>
            </w:r>
          </w:p>
        </w:tc>
      </w:tr>
      <w:tr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学習指針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S5, S19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4つの柱/体制→実績への転換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練習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S27-S28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シミュレーション/優先度マトリクス</w:t>
            </w:r>
          </w:p>
        </w:tc>
      </w:tr>
      <w:tr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フィードバック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S29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全職員への伝え方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評価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S30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5つのアクションで自院を振り返る</w:t>
            </w:r>
          </w:p>
        </w:tc>
      </w:tr>
      <w:tr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保持・転移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S30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帰り道の問い</w:t>
            </w:r>
          </w:p>
        </w:tc>
      </w:tr>
    </w:tbl>
    <w:p/>
    <w:p>
      <w:pPr>
        <w:pStyle w:val="Heading2"/>
      </w:pPr>
      <w:r>
        <w:t>ブルームの分類法（指導医・管理職向け）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4535"/>
        <w:gridCol w:w="1701"/>
      </w:tblGrid>
      <w:tr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レベル</w:t>
            </w:r>
          </w:p>
        </w:tc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学習目標</w:t>
            </w:r>
          </w:p>
        </w:tc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対応スライド</w:t>
            </w:r>
          </w:p>
        </w:tc>
      </w:tr>
      <w:tr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分析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改定の構造的背景と4つの柱の相互関係を説明できる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S3-S5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評価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自院への影響を定量的に判断できる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S7-S26</w:t>
            </w:r>
          </w:p>
        </w:tc>
      </w:tr>
      <w:tr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創造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施設基準取得・維持の戦略ロードマップを立案できる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S27-S30</w:t>
            </w:r>
          </w:p>
        </w:tc>
      </w:tr>
    </w:tbl>
    <w:p/>
    <w:p>
      <w:pPr>
        <w:pStyle w:val="Heading1"/>
      </w:pPr>
      <w:r>
        <w:t>Part 3: 参考文献</w:t>
      </w:r>
    </w:p>
    <w:p>
      <w:pPr>
        <w:pStyle w:val="Heading2"/>
      </w:pPr>
      <w:r>
        <w:t>QRコード付き参考文献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50"/>
        <w:gridCol w:w="4696"/>
        <w:gridCol w:w="850"/>
        <w:gridCol w:w="4055"/>
      </w:tblGrid>
      <w:tr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6"/>
              </w:rPr>
              <w:t>厚生労働省</w:t>
              <w:br/>
              <w:t>令和8年度診療報酬改定の概要</w:t>
            </w:r>
          </w:p>
          <w:p>
            <w:r>
              <w:rPr>
                <w:color w:val="444499"/>
                <w:sz w:val="12"/>
              </w:rPr>
              <w:t>https://www.mhlw.go.jp/stf/seisakunitsuite/bunya/000018...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6"/>
              </w:rPr>
              <w:t>厚生労働省</w:t>
              <w:br/>
              <w:t>中医協 答申</w:t>
            </w:r>
          </w:p>
          <w:p>
            <w:r>
              <w:rPr>
                <w:color w:val="444499"/>
                <w:sz w:val="12"/>
              </w:rPr>
              <w:t>https://www.mhlw.go.jp/stf/shingi/shingi-chuo_128154.ht...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6"/>
              </w:rPr>
              <w:t>日本医師会</w:t>
              <w:br/>
              <w:t>令和8年度診療報酬改定への対応</w:t>
            </w:r>
          </w:p>
          <w:p>
            <w:r>
              <w:rPr>
                <w:color w:val="444499"/>
                <w:sz w:val="12"/>
              </w:rPr>
              <w:t>https://www.med.or.jp/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6"/>
              </w:rPr>
              <w:t>ユヤマ</w:t>
              <w:br/>
              <w:t>改定の要点と対策</w:t>
            </w:r>
          </w:p>
          <w:p>
            <w:r>
              <w:rPr>
                <w:color w:val="444499"/>
                <w:sz w:val="12"/>
              </w:rPr>
              <w:t>https://www.yuyama.co.jp/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6"/>
              </w:rPr>
              <w:t>東京保険医協会</w:t>
              <w:br/>
              <w:t>診療報酬改定特集</w:t>
            </w:r>
          </w:p>
          <w:p>
            <w:r>
              <w:rPr>
                <w:color w:val="444499"/>
                <w:sz w:val="12"/>
              </w:rPr>
              <w:t>https://www.hokeni.org/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6"/>
              </w:rPr>
              <w:t>GemMed</w:t>
              <w:br/>
              <w:t>2026年度診療報酬改定分析</w:t>
            </w:r>
          </w:p>
          <w:p>
            <w:r>
              <w:rPr>
                <w:color w:val="444499"/>
                <w:sz w:val="12"/>
              </w:rPr>
              <w:t>https://gemmed.ghc-j.com/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6"/>
              </w:rPr>
              <w:t>社会保険研究所</w:t>
              <w:br/>
              <w:t>診療報酬改定資料</w:t>
            </w:r>
          </w:p>
          <w:p>
            <w:r>
              <w:rPr>
                <w:color w:val="444499"/>
                <w:sz w:val="12"/>
              </w:rPr>
              <w:t>https://www.shaho.co.jp/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6"/>
              </w:rPr>
              <w:t>メディカルオンライン</w:t>
              <w:br/>
              <w:t>改定の実務対応</w:t>
            </w:r>
          </w:p>
          <w:p>
            <w:r>
              <w:rPr>
                <w:color w:val="444499"/>
                <w:sz w:val="12"/>
              </w:rPr>
              <w:t>https://www.medicalonline.jp/</w:t>
            </w:r>
          </w:p>
        </w:tc>
      </w:tr>
    </w:tbl>
    <w:p/>
    <w:p>
      <w:r>
        <w:rPr>
          <w:rFonts w:ascii="Calibri" w:hAnsi="Calibri"/>
          <w:b w:val="0"/>
          <w:i w:val="0"/>
        </w:rPr>
      </w:r>
    </w:p>
    <w:p>
      <w:r>
        <w:rPr>
          <w:rFonts w:ascii="Calibri" w:hAnsi="Calibri"/>
          <w:b w:val="0"/>
          <w:i/>
          <w:sz w:val="16"/>
        </w:rPr>
        <w:t>Scribe Agent | AI Agent Team | 2026-03-28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