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ファシリテーターガイド: 利用可能性バイアスと診断推論</w:t>
      </w:r>
    </w:p>
    <w:p>
      <w:pPr>
        <w:pStyle w:val="Heading2"/>
      </w:pPr>
      <w:r>
        <w:t>2026-03-29 | item-006</w:t>
      </w:r>
    </w:p>
    <w:p>
      <w:r>
        <w:br w:type="page"/>
      </w:r>
    </w:p>
    <w:p>
      <w:pPr>
        <w:pStyle w:val="Heading1"/>
      </w:pPr>
      <w:r>
        <w:t>Part 1: チートシート（印刷して手元に持つ用）</w:t>
      </w:r>
    </w:p>
    <w:p>
      <w:r>
        <w:br w:type="page"/>
      </w:r>
    </w:p>
    <w:p>
      <w:pPr>
        <w:pStyle w:val="Heading2"/>
      </w:pPr>
      <w:r>
        <w:t>必要物品と使い方</w:t>
      </w:r>
    </w:p>
    <w:tbl>
      <w:tblPr>
        <w:tblStyle w:val="TableGrid"/>
        <w:tblW w:type="auto" w:w="0"/>
        <w:tblLook w:firstColumn="1" w:firstRow="1" w:lastColumn="0" w:lastRow="0" w:noHBand="0" w:noVBand="1" w:val="04A0"/>
      </w:tblPr>
      <w:tblGrid>
        <w:gridCol w:w="3416"/>
        <w:gridCol w:w="2474"/>
        <w:gridCol w:w="3181"/>
      </w:tblGrid>
      <w:tr>
        <w:tc>
          <w:tcPr>
            <w:tcW w:type="dxa" w:w="2880"/>
          </w:tcPr>
          <w:p>
            <w:r>
              <w:rPr>
                <w:rFonts w:ascii="Noto Sans CJK JP" w:hAnsi="Noto Sans CJK JP"/>
                <w:b/>
                <w:sz w:val="20"/>
              </w:rPr>
              <w:t>物品</w:t>
            </w:r>
          </w:p>
        </w:tc>
        <w:tc>
          <w:tcPr>
            <w:tcW w:type="dxa" w:w="2880"/>
          </w:tcPr>
          <w:p>
            <w:r>
              <w:rPr>
                <w:rFonts w:ascii="Noto Sans CJK JP" w:hAnsi="Noto Sans CJK JP"/>
                <w:b/>
                <w:sz w:val="20"/>
              </w:rPr>
              <w:t>用途</w:t>
            </w:r>
          </w:p>
        </w:tc>
        <w:tc>
          <w:tcPr>
            <w:tcW w:type="dxa" w:w="2880"/>
          </w:tcPr>
          <w:p>
            <w:r>
              <w:rPr>
                <w:rFonts w:ascii="Noto Sans CJK JP" w:hAnsi="Noto Sans CJK JP"/>
                <w:b/>
                <w:sz w:val="20"/>
              </w:rPr>
              <w:t>備考</w:t>
            </w:r>
          </w:p>
        </w:tc>
      </w:tr>
      <w:tr>
        <w:tc>
          <w:tcPr>
            <w:tcW w:type="dxa" w:w="2880"/>
          </w:tcPr>
          <w:p>
            <w:r>
              <w:rPr>
                <w:rFonts w:ascii="Noto Sans CJK JP" w:hAnsi="Noto Sans CJK JP"/>
                <w:sz w:val="20"/>
              </w:rPr>
              <w:t>スライド投影環境（PC + プロジェクタ）</w:t>
            </w:r>
          </w:p>
        </w:tc>
        <w:tc>
          <w:tcPr>
            <w:tcW w:type="dxa" w:w="2880"/>
          </w:tcPr>
          <w:p>
            <w:r>
              <w:rPr>
                <w:rFonts w:ascii="Noto Sans CJK JP" w:hAnsi="Noto Sans CJK JP"/>
                <w:sz w:val="20"/>
              </w:rPr>
              <w:t>メインスライド表示</w:t>
            </w:r>
          </w:p>
        </w:tc>
        <w:tc>
          <w:tcPr>
            <w:tcW w:type="dxa" w:w="2880"/>
          </w:tcPr>
          <w:p>
            <w:r>
              <w:rPr>
                <w:rFonts w:ascii="Noto Sans CJK JP" w:hAnsi="Noto Sans CJK JP"/>
                <w:sz w:val="20"/>
              </w:rPr>
              <w:t>研修医版15分 or 全スタッフ版10分</w:t>
            </w:r>
          </w:p>
        </w:tc>
      </w:tr>
      <w:tr>
        <w:tc>
          <w:tcPr>
            <w:tcW w:type="dxa" w:w="2880"/>
          </w:tcPr>
          <w:p>
            <w:r>
              <w:rPr>
                <w:rFonts w:ascii="Noto Sans CJK JP" w:hAnsi="Noto Sans CJK JP"/>
                <w:sz w:val="20"/>
              </w:rPr>
              <w:t>タイマー（スマホ可）</w:t>
            </w:r>
          </w:p>
        </w:tc>
        <w:tc>
          <w:tcPr>
            <w:tcW w:type="dxa" w:w="2880"/>
          </w:tcPr>
          <w:p>
            <w:r>
              <w:rPr>
                <w:rFonts w:ascii="Noto Sans CJK JP" w:hAnsi="Noto Sans CJK JP"/>
                <w:sz w:val="20"/>
              </w:rPr>
              <w:t>ディスカッション時間管理</w:t>
            </w:r>
          </w:p>
        </w:tc>
        <w:tc>
          <w:tcPr>
            <w:tcW w:type="dxa" w:w="2880"/>
          </w:tcPr>
          <w:p>
            <w:r>
              <w:rPr>
                <w:rFonts w:ascii="Noto Sans CJK JP" w:hAnsi="Noto Sans CJK JP"/>
                <w:sz w:val="20"/>
              </w:rPr>
              <w:t>研修医版: 4分、全スタッフ版: 3分</w:t>
            </w:r>
          </w:p>
        </w:tc>
      </w:tr>
      <w:tr>
        <w:tc>
          <w:tcPr>
            <w:tcW w:type="dxa" w:w="2880"/>
          </w:tcPr>
          <w:p>
            <w:r>
              <w:rPr>
                <w:rFonts w:ascii="Noto Sans CJK JP" w:hAnsi="Noto Sans CJK JP"/>
                <w:sz w:val="20"/>
              </w:rPr>
              <w:t>付箋 + ペン（任意）</w:t>
            </w:r>
          </w:p>
        </w:tc>
        <w:tc>
          <w:tcPr>
            <w:tcW w:type="dxa" w:w="2880"/>
          </w:tcPr>
          <w:p>
            <w:r>
              <w:rPr>
                <w:rFonts w:ascii="Noto Sans CJK JP" w:hAnsi="Noto Sans CJK JP"/>
                <w:sz w:val="20"/>
              </w:rPr>
              <w:t>グループワークでの書き出し用</w:t>
            </w:r>
          </w:p>
        </w:tc>
        <w:tc>
          <w:tcPr>
            <w:tcW w:type="dxa" w:w="2880"/>
          </w:tcPr>
          <w:p>
            <w:r>
              <w:rPr>
                <w:rFonts w:ascii="Noto Sans CJK JP" w:hAnsi="Noto Sans CJK JP"/>
                <w:sz w:val="20"/>
              </w:rPr>
              <w:t>なくても口頭ディスカッションで代替可</w:t>
            </w:r>
          </w:p>
        </w:tc>
      </w:tr>
      <w:tr>
        <w:tc>
          <w:tcPr>
            <w:tcW w:type="dxa" w:w="2880"/>
          </w:tcPr>
          <w:p>
            <w:r>
              <w:rPr>
                <w:rFonts w:ascii="Noto Sans CJK JP" w:hAnsi="Noto Sans CJK JP"/>
                <w:sz w:val="20"/>
              </w:rPr>
              <w:t>配布資料（任意）</w:t>
            </w:r>
          </w:p>
        </w:tc>
        <w:tc>
          <w:tcPr>
            <w:tcW w:type="dxa" w:w="2880"/>
          </w:tcPr>
          <w:p>
            <w:r>
              <w:rPr>
                <w:rFonts w:ascii="Noto Sans CJK JP" w:hAnsi="Noto Sans CJK JP"/>
                <w:sz w:val="20"/>
              </w:rPr>
              <w:t>参考文献リスト（Part 3）</w:t>
            </w:r>
          </w:p>
        </w:tc>
        <w:tc>
          <w:tcPr>
            <w:tcW w:type="dxa" w:w="2880"/>
          </w:tcPr>
          <w:p>
            <w:r>
              <w:rPr>
                <w:rFonts w:ascii="Noto Sans CJK JP" w:hAnsi="Noto Sans CJK JP"/>
                <w:sz w:val="20"/>
              </w:rPr>
              <w:t>印刷またはQRコードで共有</w:t>
            </w:r>
          </w:p>
        </w:tc>
      </w:tr>
    </w:tbl>
    <w:p>
      <w:r>
        <w:br w:type="page"/>
      </w:r>
    </w:p>
    <w:p>
      <w:pPr>
        <w:pStyle w:val="Heading2"/>
      </w:pPr>
      <w:r>
        <w:t>ファシリテーターが頭に入れておく知識</w:t>
      </w:r>
    </w:p>
    <w:p>
      <w:r>
        <w:rPr>
          <w:rFonts w:ascii="Noto Sans CJK JP" w:hAnsi="Noto Sans CJK JP"/>
          <w:b w:val="0"/>
          <w:sz w:val="22"/>
        </w:rPr>
        <w:t>スライドには載っていないが、質問されたとき・話を膨らませたいときに使える背景知識です。全部暗記する必要はありません。「ああ、そういえば」と引き出せるレベルで十分です。</w:t>
      </w:r>
    </w:p>
    <w:p>
      <w:pPr>
        <w:pStyle w:val="Heading3"/>
      </w:pPr>
      <w:r>
        <w:t>今回の論文（Moura et al. 2026）のポイント</w:t>
      </w:r>
    </w:p>
    <w:tbl>
      <w:tblPr>
        <w:tblStyle w:val="TableGrid"/>
        <w:tblW w:type="auto" w:w="0"/>
        <w:tblLook w:firstColumn="1" w:firstRow="1" w:lastColumn="0" w:lastRow="0" w:noHBand="0" w:noVBand="1" w:val="04A0"/>
      </w:tblPr>
      <w:tblGrid>
        <w:gridCol w:w="4320"/>
        <w:gridCol w:w="4320"/>
      </w:tblGrid>
      <w:tr>
        <w:tc>
          <w:tcPr>
            <w:tcW w:type="dxa" w:w="4320"/>
          </w:tcPr>
          <w:p>
            <w:r>
              <w:rPr>
                <w:rFonts w:ascii="Noto Sans CJK JP" w:hAnsi="Noto Sans CJK JP"/>
                <w:b/>
                <w:sz w:val="20"/>
              </w:rPr>
              <w:t>項目</w:t>
            </w:r>
          </w:p>
        </w:tc>
        <w:tc>
          <w:tcPr>
            <w:tcW w:type="dxa" w:w="4320"/>
          </w:tcPr>
          <w:p>
            <w:r>
              <w:rPr>
                <w:rFonts w:ascii="Noto Sans CJK JP" w:hAnsi="Noto Sans CJK JP"/>
                <w:b/>
                <w:sz w:val="20"/>
              </w:rPr>
              <w:t>内容</w:t>
            </w:r>
          </w:p>
        </w:tc>
      </w:tr>
      <w:tr>
        <w:tc>
          <w:tcPr>
            <w:tcW w:type="dxa" w:w="4320"/>
          </w:tcPr>
          <w:p>
            <w:r>
              <w:rPr>
                <w:rFonts w:ascii="Noto Sans CJK JP" w:hAnsi="Noto Sans CJK JP"/>
                <w:sz w:val="20"/>
              </w:rPr>
              <w:t>著者・雑誌</w:t>
            </w:r>
          </w:p>
        </w:tc>
        <w:tc>
          <w:tcPr>
            <w:tcW w:type="dxa" w:w="4320"/>
          </w:tcPr>
          <w:p>
            <w:r>
              <w:rPr>
                <w:rFonts w:ascii="Noto Sans CJK JP" w:hAnsi="Noto Sans CJK JP"/>
                <w:sz w:val="20"/>
              </w:rPr>
              <w:t>Moura EC et al., BMJ Quality &amp; Safety, 2026年2月公開</w:t>
            </w:r>
          </w:p>
        </w:tc>
      </w:tr>
      <w:tr>
        <w:tc>
          <w:tcPr>
            <w:tcW w:type="dxa" w:w="4320"/>
          </w:tcPr>
          <w:p>
            <w:r>
              <w:rPr>
                <w:rFonts w:ascii="Noto Sans CJK JP" w:hAnsi="Noto Sans CJK JP"/>
                <w:sz w:val="20"/>
              </w:rPr>
              <w:t>デザイン</w:t>
            </w:r>
          </w:p>
        </w:tc>
        <w:tc>
          <w:tcPr>
            <w:tcW w:type="dxa" w:w="4320"/>
          </w:tcPr>
          <w:p>
            <w:r>
              <w:rPr>
                <w:rFonts w:ascii="Noto Sans CJK JP" w:hAnsi="Noto Sans CJK JP"/>
                <w:sz w:val="20"/>
              </w:rPr>
              <w:t>横断調査（cross-sectional survey）、単一時点のスナップショット</w:t>
            </w:r>
          </w:p>
        </w:tc>
      </w:tr>
      <w:tr>
        <w:tc>
          <w:tcPr>
            <w:tcW w:type="dxa" w:w="4320"/>
          </w:tcPr>
          <w:p>
            <w:r>
              <w:rPr>
                <w:rFonts w:ascii="Noto Sans CJK JP" w:hAnsi="Noto Sans CJK JP"/>
                <w:sz w:val="20"/>
              </w:rPr>
              <w:t>対象</w:t>
            </w:r>
          </w:p>
        </w:tc>
        <w:tc>
          <w:tcPr>
            <w:tcW w:type="dxa" w:w="4320"/>
          </w:tcPr>
          <w:p>
            <w:r>
              <w:rPr>
                <w:rFonts w:ascii="Noto Sans CJK JP" w:hAnsi="Noto Sans CJK JP"/>
                <w:sz w:val="20"/>
              </w:rPr>
              <w:t>1015名の医師（複数施設・複数診療科）</w:t>
            </w:r>
          </w:p>
        </w:tc>
      </w:tr>
      <w:tr>
        <w:tc>
          <w:tcPr>
            <w:tcW w:type="dxa" w:w="4320"/>
          </w:tcPr>
          <w:p>
            <w:r>
              <w:rPr>
                <w:rFonts w:ascii="Noto Sans CJK JP" w:hAnsi="Noto Sans CJK JP"/>
                <w:sz w:val="20"/>
              </w:rPr>
              <w:t>主要な結果</w:t>
            </w:r>
          </w:p>
        </w:tc>
        <w:tc>
          <w:tcPr>
            <w:tcW w:type="dxa" w:w="4320"/>
          </w:tcPr>
          <w:p>
            <w:r>
              <w:rPr>
                <w:rFonts w:ascii="Noto Sans CJK JP" w:hAnsi="Noto Sans CJK JP"/>
                <w:sz w:val="20"/>
              </w:rPr>
              <w:t>回帰係数 b=0.165, p=0.018 — 直近の臨床経験が診断エラーの確率を有意に押し上げる</w:t>
            </w:r>
          </w:p>
        </w:tc>
      </w:tr>
      <w:tr>
        <w:tc>
          <w:tcPr>
            <w:tcW w:type="dxa" w:w="4320"/>
          </w:tcPr>
          <w:p>
            <w:r>
              <w:rPr>
                <w:rFonts w:ascii="Noto Sans CJK JP" w:hAnsi="Noto Sans CJK JP"/>
                <w:sz w:val="20"/>
              </w:rPr>
              <w:t>効果量の解釈</w:t>
            </w:r>
          </w:p>
        </w:tc>
        <w:tc>
          <w:tcPr>
            <w:tcW w:type="dxa" w:w="4320"/>
          </w:tcPr>
          <w:p>
            <w:r>
              <w:rPr>
                <w:rFonts w:ascii="Noto Sans CJK JP" w:hAnsi="Noto Sans CJK JP"/>
                <w:sz w:val="20"/>
              </w:rPr>
              <w:t>b=0.165は「小さいが実在する効果」。1人の患者では微小でも、1000人の医師が毎日判断する現場では臨床的に意味がある</w:t>
            </w:r>
          </w:p>
        </w:tc>
      </w:tr>
      <w:tr>
        <w:tc>
          <w:tcPr>
            <w:tcW w:type="dxa" w:w="4320"/>
          </w:tcPr>
          <w:p>
            <w:r>
              <w:rPr>
                <w:rFonts w:ascii="Noto Sans CJK JP" w:hAnsi="Noto Sans CJK JP"/>
                <w:sz w:val="20"/>
              </w:rPr>
              <w:t>限界</w:t>
            </w:r>
          </w:p>
        </w:tc>
        <w:tc>
          <w:tcPr>
            <w:tcW w:type="dxa" w:w="4320"/>
          </w:tcPr>
          <w:p>
            <w:r>
              <w:rPr>
                <w:rFonts w:ascii="Noto Sans CJK JP" w:hAnsi="Noto Sans CJK JP"/>
                <w:sz w:val="20"/>
              </w:rPr>
              <w:t>横断研究なので因果関係は証明できない。自己報告データ。交絡因子の完全な統制は困難</w:t>
            </w:r>
          </w:p>
        </w:tc>
      </w:tr>
      <w:tr>
        <w:tc>
          <w:tcPr>
            <w:tcW w:type="dxa" w:w="4320"/>
          </w:tcPr>
          <w:p>
            <w:r>
              <w:rPr>
                <w:rFonts w:ascii="Noto Sans CJK JP" w:hAnsi="Noto Sans CJK JP"/>
                <w:sz w:val="20"/>
              </w:rPr>
              <w:t>強み</w:t>
            </w:r>
          </w:p>
        </w:tc>
        <w:tc>
          <w:tcPr>
            <w:tcW w:type="dxa" w:w="4320"/>
          </w:tcPr>
          <w:p>
            <w:r>
              <w:rPr>
                <w:rFonts w:ascii="Noto Sans CJK JP" w:hAnsi="Noto Sans CJK JP"/>
                <w:sz w:val="20"/>
              </w:rPr>
              <w:t>大規模（N=1015）、複数施設、統計手法が堅実</w:t>
            </w:r>
          </w:p>
        </w:tc>
      </w:tr>
    </w:tbl>
    <w:p>
      <w:pPr>
        <w:pStyle w:val="Heading3"/>
      </w:pPr>
      <w:r>
        <w:t>理論的な背景（質問されたら使える知識）</w:t>
      </w:r>
    </w:p>
    <w:tbl>
      <w:tblPr>
        <w:tblStyle w:val="TableGrid"/>
        <w:tblW w:type="auto" w:w="0"/>
        <w:tblLook w:firstColumn="1" w:firstRow="1" w:lastColumn="0" w:lastRow="0" w:noHBand="0" w:noVBand="1" w:val="04A0"/>
      </w:tblPr>
      <w:tblGrid>
        <w:gridCol w:w="4320"/>
        <w:gridCol w:w="4320"/>
      </w:tblGrid>
      <w:tr>
        <w:tc>
          <w:tcPr>
            <w:tcW w:type="dxa" w:w="4320"/>
          </w:tcPr>
          <w:p>
            <w:r>
              <w:rPr>
                <w:rFonts w:ascii="Noto Sans CJK JP" w:hAnsi="Noto Sans CJK JP"/>
                <w:b/>
                <w:sz w:val="20"/>
              </w:rPr>
              <w:t>テーマ</w:t>
            </w:r>
          </w:p>
        </w:tc>
        <w:tc>
          <w:tcPr>
            <w:tcW w:type="dxa" w:w="4320"/>
          </w:tcPr>
          <w:p>
            <w:r>
              <w:rPr>
                <w:rFonts w:ascii="Noto Sans CJK JP" w:hAnsi="Noto Sans CJK JP"/>
                <w:b/>
                <w:sz w:val="20"/>
              </w:rPr>
              <w:t>知っておくと便利なこと</w:t>
            </w:r>
          </w:p>
        </w:tc>
      </w:tr>
      <w:tr>
        <w:tc>
          <w:tcPr>
            <w:tcW w:type="dxa" w:w="4320"/>
          </w:tcPr>
          <w:p>
            <w:r>
              <w:rPr>
                <w:rFonts w:ascii="Noto Sans CJK JP" w:hAnsi="Noto Sans CJK JP"/>
                <w:sz w:val="20"/>
              </w:rPr>
              <w:t>**Tversky &amp; Kahneman (1973)**</w:t>
            </w:r>
          </w:p>
        </w:tc>
        <w:tc>
          <w:tcPr>
            <w:tcW w:type="dxa" w:w="4320"/>
          </w:tcPr>
          <w:p>
            <w:r>
              <w:rPr>
                <w:rFonts w:ascii="Noto Sans CJK JP" w:hAnsi="Noto Sans CJK JP"/>
                <w:sz w:val="20"/>
              </w:rPr>
              <w:t>利用可能性ヒューリスティックの原著論文。「思い出しやすい事例ほど頻度が高いと判断してしまう」という認知の偏りを実験で初めて体系的に示した。50年以上前の知見が今も臨床で再現されている点が重要</w:t>
            </w:r>
          </w:p>
        </w:tc>
      </w:tr>
      <w:tr>
        <w:tc>
          <w:tcPr>
            <w:tcW w:type="dxa" w:w="4320"/>
          </w:tcPr>
          <w:p>
            <w:r>
              <w:rPr>
                <w:rFonts w:ascii="Noto Sans CJK JP" w:hAnsi="Noto Sans CJK JP"/>
                <w:sz w:val="20"/>
              </w:rPr>
              <w:t>**System 1 / System 2（Kahneman 2011）**</w:t>
            </w:r>
          </w:p>
        </w:tc>
        <w:tc>
          <w:tcPr>
            <w:tcW w:type="dxa" w:w="4320"/>
          </w:tcPr>
          <w:p>
            <w:r>
              <w:rPr>
                <w:rFonts w:ascii="Noto Sans CJK JP" w:hAnsi="Noto Sans CJK JP"/>
                <w:sz w:val="20"/>
              </w:rPr>
              <w:t>『ファスト&amp;スロー』で一般に広まった二重過程理論。System 1（直感的・速い・省エネ）は外来の初期仮説生成で常に動いている。System 2（分析的・遅い・疲れる）は意識的に起動しないと使えない。**ただし「System 1=悪」ではない**。熟練した臨床家のパターン認識はSystem 1の恩恵であり、問題はSystem 1の誤りをSystem 2でチェックしないまま確定すること</w:t>
            </w:r>
          </w:p>
        </w:tc>
      </w:tr>
      <w:tr>
        <w:tc>
          <w:tcPr>
            <w:tcW w:type="dxa" w:w="4320"/>
          </w:tcPr>
          <w:p>
            <w:r>
              <w:rPr>
                <w:rFonts w:ascii="Noto Sans CJK JP" w:hAnsi="Noto Sans CJK JP"/>
                <w:sz w:val="20"/>
              </w:rPr>
              <w:t>**Croskerry の診断推論モデル**</w:t>
            </w:r>
          </w:p>
        </w:tc>
        <w:tc>
          <w:tcPr>
            <w:tcW w:type="dxa" w:w="4320"/>
          </w:tcPr>
          <w:p>
            <w:r>
              <w:rPr>
                <w:rFonts w:ascii="Noto Sans CJK JP" w:hAnsi="Noto Sans CJK JP"/>
                <w:sz w:val="20"/>
              </w:rPr>
              <w:t>カナダの救急医 Pat Croskerry が提唱。直感的経路（System 1）と分析的経路（System 2）を統合した「Universal Model of Diagnostic Reasoning」。臨床推論教育の国際的スタンダード。認知バイアスは主にSystem 1経路で発生し、「認知的強制機能（cognitive forcing strategy）」でSystem 2に切り替えるのが対策の基本</w:t>
            </w:r>
          </w:p>
        </w:tc>
      </w:tr>
      <w:tr>
        <w:tc>
          <w:tcPr>
            <w:tcW w:type="dxa" w:w="4320"/>
          </w:tcPr>
          <w:p>
            <w:r>
              <w:rPr>
                <w:rFonts w:ascii="Noto Sans CJK JP" w:hAnsi="Noto Sans CJK JP"/>
                <w:sz w:val="20"/>
              </w:rPr>
              <w:t>**患者安全との接続**</w:t>
            </w:r>
          </w:p>
        </w:tc>
        <w:tc>
          <w:tcPr>
            <w:tcW w:type="dxa" w:w="4320"/>
          </w:tcPr>
          <w:p>
            <w:r>
              <w:rPr>
                <w:rFonts w:ascii="Noto Sans CJK JP" w:hAnsi="Noto Sans CJK JP"/>
                <w:sz w:val="20"/>
              </w:rPr>
              <w:t>診断エラーは米国で年間推定80万件の重大有害事象に関与（NASEM 2015報告）。一部の推計では心疾患・がんに次ぐ死因第3位。「注意力の問題」ではなく「システムの問題」として捉える視点が患者安全の文脈では主流</w:t>
            </w:r>
          </w:p>
        </w:tc>
      </w:tr>
      <w:tr>
        <w:tc>
          <w:tcPr>
            <w:tcW w:type="dxa" w:w="4320"/>
          </w:tcPr>
          <w:p>
            <w:r>
              <w:rPr>
                <w:rFonts w:ascii="Noto Sans CJK JP" w:hAnsi="Noto Sans CJK JP"/>
                <w:sz w:val="20"/>
              </w:rPr>
              <w:t>**認知バイアスの数**</w:t>
            </w:r>
          </w:p>
        </w:tc>
        <w:tc>
          <w:tcPr>
            <w:tcW w:type="dxa" w:w="4320"/>
          </w:tcPr>
          <w:p>
            <w:r>
              <w:rPr>
                <w:rFonts w:ascii="Noto Sans CJK JP" w:hAnsi="Noto Sans CJK JP"/>
                <w:sz w:val="20"/>
              </w:rPr>
              <w:t>Croskerry (2003) は臨床推論に関わる認知バイアスを30種以上リストアップ。利用可能性バイアスはその中でも最も頻度が高く研究が豊富なものの一つ</w:t>
            </w:r>
          </w:p>
        </w:tc>
      </w:tr>
      <w:tr>
        <w:tc>
          <w:tcPr>
            <w:tcW w:type="dxa" w:w="4320"/>
          </w:tcPr>
          <w:p>
            <w:r>
              <w:rPr>
                <w:rFonts w:ascii="Noto Sans CJK JP" w:hAnsi="Noto Sans CJK JP"/>
                <w:sz w:val="20"/>
              </w:rPr>
              <w:t>**メタ認知と脱バイアス**</w:t>
            </w:r>
          </w:p>
        </w:tc>
        <w:tc>
          <w:tcPr>
            <w:tcW w:type="dxa" w:w="4320"/>
          </w:tcPr>
          <w:p>
            <w:r>
              <w:rPr>
                <w:rFonts w:ascii="Noto Sans CJK JP" w:hAnsi="Noto Sans CJK JP"/>
                <w:sz w:val="20"/>
              </w:rPr>
              <w:t>「バイアスの存在を知っているだけでは防げない」ことが複数の研究で示されている。知識＋構造化された振り返り（structured reflection）の組み合わせが有効。これが今回の研修の設計根拠</w:t>
            </w:r>
          </w:p>
        </w:tc>
      </w:tr>
    </w:tbl>
    <w:p>
      <w:r>
        <w:br w:type="page"/>
      </w:r>
    </w:p>
    <w:p>
      <w:pPr>
        <w:pStyle w:val="Heading2"/>
      </w:pPr>
      <w:r>
        <w:t>スライドごとの補足ノート</w:t>
      </w:r>
    </w:p>
    <w:p>
      <w:r>
        <w:rPr>
          <w:rFonts w:ascii="Noto Sans CJK JP" w:hAnsi="Noto Sans CJK JP"/>
          <w:b w:val="0"/>
          <w:sz w:val="22"/>
        </w:rPr>
        <w:t>スライドの裏側にある「なぜこのスライドがここにあるのか」「突っ込まれたらどう答えるか」のメモです。</w:t>
      </w:r>
    </w:p>
    <w:p>
      <w:pPr>
        <w:pStyle w:val="Heading3"/>
      </w:pPr>
      <w:r>
        <w:t>スライド3: System 1 / System 2</w:t>
      </w:r>
    </w:p>
    <w:p>
      <w:pPr>
        <w:pStyle w:val="ListBullet"/>
      </w:pPr>
      <w:r>
        <w:t>**補足**: 二重過程理論は「2つの脳がある」という意味ではない。実際にはSystem 1とSystem 2は連続体（continuum）であり、ほとんどの臨床判断は両方が混在した状態で行われている</w:t>
      </w:r>
    </w:p>
    <w:p>
      <w:pPr>
        <w:pStyle w:val="ListBullet"/>
      </w:pPr>
      <w:r>
        <w:t>**よくある誤解**: 「System 1をやめてSystem 2で考えればいい」→ 現実的に不可能。外来で毎回ゼロから分析的に考えたら1日3人しか診られない。目指すのは「System 1で出した仮説をSystem 2で一瞬チェックする習慣」</w:t>
      </w:r>
    </w:p>
    <w:p>
      <w:pPr>
        <w:pStyle w:val="ListBullet"/>
      </w:pPr>
      <w:r>
        <w:t>**膨らませるなら**: 「車の運転と同じです。普段は無意識で運転できますが、見通しの悪い交差点では意識的に左右を確認しますよね。臨床でも"見通しの悪い場面"でギアを切り替えられるかがポイントです」</w:t>
      </w:r>
    </w:p>
    <w:p>
      <w:pPr>
        <w:pStyle w:val="Heading3"/>
      </w:pPr>
      <w:r>
        <w:t>スライド5: 研究結果（b=0.165, p=0.018）</w:t>
      </w:r>
    </w:p>
    <w:p>
      <w:pPr>
        <w:pStyle w:val="ListBullet"/>
      </w:pPr>
      <w:r>
        <w:t>**非統計家への説明方法**: 「bは"傾き"です。直近の臨床経験が1単位増えるごとに、診断エラーのスコアが0.165ポイント上がる。微妙な数字に見えますが、忙しい外来で何十人も診る中ではこの小さなズレが積み重なります」</w:t>
      </w:r>
    </w:p>
    <w:p>
      <w:pPr>
        <w:pStyle w:val="ListBullet"/>
      </w:pPr>
      <w:r>
        <w:t>**p値の説明**: 「p=0.018は"偶然でこの結果が出る確率が1.8%"という意味。一般的な基準の5%より小さいので、統計的に有意と判断します」</w:t>
      </w:r>
    </w:p>
    <w:p>
      <w:pPr>
        <w:pStyle w:val="ListBullet"/>
      </w:pPr>
      <w:r>
        <w:t>**効果量の文脈**: コーエンのdに換算すると小（small）の範囲だが、公衆衛生・患者安全の文脈では小さな効果量でもポピュレーションレベルで大きなインパクトになる（例: 全国の医師が毎日影響を受ける）</w:t>
      </w:r>
    </w:p>
    <w:p>
      <w:pPr>
        <w:pStyle w:val="ListBullet"/>
      </w:pPr>
      <w:r>
        <w:t>**批判的吟味のポイント**: 横断研究なので「直近の経験→エラー」の因果方向は確定できない。ただし逆方向（「エラーが多い人が直近の経験を多く報告する」）は理論的に考えにくいので、因果の方向性は妥当と推測される</w:t>
      </w:r>
    </w:p>
    <w:p>
      <w:pPr>
        <w:pStyle w:val="Heading3"/>
      </w:pPr>
      <w:r>
        <w:t>スライド6: 全職種への応用</w:t>
      </w:r>
    </w:p>
    <w:p>
      <w:pPr>
        <w:pStyle w:val="ListBullet"/>
      </w:pPr>
      <w:r>
        <w:t>**看護師の例**: トリアージで「先週インフルエンザの重症例を担当した→今日の発熱患者も重症かも」と過剰に判断。逆に「先週は軽症ばかりだった→今日も軽症だろう」と過小評価することも</w:t>
      </w:r>
    </w:p>
    <w:p>
      <w:pPr>
        <w:pStyle w:val="ListBullet"/>
      </w:pPr>
      <w:r>
        <w:t>**薬剤師の例**: 先週処方ミスを発見した薬剤の処方が来ると、問題ない処方でも過剰に疑う（偽陽性の増加）。逆に「この医師の処方はいつも正しい」という利用可能性バイアスで見落とす方向もある</w:t>
      </w:r>
    </w:p>
    <w:p>
      <w:pPr>
        <w:pStyle w:val="ListBullet"/>
      </w:pPr>
      <w:r>
        <w:t>**事務職の例**: 先週クレームが多かった患者属性（高齢者、初診など）に対して身構えすぎる。窓口対応で「この人もきっと...」という先入観が接遇に影響</w:t>
      </w:r>
    </w:p>
    <w:p>
      <w:pPr>
        <w:pStyle w:val="ListBullet"/>
      </w:pPr>
      <w:r>
        <w:t>**リハビリ職の例**: 直近に回復が早かった患者と似た症例で「この人も早く良くなるはず」と楽観的な目標設定をしてしまう</w:t>
      </w:r>
    </w:p>
    <w:p>
      <w:pPr>
        <w:pStyle w:val="Heading3"/>
      </w:pPr>
      <w:r>
        <w:t>スライド9: 3つのコツ（立ち止まる・声に出す・書き出す）</w:t>
      </w:r>
    </w:p>
    <w:p>
      <w:pPr>
        <w:pStyle w:val="ListBullet"/>
      </w:pPr>
      <w:r>
        <w:t>**「立ち止まる」のエビデンス**: Mamede et al. (2010) が示した「diagnostic timeout（診断タイムアウト）」の概念。最初の仮説を立てた後に10秒間の意図的な一時停止を入れることで、System 2の起動を促す。忙しい外来でも10秒なら実行可能</w:t>
      </w:r>
    </w:p>
    <w:p>
      <w:pPr>
        <w:pStyle w:val="ListBullet"/>
      </w:pPr>
      <w:r>
        <w:t>**「声に出す」のエビデンス**: 思考の外在化（externalization of reasoning）により、自分の推論の飛躍に気づきやすくなる。Thinking aloud は認知心理学で確立された手法。チームでの診断ではこれがカンファレンスの機能に相当する</w:t>
      </w:r>
    </w:p>
    <w:p>
      <w:pPr>
        <w:pStyle w:val="ListBullet"/>
      </w:pPr>
      <w:r>
        <w:t>**「書き出す」のエビデンス**: 鑑別診断を3つ以上書き出すだけでアンカリング・バイアスと利用可能性バイアスの両方が軽減されるという知見がある（Graber et al. 2012）。電子カルテのproblem listに鑑別を記載する運用と相性が良い</w:t>
      </w:r>
    </w:p>
    <w:p>
      <w:r>
        <w:br w:type="page"/>
      </w:r>
    </w:p>
    <w:p>
      <w:pPr>
        <w:pStyle w:val="Heading2"/>
      </w:pPr>
      <w:r>
        <w:t>想定Q&amp;A（よく聞かれる質問）</w:t>
      </w:r>
    </w:p>
    <w:p>
      <w:r>
        <w:rPr>
          <w:rFonts w:ascii="Noto Sans CJK JP" w:hAnsi="Noto Sans CJK JP"/>
          <w:b w:val="0"/>
          <w:sz w:val="22"/>
        </w:rPr>
        <w:t>研修の場で出やすい質問と、ファシリテーターとしての推奨回答です。完璧に答える必要はありません。「いい質問ですね」で時間を稼ぎつつ、要点を伝えられれば十分です。</w:t>
      </w:r>
    </w:p>
    <w:tbl>
      <w:tblPr>
        <w:tblStyle w:val="TableGrid"/>
        <w:tblW w:type="auto" w:w="0"/>
        <w:tblLook w:firstColumn="1" w:firstRow="1" w:lastColumn="0" w:lastRow="0" w:noHBand="0" w:noVBand="1" w:val="04A0"/>
      </w:tblPr>
      <w:tblGrid>
        <w:gridCol w:w="850"/>
        <w:gridCol w:w="1180"/>
        <w:gridCol w:w="7797"/>
      </w:tblGrid>
      <w:tr>
        <w:tc>
          <w:tcPr>
            <w:tcW w:type="dxa" w:w="2880"/>
          </w:tcPr>
          <w:p>
            <w:r>
              <w:rPr>
                <w:rFonts w:ascii="Noto Sans CJK JP" w:hAnsi="Noto Sans CJK JP"/>
                <w:b/>
                <w:sz w:val="20"/>
              </w:rPr>
              <w:t>#</w:t>
            </w:r>
          </w:p>
        </w:tc>
        <w:tc>
          <w:tcPr>
            <w:tcW w:type="dxa" w:w="2880"/>
          </w:tcPr>
          <w:p>
            <w:r>
              <w:rPr>
                <w:rFonts w:ascii="Noto Sans CJK JP" w:hAnsi="Noto Sans CJK JP"/>
                <w:b/>
                <w:sz w:val="20"/>
              </w:rPr>
              <w:t>質問</w:t>
            </w:r>
          </w:p>
        </w:tc>
        <w:tc>
          <w:tcPr>
            <w:tcW w:type="dxa" w:w="2880"/>
          </w:tcPr>
          <w:p>
            <w:r>
              <w:rPr>
                <w:rFonts w:ascii="Noto Sans CJK JP" w:hAnsi="Noto Sans CJK JP"/>
                <w:b/>
                <w:sz w:val="20"/>
              </w:rPr>
              <w:t>推奨回答</w:t>
            </w:r>
          </w:p>
        </w:tc>
      </w:tr>
      <w:tr>
        <w:tc>
          <w:tcPr>
            <w:tcW w:type="dxa" w:w="2880"/>
          </w:tcPr>
          <w:p>
            <w:r>
              <w:rPr>
                <w:rFonts w:ascii="Noto Sans CJK JP" w:hAnsi="Noto Sans CJK JP"/>
                <w:sz w:val="20"/>
              </w:rPr>
              <w:t>1</w:t>
            </w:r>
          </w:p>
        </w:tc>
        <w:tc>
          <w:tcPr>
            <w:tcW w:type="dxa" w:w="2880"/>
          </w:tcPr>
          <w:p>
            <w:r>
              <w:rPr>
                <w:rFonts w:ascii="Noto Sans CJK JP" w:hAnsi="Noto Sans CJK JP"/>
                <w:sz w:val="20"/>
              </w:rPr>
              <w:t>**「経験を積めばバイアスは減るんですか？」**</w:t>
            </w:r>
          </w:p>
        </w:tc>
        <w:tc>
          <w:tcPr>
            <w:tcW w:type="dxa" w:w="2880"/>
          </w:tcPr>
          <w:p>
            <w:r>
              <w:rPr>
                <w:rFonts w:ascii="Noto Sans CJK JP" w:hAnsi="Noto Sans CJK JP"/>
                <w:sz w:val="20"/>
              </w:rPr>
              <w:t>残念ながら、経験年数だけではバイアスは減りません。むしろ経験豊富な医師ほどSystem 1への依存度が高くなり、パターン認識が強化される分、利用可能性バイアスにも引きずられやすくなる面があります。減らすのに有効なのは「構造化されたフィードバック」と「意図的な振り返り（deliberate reflection）」です。経験＋振り返りの組み合わせが鍵です</w:t>
            </w:r>
          </w:p>
        </w:tc>
      </w:tr>
      <w:tr>
        <w:tc>
          <w:tcPr>
            <w:tcW w:type="dxa" w:w="2880"/>
          </w:tcPr>
          <w:p>
            <w:r>
              <w:rPr>
                <w:rFonts w:ascii="Noto Sans CJK JP" w:hAnsi="Noto Sans CJK JP"/>
                <w:sz w:val="20"/>
              </w:rPr>
              <w:t>2</w:t>
            </w:r>
          </w:p>
        </w:tc>
        <w:tc>
          <w:tcPr>
            <w:tcW w:type="dxa" w:w="2880"/>
          </w:tcPr>
          <w:p>
            <w:r>
              <w:rPr>
                <w:rFonts w:ascii="Noto Sans CJK JP" w:hAnsi="Noto Sans CJK JP"/>
                <w:sz w:val="20"/>
              </w:rPr>
              <w:t>**「AIで解決できないんですか？」**</w:t>
            </w:r>
          </w:p>
        </w:tc>
        <w:tc>
          <w:tcPr>
            <w:tcW w:type="dxa" w:w="2880"/>
          </w:tcPr>
          <w:p>
            <w:r>
              <w:rPr>
                <w:rFonts w:ascii="Noto Sans CJK JP" w:hAnsi="Noto Sans CJK JP"/>
                <w:sz w:val="20"/>
              </w:rPr>
              <w:t>AI診断支援は有望なアプローチの一つです。ただし、AIの提案を「そうだよね」と無批判に受け入れる「自動化バイアス（automation bias）」という新たなバイアスが発生します。AIはバイアスをなくすのではなく、バイアスの種類を変える可能性があります。最終的には人間のメタ認知が必要という点は変わりません</w:t>
            </w:r>
          </w:p>
        </w:tc>
      </w:tr>
      <w:tr>
        <w:tc>
          <w:tcPr>
            <w:tcW w:type="dxa" w:w="2880"/>
          </w:tcPr>
          <w:p>
            <w:r>
              <w:rPr>
                <w:rFonts w:ascii="Noto Sans CJK JP" w:hAnsi="Noto Sans CJK JP"/>
                <w:sz w:val="20"/>
              </w:rPr>
              <w:t>3</w:t>
            </w:r>
          </w:p>
        </w:tc>
        <w:tc>
          <w:tcPr>
            <w:tcW w:type="dxa" w:w="2880"/>
          </w:tcPr>
          <w:p>
            <w:r>
              <w:rPr>
                <w:rFonts w:ascii="Noto Sans CJK JP" w:hAnsi="Noto Sans CJK JP"/>
                <w:sz w:val="20"/>
              </w:rPr>
              <w:t>**「チェックリストを使えばいい？」**</w:t>
            </w:r>
          </w:p>
        </w:tc>
        <w:tc>
          <w:tcPr>
            <w:tcW w:type="dxa" w:w="2880"/>
          </w:tcPr>
          <w:p>
            <w:r>
              <w:rPr>
                <w:rFonts w:ascii="Noto Sans CJK JP" w:hAnsi="Noto Sans CJK JP"/>
                <w:sz w:val="20"/>
              </w:rPr>
              <w:t>チェックリストは必要条件ですが十分条件ではありません。チェックリストがあっても「今回は該当しないだろう」とスキップするのがバイアスの怖さです。チェックリスト＋メタ認知（「自分は今バイアスがかかっていないか？」と自問する習慣）の両方が必要です</w:t>
            </w:r>
          </w:p>
        </w:tc>
      </w:tr>
      <w:tr>
        <w:tc>
          <w:tcPr>
            <w:tcW w:type="dxa" w:w="2880"/>
          </w:tcPr>
          <w:p>
            <w:r>
              <w:rPr>
                <w:rFonts w:ascii="Noto Sans CJK JP" w:hAnsi="Noto Sans CJK JP"/>
                <w:sz w:val="20"/>
              </w:rPr>
              <w:t>4</w:t>
            </w:r>
          </w:p>
        </w:tc>
        <w:tc>
          <w:tcPr>
            <w:tcW w:type="dxa" w:w="2880"/>
          </w:tcPr>
          <w:p>
            <w:r>
              <w:rPr>
                <w:rFonts w:ascii="Noto Sans CJK JP" w:hAnsi="Noto Sans CJK JP"/>
                <w:sz w:val="20"/>
              </w:rPr>
              <w:t>**「p=0.018は有意だけど効果量は小さくない？」**</w:t>
            </w:r>
          </w:p>
        </w:tc>
        <w:tc>
          <w:tcPr>
            <w:tcW w:type="dxa" w:w="2880"/>
          </w:tcPr>
          <w:p>
            <w:r>
              <w:rPr>
                <w:rFonts w:ascii="Noto Sans CJK JP" w:hAnsi="Noto Sans CJK JP"/>
                <w:sz w:val="20"/>
              </w:rPr>
              <w:t>鋭い指摘です。確かに個人レベルでは効果量は小さい（small effect）です。しかし患者安全の文脈では、ポピュレーションレベルで考えます。日本の医師約34万人が毎日何十件も判断する中で、この小さなバイアスが積み重なると無視できないインパクトになります。シートベルト着用率の1%向上が年間何百人の命を救うのと同じ考え方です</w:t>
            </w:r>
          </w:p>
        </w:tc>
      </w:tr>
      <w:tr>
        <w:tc>
          <w:tcPr>
            <w:tcW w:type="dxa" w:w="2880"/>
          </w:tcPr>
          <w:p>
            <w:r>
              <w:rPr>
                <w:rFonts w:ascii="Noto Sans CJK JP" w:hAnsi="Noto Sans CJK JP"/>
                <w:sz w:val="20"/>
              </w:rPr>
              <w:t>5</w:t>
            </w:r>
          </w:p>
        </w:tc>
        <w:tc>
          <w:tcPr>
            <w:tcW w:type="dxa" w:w="2880"/>
          </w:tcPr>
          <w:p>
            <w:r>
              <w:rPr>
                <w:rFonts w:ascii="Noto Sans CJK JP" w:hAnsi="Noto Sans CJK JP"/>
                <w:sz w:val="20"/>
              </w:rPr>
              <w:t>**「忙しい外来で"立ち止まる"なんて無理では？」**</w:t>
            </w:r>
          </w:p>
        </w:tc>
        <w:tc>
          <w:tcPr>
            <w:tcW w:type="dxa" w:w="2880"/>
          </w:tcPr>
          <w:p>
            <w:r>
              <w:rPr>
                <w:rFonts w:ascii="Noto Sans CJK JP" w:hAnsi="Noto Sans CJK JP"/>
                <w:sz w:val="20"/>
              </w:rPr>
              <w:t>その通りで、全ての患者に毎回立ち止まるのは非現実的です。ポイントは"高リスク場面"を見極めること。「最近同じ疾患を立て続けに診た」「なんとなく診断が浮かんだ」「患者が"前と同じ"と言っている」— こうした場面だけでも10秒の自問を入れる。全打席フルスイングではなく、ここぞという場面でギアを上げるイメージです</w:t>
            </w:r>
          </w:p>
        </w:tc>
      </w:tr>
      <w:tr>
        <w:tc>
          <w:tcPr>
            <w:tcW w:type="dxa" w:w="2880"/>
          </w:tcPr>
          <w:p>
            <w:r>
              <w:rPr>
                <w:rFonts w:ascii="Noto Sans CJK JP" w:hAnsi="Noto Sans CJK JP"/>
                <w:sz w:val="20"/>
              </w:rPr>
              <w:t>6</w:t>
            </w:r>
          </w:p>
        </w:tc>
        <w:tc>
          <w:tcPr>
            <w:tcW w:type="dxa" w:w="2880"/>
          </w:tcPr>
          <w:p>
            <w:r>
              <w:rPr>
                <w:rFonts w:ascii="Noto Sans CJK JP" w:hAnsi="Noto Sans CJK JP"/>
                <w:sz w:val="20"/>
              </w:rPr>
              <w:t>**「認知バイアスって他にどんなものがある？」**</w:t>
            </w:r>
          </w:p>
        </w:tc>
        <w:tc>
          <w:tcPr>
            <w:tcW w:type="dxa" w:w="2880"/>
          </w:tcPr>
          <w:p>
            <w:r>
              <w:rPr>
                <w:rFonts w:ascii="Noto Sans CJK JP" w:hAnsi="Noto Sans CJK JP"/>
                <w:sz w:val="20"/>
              </w:rPr>
              <w:t>臨床で重要なものだけでも30種以上あります。代表的なのは、アンカリング・バイアス（最初の情報に引きずられる）、確証バイアス（自分の仮説を裏付ける情報ばかり集める）、早期閉鎖（鑑別を十分に挙げる前に診断を確定してしまう）。今日取り上げた利用可能性バイアスは最も研究が豊富で、日常臨場面で頻度が高いバイアスの一つです</w:t>
            </w:r>
          </w:p>
        </w:tc>
      </w:tr>
      <w:tr>
        <w:tc>
          <w:tcPr>
            <w:tcW w:type="dxa" w:w="2880"/>
          </w:tcPr>
          <w:p>
            <w:r>
              <w:rPr>
                <w:rFonts w:ascii="Noto Sans CJK JP" w:hAnsi="Noto Sans CJK JP"/>
                <w:sz w:val="20"/>
              </w:rPr>
              <w:t>7</w:t>
            </w:r>
          </w:p>
        </w:tc>
        <w:tc>
          <w:tcPr>
            <w:tcW w:type="dxa" w:w="2880"/>
          </w:tcPr>
          <w:p>
            <w:r>
              <w:rPr>
                <w:rFonts w:ascii="Noto Sans CJK JP" w:hAnsi="Noto Sans CJK JP"/>
                <w:sz w:val="20"/>
              </w:rPr>
              <w:t>**「この研究は海外のものだけど日本でも同じ？」**</w:t>
            </w:r>
          </w:p>
        </w:tc>
        <w:tc>
          <w:tcPr>
            <w:tcW w:type="dxa" w:w="2880"/>
          </w:tcPr>
          <w:p>
            <w:r>
              <w:rPr>
                <w:rFonts w:ascii="Noto Sans CJK JP" w:hAnsi="Noto Sans CJK JP"/>
                <w:sz w:val="20"/>
              </w:rPr>
              <w:t>認知バイアスは人間の脳の仕組みに由来するものなので、文化圏を超えて普遍的に生じます。ただし、日本の医療文化（上級医への相談のしやすさ、カンファレンス文化など）が自然な脱バイアス機能を果たしている面もあります。逆に言えば、一人で判断する場面（当直帯、在宅医療など）ではバイアスのリスクが高まります</w:t>
            </w:r>
          </w:p>
        </w:tc>
      </w:tr>
      <w:tr>
        <w:tc>
          <w:tcPr>
            <w:tcW w:type="dxa" w:w="2880"/>
          </w:tcPr>
          <w:p>
            <w:r>
              <w:rPr>
                <w:rFonts w:ascii="Noto Sans CJK JP" w:hAnsi="Noto Sans CJK JP"/>
                <w:sz w:val="20"/>
              </w:rPr>
              <w:t>8</w:t>
            </w:r>
          </w:p>
        </w:tc>
        <w:tc>
          <w:tcPr>
            <w:tcW w:type="dxa" w:w="2880"/>
          </w:tcPr>
          <w:p>
            <w:r>
              <w:rPr>
                <w:rFonts w:ascii="Noto Sans CJK JP" w:hAnsi="Noto Sans CJK JP"/>
                <w:sz w:val="20"/>
              </w:rPr>
              <w:t>**「患者側にもバイアスはある？」**</w:t>
            </w:r>
          </w:p>
        </w:tc>
        <w:tc>
          <w:tcPr>
            <w:tcW w:type="dxa" w:w="2880"/>
          </w:tcPr>
          <w:p>
            <w:r>
              <w:rPr>
                <w:rFonts w:ascii="Noto Sans CJK JP" w:hAnsi="Noto Sans CJK JP"/>
                <w:sz w:val="20"/>
              </w:rPr>
              <w:t>あります。患者さんが「前にネットで見た病気」を強く訴えることで、医師の判断もそちらに引きずられることがあります（患者由来の利用可能性バイアス）。共有意思決定（SDM）の文脈でも、患者・医師双方のバイアスを考慮する必要があるというのが最近の議論です</w:t>
            </w:r>
          </w:p>
        </w:tc>
      </w:tr>
    </w:tbl>
    <w:p>
      <w:r>
        <w:br w:type="page"/>
      </w:r>
    </w:p>
    <w:p>
      <w:pPr>
        <w:pStyle w:val="Heading2"/>
      </w:pPr>
      <w:r>
        <w:t>タイムライン: 研修医・専攻医版（15分）</w:t>
      </w:r>
    </w:p>
    <w:tbl>
      <w:tblPr>
        <w:tblStyle w:val="TableGrid"/>
        <w:tblW w:type="auto" w:w="0"/>
        <w:tblLook w:firstColumn="1" w:firstRow="1" w:lastColumn="0" w:lastRow="0" w:noHBand="0" w:noVBand="1" w:val="04A0"/>
      </w:tblPr>
      <w:tblGrid>
        <w:gridCol w:w="850"/>
        <w:gridCol w:w="850"/>
        <w:gridCol w:w="1314"/>
        <w:gridCol w:w="6600"/>
      </w:tblGrid>
      <w:tr>
        <w:tc>
          <w:tcPr>
            <w:tcW w:type="dxa" w:w="2160"/>
          </w:tcPr>
          <w:p>
            <w:r>
              <w:rPr>
                <w:rFonts w:ascii="Noto Sans CJK JP" w:hAnsi="Noto Sans CJK JP"/>
                <w:b/>
                <w:sz w:val="20"/>
              </w:rPr>
              <w:t>時間</w:t>
            </w:r>
          </w:p>
        </w:tc>
        <w:tc>
          <w:tcPr>
            <w:tcW w:type="dxa" w:w="2160"/>
          </w:tcPr>
          <w:p>
            <w:r>
              <w:rPr>
                <w:rFonts w:ascii="Noto Sans CJK JP" w:hAnsi="Noto Sans CJK JP"/>
                <w:b/>
                <w:sz w:val="20"/>
              </w:rPr>
              <w:t>ガニェ事象</w:t>
            </w:r>
          </w:p>
        </w:tc>
        <w:tc>
          <w:tcPr>
            <w:tcW w:type="dxa" w:w="2160"/>
          </w:tcPr>
          <w:p>
            <w:r>
              <w:rPr>
                <w:rFonts w:ascii="Noto Sans CJK JP" w:hAnsi="Noto Sans CJK JP"/>
                <w:b/>
                <w:sz w:val="20"/>
              </w:rPr>
              <w:t>内容</w:t>
            </w:r>
          </w:p>
        </w:tc>
        <w:tc>
          <w:tcPr>
            <w:tcW w:type="dxa" w:w="2160"/>
          </w:tcPr>
          <w:p>
            <w:r>
              <w:rPr>
                <w:rFonts w:ascii="Noto Sans CJK JP" w:hAnsi="Noto Sans CJK JP"/>
                <w:b/>
                <w:sz w:val="20"/>
              </w:rPr>
              <w:t>声かけセリフ</w:t>
            </w:r>
          </w:p>
        </w:tc>
      </w:tr>
      <w:tr>
        <w:tc>
          <w:tcPr>
            <w:tcW w:type="dxa" w:w="2160"/>
          </w:tcPr>
          <w:p>
            <w:r>
              <w:rPr>
                <w:rFonts w:ascii="Noto Sans CJK JP" w:hAnsi="Noto Sans CJK JP"/>
                <w:sz w:val="20"/>
              </w:rPr>
              <w:t>0:00-2:00</w:t>
            </w:r>
          </w:p>
        </w:tc>
        <w:tc>
          <w:tcPr>
            <w:tcW w:type="dxa" w:w="2160"/>
          </w:tcPr>
          <w:p>
            <w:r>
              <w:rPr>
                <w:rFonts w:ascii="Noto Sans CJK JP" w:hAnsi="Noto Sans CJK JP"/>
                <w:sz w:val="20"/>
              </w:rPr>
              <w:t>1, 2</w:t>
            </w:r>
          </w:p>
        </w:tc>
        <w:tc>
          <w:tcPr>
            <w:tcW w:type="dxa" w:w="2160"/>
          </w:tcPr>
          <w:p>
            <w:r>
              <w:rPr>
                <w:rFonts w:ascii="Noto Sans CJK JP" w:hAnsi="Noto Sans CJK JP"/>
                <w:sz w:val="20"/>
              </w:rPr>
              <w:t>オープニング + 学習目標</w:t>
            </w:r>
          </w:p>
        </w:tc>
        <w:tc>
          <w:tcPr>
            <w:tcW w:type="dxa" w:w="2160"/>
          </w:tcPr>
          <w:p>
            <w:r>
              <w:rPr>
                <w:rFonts w:ascii="Noto Sans CJK JP" w:hAnsi="Noto Sans CJK JP"/>
                <w:sz w:val="20"/>
              </w:rPr>
              <w:t>「先週インフルエンザを5人診た翌週、咳と発熱の患者さんが来たら何を考えますか？...今日はこの "引きずられ" の正体を論文ベースで見ていきます」</w:t>
            </w:r>
          </w:p>
        </w:tc>
      </w:tr>
      <w:tr>
        <w:tc>
          <w:tcPr>
            <w:tcW w:type="dxa" w:w="2160"/>
          </w:tcPr>
          <w:p>
            <w:r>
              <w:rPr>
                <w:rFonts w:ascii="Noto Sans CJK JP" w:hAnsi="Noto Sans CJK JP"/>
                <w:sz w:val="20"/>
              </w:rPr>
              <w:t>2:00-4:00</w:t>
            </w:r>
          </w:p>
        </w:tc>
        <w:tc>
          <w:tcPr>
            <w:tcW w:type="dxa" w:w="2160"/>
          </w:tcPr>
          <w:p>
            <w:r>
              <w:rPr>
                <w:rFonts w:ascii="Noto Sans CJK JP" w:hAnsi="Noto Sans CJK JP"/>
                <w:sz w:val="20"/>
              </w:rPr>
              <w:t>3</w:t>
            </w:r>
          </w:p>
        </w:tc>
        <w:tc>
          <w:tcPr>
            <w:tcW w:type="dxa" w:w="2160"/>
          </w:tcPr>
          <w:p>
            <w:r>
              <w:rPr>
                <w:rFonts w:ascii="Noto Sans CJK JP" w:hAnsi="Noto Sans CJK JP"/>
                <w:sz w:val="20"/>
              </w:rPr>
              <w:t>System 1/2の復習</w:t>
            </w:r>
          </w:p>
        </w:tc>
        <w:tc>
          <w:tcPr>
            <w:tcW w:type="dxa" w:w="2160"/>
          </w:tcPr>
          <w:p>
            <w:r>
              <w:rPr>
                <w:rFonts w:ascii="Noto Sans CJK JP" w:hAnsi="Noto Sans CJK JP"/>
                <w:sz w:val="20"/>
              </w:rPr>
              <w:t>「カーネマンのSystem 1, System 2は聞いたことありますか？簡単に復習しましょう」</w:t>
            </w:r>
          </w:p>
        </w:tc>
      </w:tr>
      <w:tr>
        <w:tc>
          <w:tcPr>
            <w:tcW w:type="dxa" w:w="2160"/>
          </w:tcPr>
          <w:p>
            <w:r>
              <w:rPr>
                <w:rFonts w:ascii="Noto Sans CJK JP" w:hAnsi="Noto Sans CJK JP"/>
                <w:sz w:val="20"/>
              </w:rPr>
              <w:t>4:00-6:00</w:t>
            </w:r>
          </w:p>
        </w:tc>
        <w:tc>
          <w:tcPr>
            <w:tcW w:type="dxa" w:w="2160"/>
          </w:tcPr>
          <w:p>
            <w:r>
              <w:rPr>
                <w:rFonts w:ascii="Noto Sans CJK JP" w:hAnsi="Noto Sans CJK JP"/>
                <w:sz w:val="20"/>
              </w:rPr>
              <w:t>4</w:t>
            </w:r>
          </w:p>
        </w:tc>
        <w:tc>
          <w:tcPr>
            <w:tcW w:type="dxa" w:w="2160"/>
          </w:tcPr>
          <w:p>
            <w:r>
              <w:rPr>
                <w:rFonts w:ascii="Noto Sans CJK JP" w:hAnsi="Noto Sans CJK JP"/>
                <w:sz w:val="20"/>
              </w:rPr>
              <w:t>論文紹介（デザイン・方法）</w:t>
            </w:r>
          </w:p>
        </w:tc>
        <w:tc>
          <w:tcPr>
            <w:tcW w:type="dxa" w:w="2160"/>
          </w:tcPr>
          <w:p>
            <w:r>
              <w:rPr>
                <w:rFonts w:ascii="Noto Sans CJK JP" w:hAnsi="Noto Sans CJK JP"/>
                <w:sz w:val="20"/>
              </w:rPr>
              <w:t>「BMJ Quality &amp; Safetyに2026年2月に出た論文です。1015名の医師を対象にした横断調査で...」</w:t>
            </w:r>
          </w:p>
        </w:tc>
      </w:tr>
      <w:tr>
        <w:tc>
          <w:tcPr>
            <w:tcW w:type="dxa" w:w="2160"/>
          </w:tcPr>
          <w:p>
            <w:r>
              <w:rPr>
                <w:rFonts w:ascii="Noto Sans CJK JP" w:hAnsi="Noto Sans CJK JP"/>
                <w:sz w:val="20"/>
              </w:rPr>
              <w:t>6:00-8:00</w:t>
            </w:r>
          </w:p>
        </w:tc>
        <w:tc>
          <w:tcPr>
            <w:tcW w:type="dxa" w:w="2160"/>
          </w:tcPr>
          <w:p>
            <w:r>
              <w:rPr>
                <w:rFonts w:ascii="Noto Sans CJK JP" w:hAnsi="Noto Sans CJK JP"/>
                <w:sz w:val="20"/>
              </w:rPr>
              <w:t>4, 5</w:t>
            </w:r>
          </w:p>
        </w:tc>
        <w:tc>
          <w:tcPr>
            <w:tcW w:type="dxa" w:w="2160"/>
          </w:tcPr>
          <w:p>
            <w:r>
              <w:rPr>
                <w:rFonts w:ascii="Noto Sans CJK JP" w:hAnsi="Noto Sans CJK JP"/>
                <w:sz w:val="20"/>
              </w:rPr>
              <w:t>結果 + 批判的吟味</w:t>
            </w:r>
          </w:p>
        </w:tc>
        <w:tc>
          <w:tcPr>
            <w:tcW w:type="dxa" w:w="2160"/>
          </w:tcPr>
          <w:p>
            <w:r>
              <w:rPr>
                <w:rFonts w:ascii="Noto Sans CJK JP" w:hAnsi="Noto Sans CJK JP"/>
                <w:sz w:val="20"/>
              </w:rPr>
              <w:t>「b=0.165、p=0.018。これはどう解釈しますか？...横断研究の限界も確認しましょう」</w:t>
            </w:r>
          </w:p>
        </w:tc>
      </w:tr>
      <w:tr>
        <w:tc>
          <w:tcPr>
            <w:tcW w:type="dxa" w:w="2160"/>
          </w:tcPr>
          <w:p>
            <w:r>
              <w:rPr>
                <w:rFonts w:ascii="Noto Sans CJK JP" w:hAnsi="Noto Sans CJK JP"/>
                <w:sz w:val="20"/>
              </w:rPr>
              <w:t>8:00-12:00</w:t>
            </w:r>
          </w:p>
        </w:tc>
        <w:tc>
          <w:tcPr>
            <w:tcW w:type="dxa" w:w="2160"/>
          </w:tcPr>
          <w:p>
            <w:r>
              <w:rPr>
                <w:rFonts w:ascii="Noto Sans CJK JP" w:hAnsi="Noto Sans CJK JP"/>
                <w:sz w:val="20"/>
              </w:rPr>
              <w:t>6, 7</w:t>
            </w:r>
          </w:p>
        </w:tc>
        <w:tc>
          <w:tcPr>
            <w:tcW w:type="dxa" w:w="2160"/>
          </w:tcPr>
          <w:p>
            <w:r>
              <w:rPr>
                <w:rFonts w:ascii="Noto Sans CJK JP" w:hAnsi="Noto Sans CJK JP"/>
                <w:sz w:val="20"/>
              </w:rPr>
              <w:t>ペアディスカッション + 共有</w:t>
            </w:r>
          </w:p>
        </w:tc>
        <w:tc>
          <w:tcPr>
            <w:tcW w:type="dxa" w:w="2160"/>
          </w:tcPr>
          <w:p>
            <w:r>
              <w:rPr>
                <w:rFonts w:ascii="Noto Sans CJK JP" w:hAnsi="Noto Sans CJK JP"/>
                <w:sz w:val="20"/>
              </w:rPr>
              <w:t>「では隣の人とペアになって、自分が直近の経験に引きずられたエピソードを共有してください。1人2分ずつ、計4分です。はい、どうぞ」</w:t>
            </w:r>
          </w:p>
        </w:tc>
      </w:tr>
      <w:tr>
        <w:tc>
          <w:tcPr>
            <w:tcW w:type="dxa" w:w="2160"/>
          </w:tcPr>
          <w:p>
            <w:r>
              <w:rPr>
                <w:rFonts w:ascii="Noto Sans CJK JP" w:hAnsi="Noto Sans CJK JP"/>
                <w:sz w:val="20"/>
              </w:rPr>
              <w:t>12:00-13:00</w:t>
            </w:r>
          </w:p>
        </w:tc>
        <w:tc>
          <w:tcPr>
            <w:tcW w:type="dxa" w:w="2160"/>
          </w:tcPr>
          <w:p>
            <w:r>
              <w:rPr>
                <w:rFonts w:ascii="Noto Sans CJK JP" w:hAnsi="Noto Sans CJK JP"/>
                <w:sz w:val="20"/>
              </w:rPr>
              <w:t>7</w:t>
            </w:r>
          </w:p>
        </w:tc>
        <w:tc>
          <w:tcPr>
            <w:tcW w:type="dxa" w:w="2160"/>
          </w:tcPr>
          <w:p>
            <w:r>
              <w:rPr>
                <w:rFonts w:ascii="Noto Sans CJK JP" w:hAnsi="Noto Sans CJK JP"/>
                <w:sz w:val="20"/>
              </w:rPr>
              <w:t>全体共有 + 補足</w:t>
            </w:r>
          </w:p>
        </w:tc>
        <w:tc>
          <w:tcPr>
            <w:tcW w:type="dxa" w:w="2160"/>
          </w:tcPr>
          <w:p>
            <w:r>
              <w:rPr>
                <w:rFonts w:ascii="Noto Sans CJK JP" w:hAnsi="Noto Sans CJK JP"/>
                <w:sz w:val="20"/>
              </w:rPr>
              <w:t>「どなたか共有してくれますか？...ありがとうございます。"一人で診断を完結させる場面" が最もリスクが高いというのがポイントです」</w:t>
            </w:r>
          </w:p>
        </w:tc>
      </w:tr>
      <w:tr>
        <w:tc>
          <w:tcPr>
            <w:tcW w:type="dxa" w:w="2160"/>
          </w:tcPr>
          <w:p>
            <w:r>
              <w:rPr>
                <w:rFonts w:ascii="Noto Sans CJK JP" w:hAnsi="Noto Sans CJK JP"/>
                <w:sz w:val="20"/>
              </w:rPr>
              <w:t>13:00-14:00</w:t>
            </w:r>
          </w:p>
        </w:tc>
        <w:tc>
          <w:tcPr>
            <w:tcW w:type="dxa" w:w="2160"/>
          </w:tcPr>
          <w:p>
            <w:r>
              <w:rPr>
                <w:rFonts w:ascii="Noto Sans CJK JP" w:hAnsi="Noto Sans CJK JP"/>
                <w:sz w:val="20"/>
              </w:rPr>
              <w:t>8</w:t>
            </w:r>
          </w:p>
        </w:tc>
        <w:tc>
          <w:tcPr>
            <w:tcW w:type="dxa" w:w="2160"/>
          </w:tcPr>
          <w:p>
            <w:r>
              <w:rPr>
                <w:rFonts w:ascii="Noto Sans CJK JP" w:hAnsi="Noto Sans CJK JP"/>
                <w:sz w:val="20"/>
              </w:rPr>
              <w:t>振り返りクイズ</w:t>
            </w:r>
          </w:p>
        </w:tc>
        <w:tc>
          <w:tcPr>
            <w:tcW w:type="dxa" w:w="2160"/>
          </w:tcPr>
          <w:p>
            <w:r>
              <w:rPr>
                <w:rFonts w:ascii="Noto Sans CJK JP" w:hAnsi="Noto Sans CJK JP"/>
                <w:sz w:val="20"/>
              </w:rPr>
              <w:t>「では確認です。利用可能性バイアスの定義を一文で言えますか？」</w:t>
            </w:r>
          </w:p>
        </w:tc>
      </w:tr>
      <w:tr>
        <w:tc>
          <w:tcPr>
            <w:tcW w:type="dxa" w:w="2160"/>
          </w:tcPr>
          <w:p>
            <w:r>
              <w:rPr>
                <w:rFonts w:ascii="Noto Sans CJK JP" w:hAnsi="Noto Sans CJK JP"/>
                <w:sz w:val="20"/>
              </w:rPr>
              <w:t>14:00-15:00</w:t>
            </w:r>
          </w:p>
        </w:tc>
        <w:tc>
          <w:tcPr>
            <w:tcW w:type="dxa" w:w="2160"/>
          </w:tcPr>
          <w:p>
            <w:r>
              <w:rPr>
                <w:rFonts w:ascii="Noto Sans CJK JP" w:hAnsi="Noto Sans CJK JP"/>
                <w:sz w:val="20"/>
              </w:rPr>
              <w:t>9</w:t>
            </w:r>
          </w:p>
        </w:tc>
        <w:tc>
          <w:tcPr>
            <w:tcW w:type="dxa" w:w="2160"/>
          </w:tcPr>
          <w:p>
            <w:r>
              <w:rPr>
                <w:rFonts w:ascii="Noto Sans CJK JP" w:hAnsi="Noto Sans CJK JP"/>
                <w:sz w:val="20"/>
              </w:rPr>
              <w:t>持ち帰りの問い</w:t>
            </w:r>
          </w:p>
        </w:tc>
        <w:tc>
          <w:tcPr>
            <w:tcW w:type="dxa" w:w="2160"/>
          </w:tcPr>
          <w:p>
            <w:r>
              <w:rPr>
                <w:rFonts w:ascii="Noto Sans CJK JP" w:hAnsi="Noto Sans CJK JP"/>
                <w:sz w:val="20"/>
              </w:rPr>
              <w:t>「今週1つだけ試すなら、外来で最初の仮説を立てた直後の "10秒間の自問" をやってみてください」</w:t>
            </w:r>
          </w:p>
        </w:tc>
      </w:tr>
    </w:tbl>
    <w:p>
      <w:pPr>
        <w:ind w:left="720"/>
      </w:pPr>
      <w:r>
        <w:rPr>
          <w:rFonts w:ascii="Noto Sans CJK JP" w:hAnsi="Noto Sans CJK JP"/>
          <w:b w:val="0"/>
          <w:color w:val="336699"/>
          <w:sz w:val="22"/>
        </w:rPr>
        <w:t>**流れのコツ**: 冒頭2分の「引きずられ体験」の問いかけが全体のトーンを決める。ここで参加者が「あるある」と感じれば、その後の論文紹介も「自分ごと」として聞ける。逆にここが空振りすると残り13分が講義モードになりがち。自分自身のエピソードを1つ用意しておくと安全。System 1/2の復習（2:00-4:00）から論文紹介（4:00-6:00）への切り替えは「じゃあこの仕組みが本当に臨床で起きているのか、論文で確認しましょう」の一言でつなぐ。ディスカッション（8:00-12:00）に入る前に「正解はありません。うまくいかなかった経験こそ学びになります」と心理的安全性を確保する声かけを忘れずに。</w:t>
      </w:r>
    </w:p>
    <w:p>
      <w:r>
        <w:br w:type="page"/>
      </w:r>
    </w:p>
    <w:p>
      <w:pPr>
        <w:pStyle w:val="Heading2"/>
      </w:pPr>
      <w:r>
        <w:t>タイムライン: 全スタッフ版（10分）</w:t>
      </w:r>
    </w:p>
    <w:tbl>
      <w:tblPr>
        <w:tblStyle w:val="TableGrid"/>
        <w:tblW w:type="auto" w:w="0"/>
        <w:tblLook w:firstColumn="1" w:firstRow="1" w:lastColumn="0" w:lastRow="0" w:noHBand="0" w:noVBand="1" w:val="04A0"/>
      </w:tblPr>
      <w:tblGrid>
        <w:gridCol w:w="850"/>
        <w:gridCol w:w="850"/>
        <w:gridCol w:w="1262"/>
        <w:gridCol w:w="6758"/>
      </w:tblGrid>
      <w:tr>
        <w:tc>
          <w:tcPr>
            <w:tcW w:type="dxa" w:w="2160"/>
          </w:tcPr>
          <w:p>
            <w:r>
              <w:rPr>
                <w:rFonts w:ascii="Noto Sans CJK JP" w:hAnsi="Noto Sans CJK JP"/>
                <w:b/>
                <w:sz w:val="20"/>
              </w:rPr>
              <w:t>時間</w:t>
            </w:r>
          </w:p>
        </w:tc>
        <w:tc>
          <w:tcPr>
            <w:tcW w:type="dxa" w:w="2160"/>
          </w:tcPr>
          <w:p>
            <w:r>
              <w:rPr>
                <w:rFonts w:ascii="Noto Sans CJK JP" w:hAnsi="Noto Sans CJK JP"/>
                <w:b/>
                <w:sz w:val="20"/>
              </w:rPr>
              <w:t>ガニェ事象</w:t>
            </w:r>
          </w:p>
        </w:tc>
        <w:tc>
          <w:tcPr>
            <w:tcW w:type="dxa" w:w="2160"/>
          </w:tcPr>
          <w:p>
            <w:r>
              <w:rPr>
                <w:rFonts w:ascii="Noto Sans CJK JP" w:hAnsi="Noto Sans CJK JP"/>
                <w:b/>
                <w:sz w:val="20"/>
              </w:rPr>
              <w:t>内容</w:t>
            </w:r>
          </w:p>
        </w:tc>
        <w:tc>
          <w:tcPr>
            <w:tcW w:type="dxa" w:w="2160"/>
          </w:tcPr>
          <w:p>
            <w:r>
              <w:rPr>
                <w:rFonts w:ascii="Noto Sans CJK JP" w:hAnsi="Noto Sans CJK JP"/>
                <w:b/>
                <w:sz w:val="20"/>
              </w:rPr>
              <w:t>声かけセリフ</w:t>
            </w:r>
          </w:p>
        </w:tc>
      </w:tr>
      <w:tr>
        <w:tc>
          <w:tcPr>
            <w:tcW w:type="dxa" w:w="2160"/>
          </w:tcPr>
          <w:p>
            <w:r>
              <w:rPr>
                <w:rFonts w:ascii="Noto Sans CJK JP" w:hAnsi="Noto Sans CJK JP"/>
                <w:sz w:val="20"/>
              </w:rPr>
              <w:t>0:00-1:30</w:t>
            </w:r>
          </w:p>
        </w:tc>
        <w:tc>
          <w:tcPr>
            <w:tcW w:type="dxa" w:w="2160"/>
          </w:tcPr>
          <w:p>
            <w:r>
              <w:rPr>
                <w:rFonts w:ascii="Noto Sans CJK JP" w:hAnsi="Noto Sans CJK JP"/>
                <w:sz w:val="20"/>
              </w:rPr>
              <w:t>1, 2</w:t>
            </w:r>
          </w:p>
        </w:tc>
        <w:tc>
          <w:tcPr>
            <w:tcW w:type="dxa" w:w="2160"/>
          </w:tcPr>
          <w:p>
            <w:r>
              <w:rPr>
                <w:rFonts w:ascii="Noto Sans CJK JP" w:hAnsi="Noto Sans CJK JP"/>
                <w:sz w:val="20"/>
              </w:rPr>
              <w:t>オープニング + 学習目標</w:t>
            </w:r>
          </w:p>
        </w:tc>
        <w:tc>
          <w:tcPr>
            <w:tcW w:type="dxa" w:w="2160"/>
          </w:tcPr>
          <w:p>
            <w:r>
              <w:rPr>
                <w:rFonts w:ascii="Noto Sans CJK JP" w:hAnsi="Noto Sans CJK JP"/>
                <w:sz w:val="20"/>
              </w:rPr>
              <w:t>「先週ノロウイルスの患者さんが続いた後、今日も嘔吐の方が来たら..."またノロかな"って思いませんか？今日はこの "思い込み" の正体を一緒に学びましょう」</w:t>
            </w:r>
          </w:p>
        </w:tc>
      </w:tr>
      <w:tr>
        <w:tc>
          <w:tcPr>
            <w:tcW w:type="dxa" w:w="2160"/>
          </w:tcPr>
          <w:p>
            <w:r>
              <w:rPr>
                <w:rFonts w:ascii="Noto Sans CJK JP" w:hAnsi="Noto Sans CJK JP"/>
                <w:sz w:val="20"/>
              </w:rPr>
              <w:t>1:30-3:00</w:t>
            </w:r>
          </w:p>
        </w:tc>
        <w:tc>
          <w:tcPr>
            <w:tcW w:type="dxa" w:w="2160"/>
          </w:tcPr>
          <w:p>
            <w:r>
              <w:rPr>
                <w:rFonts w:ascii="Noto Sans CJK JP" w:hAnsi="Noto Sans CJK JP"/>
                <w:sz w:val="20"/>
              </w:rPr>
              <w:t>3</w:t>
            </w:r>
          </w:p>
        </w:tc>
        <w:tc>
          <w:tcPr>
            <w:tcW w:type="dxa" w:w="2160"/>
          </w:tcPr>
          <w:p>
            <w:r>
              <w:rPr>
                <w:rFonts w:ascii="Noto Sans CJK JP" w:hAnsi="Noto Sans CJK JP"/>
                <w:sz w:val="20"/>
              </w:rPr>
              <w:t>脳の2つのモード</w:t>
            </w:r>
          </w:p>
        </w:tc>
        <w:tc>
          <w:tcPr>
            <w:tcW w:type="dxa" w:w="2160"/>
          </w:tcPr>
          <w:p>
            <w:r>
              <w:rPr>
                <w:rFonts w:ascii="Noto Sans CJK JP" w:hAnsi="Noto Sans CJK JP"/>
                <w:sz w:val="20"/>
              </w:rPr>
              <w:t>「私たちの脳には "速い脳" と "遅い脳" があります。忙しい現場ではどちらを使いがちですか？」</w:t>
            </w:r>
          </w:p>
        </w:tc>
      </w:tr>
      <w:tr>
        <w:tc>
          <w:tcPr>
            <w:tcW w:type="dxa" w:w="2160"/>
          </w:tcPr>
          <w:p>
            <w:r>
              <w:rPr>
                <w:rFonts w:ascii="Noto Sans CJK JP" w:hAnsi="Noto Sans CJK JP"/>
                <w:sz w:val="20"/>
              </w:rPr>
              <w:t>3:00-5:00</w:t>
            </w:r>
          </w:p>
        </w:tc>
        <w:tc>
          <w:tcPr>
            <w:tcW w:type="dxa" w:w="2160"/>
          </w:tcPr>
          <w:p>
            <w:r>
              <w:rPr>
                <w:rFonts w:ascii="Noto Sans CJK JP" w:hAnsi="Noto Sans CJK JP"/>
                <w:sz w:val="20"/>
              </w:rPr>
              <w:t>4, 5</w:t>
            </w:r>
          </w:p>
        </w:tc>
        <w:tc>
          <w:tcPr>
            <w:tcW w:type="dxa" w:w="2160"/>
          </w:tcPr>
          <w:p>
            <w:r>
              <w:rPr>
                <w:rFonts w:ascii="Noto Sans CJK JP" w:hAnsi="Noto Sans CJK JP"/>
                <w:sz w:val="20"/>
              </w:rPr>
              <w:t>研究結果 + 全職種への応用</w:t>
            </w:r>
          </w:p>
        </w:tc>
        <w:tc>
          <w:tcPr>
            <w:tcW w:type="dxa" w:w="2160"/>
          </w:tcPr>
          <w:p>
            <w:r>
              <w:rPr>
                <w:rFonts w:ascii="Noto Sans CJK JP" w:hAnsi="Noto Sans CJK JP"/>
                <w:sz w:val="20"/>
              </w:rPr>
              <w:t>「1015名の医師を対象にした研究で、直近に同じ病気を診た医師ほど誤診しやすいことがわかりました。これは医師だけの話ではありません」</w:t>
            </w:r>
          </w:p>
        </w:tc>
      </w:tr>
      <w:tr>
        <w:tc>
          <w:tcPr>
            <w:tcW w:type="dxa" w:w="2160"/>
          </w:tcPr>
          <w:p>
            <w:r>
              <w:rPr>
                <w:rFonts w:ascii="Noto Sans CJK JP" w:hAnsi="Noto Sans CJK JP"/>
                <w:sz w:val="20"/>
              </w:rPr>
              <w:t>5:00-8:00</w:t>
            </w:r>
          </w:p>
        </w:tc>
        <w:tc>
          <w:tcPr>
            <w:tcW w:type="dxa" w:w="2160"/>
          </w:tcPr>
          <w:p>
            <w:r>
              <w:rPr>
                <w:rFonts w:ascii="Noto Sans CJK JP" w:hAnsi="Noto Sans CJK JP"/>
                <w:sz w:val="20"/>
              </w:rPr>
              <w:t>6, 7</w:t>
            </w:r>
          </w:p>
        </w:tc>
        <w:tc>
          <w:tcPr>
            <w:tcW w:type="dxa" w:w="2160"/>
          </w:tcPr>
          <w:p>
            <w:r>
              <w:rPr>
                <w:rFonts w:ascii="Noto Sans CJK JP" w:hAnsi="Noto Sans CJK JP"/>
                <w:sz w:val="20"/>
              </w:rPr>
              <w:t>グループトーク + 共有</w:t>
            </w:r>
          </w:p>
        </w:tc>
        <w:tc>
          <w:tcPr>
            <w:tcW w:type="dxa" w:w="2160"/>
          </w:tcPr>
          <w:p>
            <w:r>
              <w:rPr>
                <w:rFonts w:ascii="Noto Sans CJK JP" w:hAnsi="Noto Sans CJK JP"/>
                <w:sz w:val="20"/>
              </w:rPr>
              <w:t>「近くの2-3人で話してみましょう。"前と同じだろう" と思って判断したことはありますか？3分間でどうぞ」</w:t>
            </w:r>
          </w:p>
        </w:tc>
      </w:tr>
      <w:tr>
        <w:tc>
          <w:tcPr>
            <w:tcW w:type="dxa" w:w="2160"/>
          </w:tcPr>
          <w:p>
            <w:r>
              <w:rPr>
                <w:rFonts w:ascii="Noto Sans CJK JP" w:hAnsi="Noto Sans CJK JP"/>
                <w:sz w:val="20"/>
              </w:rPr>
              <w:t>8:00-9:00</w:t>
            </w:r>
          </w:p>
        </w:tc>
        <w:tc>
          <w:tcPr>
            <w:tcW w:type="dxa" w:w="2160"/>
          </w:tcPr>
          <w:p>
            <w:r>
              <w:rPr>
                <w:rFonts w:ascii="Noto Sans CJK JP" w:hAnsi="Noto Sans CJK JP"/>
                <w:sz w:val="20"/>
              </w:rPr>
              <w:t>7</w:t>
            </w:r>
          </w:p>
        </w:tc>
        <w:tc>
          <w:tcPr>
            <w:tcW w:type="dxa" w:w="2160"/>
          </w:tcPr>
          <w:p>
            <w:r>
              <w:rPr>
                <w:rFonts w:ascii="Noto Sans CJK JP" w:hAnsi="Noto Sans CJK JP"/>
                <w:sz w:val="20"/>
              </w:rPr>
              <w:t>まとめ</w:t>
            </w:r>
          </w:p>
        </w:tc>
        <w:tc>
          <w:tcPr>
            <w:tcW w:type="dxa" w:w="2160"/>
          </w:tcPr>
          <w:p>
            <w:r>
              <w:rPr>
                <w:rFonts w:ascii="Noto Sans CJK JP" w:hAnsi="Noto Sans CJK JP"/>
                <w:sz w:val="20"/>
              </w:rPr>
              <w:t>「思い込みは能力の問題ではなく脳の仕組みの問題。だから "気をつけよう" では防げない。仕組みが必要です」</w:t>
            </w:r>
          </w:p>
        </w:tc>
      </w:tr>
      <w:tr>
        <w:tc>
          <w:tcPr>
            <w:tcW w:type="dxa" w:w="2160"/>
          </w:tcPr>
          <w:p>
            <w:r>
              <w:rPr>
                <w:rFonts w:ascii="Noto Sans CJK JP" w:hAnsi="Noto Sans CJK JP"/>
                <w:sz w:val="20"/>
              </w:rPr>
              <w:t>9:00-10:00</w:t>
            </w:r>
          </w:p>
        </w:tc>
        <w:tc>
          <w:tcPr>
            <w:tcW w:type="dxa" w:w="2160"/>
          </w:tcPr>
          <w:p>
            <w:r>
              <w:rPr>
                <w:rFonts w:ascii="Noto Sans CJK JP" w:hAnsi="Noto Sans CJK JP"/>
                <w:sz w:val="20"/>
              </w:rPr>
              <w:t>8, 9</w:t>
            </w:r>
          </w:p>
        </w:tc>
        <w:tc>
          <w:tcPr>
            <w:tcW w:type="dxa" w:w="2160"/>
          </w:tcPr>
          <w:p>
            <w:r>
              <w:rPr>
                <w:rFonts w:ascii="Noto Sans CJK JP" w:hAnsi="Noto Sans CJK JP"/>
                <w:sz w:val="20"/>
              </w:rPr>
              <w:t>職種別アクション + 振り返り</w:t>
            </w:r>
          </w:p>
        </w:tc>
        <w:tc>
          <w:tcPr>
            <w:tcW w:type="dxa" w:w="2160"/>
          </w:tcPr>
          <w:p>
            <w:r>
              <w:rPr>
                <w:rFonts w:ascii="Noto Sans CJK JP" w:hAnsi="Noto Sans CJK JP"/>
                <w:sz w:val="20"/>
              </w:rPr>
              <w:t>「明日から使える3つのコツ: 立ち止まる・声に出す・書き出す。今週どれか1つ試してみましょう」</w:t>
            </w:r>
          </w:p>
        </w:tc>
      </w:tr>
    </w:tbl>
    <w:p>
      <w:pPr>
        <w:ind w:left="720"/>
      </w:pPr>
      <w:r>
        <w:rPr>
          <w:rFonts w:ascii="Noto Sans CJK JP" w:hAnsi="Noto Sans CJK JP"/>
          <w:b w:val="0"/>
          <w:color w:val="336699"/>
          <w:sz w:val="22"/>
        </w:rPr>
        <w:t>**流れのコツ**: 全スタッフ版は10分しかないので、テンポが命。オープニングの「またノロかな」は全員が経験しうる場面なので、ここで笑いが起きればOK。脳の2つのモード（1:30-3:00）では「速い脳」「遅い脳」以上の専門用語は出さない。研究結果（3:00-5:00）から全職種への応用は「医師の研究ですが、皆さんの現場ではどうですか？」とブリッジする。グループトーク（5:00-8:00）はまとめ（8:00-9:00）との接続が重要で、「今の話し合いでも"あるある"が出ましたね。それが今日のテーマの正体です」と拾ってからまとめに入ると自然。最後のアクション提示は「3つのうち1つだけ」と明確に絞ることで行動変容のハードルを下げる。</w:t>
      </w:r>
    </w:p>
    <w:p>
      <w:r>
        <w:br w:type="page"/>
      </w:r>
    </w:p>
    <w:p>
      <w:pPr>
        <w:pStyle w:val="Heading2"/>
      </w:pPr>
      <w:r>
        <w:t>困ったときの対処法</w:t>
      </w:r>
    </w:p>
    <w:tbl>
      <w:tblPr>
        <w:tblStyle w:val="TableGrid"/>
        <w:tblW w:type="auto" w:w="0"/>
        <w:tblLook w:firstColumn="1" w:firstRow="1" w:lastColumn="0" w:lastRow="0" w:noHBand="0" w:noVBand="1" w:val="04A0"/>
      </w:tblPr>
      <w:tblGrid>
        <w:gridCol w:w="4320"/>
        <w:gridCol w:w="4320"/>
      </w:tblGrid>
      <w:tr>
        <w:tc>
          <w:tcPr>
            <w:tcW w:type="dxa" w:w="4320"/>
          </w:tcPr>
          <w:p>
            <w:r>
              <w:rPr>
                <w:rFonts w:ascii="Noto Sans CJK JP" w:hAnsi="Noto Sans CJK JP"/>
                <w:b/>
                <w:sz w:val="20"/>
              </w:rPr>
              <w:t>状況</w:t>
            </w:r>
          </w:p>
        </w:tc>
        <w:tc>
          <w:tcPr>
            <w:tcW w:type="dxa" w:w="4320"/>
          </w:tcPr>
          <w:p>
            <w:r>
              <w:rPr>
                <w:rFonts w:ascii="Noto Sans CJK JP" w:hAnsi="Noto Sans CJK JP"/>
                <w:b/>
                <w:sz w:val="20"/>
              </w:rPr>
              <w:t>対処法</w:t>
            </w:r>
          </w:p>
        </w:tc>
      </w:tr>
      <w:tr>
        <w:tc>
          <w:tcPr>
            <w:tcW w:type="dxa" w:w="4320"/>
          </w:tcPr>
          <w:p>
            <w:r>
              <w:rPr>
                <w:rFonts w:ascii="Noto Sans CJK JP" w:hAnsi="Noto Sans CJK JP"/>
                <w:sz w:val="20"/>
              </w:rPr>
              <w:t>ディスカッションが盛り上がらない</w:t>
            </w:r>
          </w:p>
        </w:tc>
        <w:tc>
          <w:tcPr>
            <w:tcW w:type="dxa" w:w="4320"/>
          </w:tcPr>
          <w:p>
            <w:r>
              <w:rPr>
                <w:rFonts w:ascii="Noto Sans CJK JP" w:hAnsi="Noto Sans CJK JP"/>
                <w:sz w:val="20"/>
              </w:rPr>
              <w:t>「私自身の例ですが...」と自分のエピソードを先に出す。完璧でなくてOK</w:t>
            </w:r>
          </w:p>
        </w:tc>
      </w:tr>
      <w:tr>
        <w:tc>
          <w:tcPr>
            <w:tcW w:type="dxa" w:w="4320"/>
          </w:tcPr>
          <w:p>
            <w:r>
              <w:rPr>
                <w:rFonts w:ascii="Noto Sans CJK JP" w:hAnsi="Noto Sans CJK JP"/>
                <w:sz w:val="20"/>
              </w:rPr>
              <w:t>一人が話しすぎる</w:t>
            </w:r>
          </w:p>
        </w:tc>
        <w:tc>
          <w:tcPr>
            <w:tcW w:type="dxa" w:w="4320"/>
          </w:tcPr>
          <w:p>
            <w:r>
              <w:rPr>
                <w:rFonts w:ascii="Noto Sans CJK JP" w:hAnsi="Noto Sans CJK JP"/>
                <w:sz w:val="20"/>
              </w:rPr>
              <w:t>「ありがとうございます、他の方の経験も聞いてみたいです」と自然に振る</w:t>
            </w:r>
          </w:p>
        </w:tc>
      </w:tr>
      <w:tr>
        <w:tc>
          <w:tcPr>
            <w:tcW w:type="dxa" w:w="4320"/>
          </w:tcPr>
          <w:p>
            <w:r>
              <w:rPr>
                <w:rFonts w:ascii="Noto Sans CJK JP" w:hAnsi="Noto Sans CJK JP"/>
                <w:sz w:val="20"/>
              </w:rPr>
              <w:t>「自分はバイアスに陥らない」という反応</w:t>
            </w:r>
          </w:p>
        </w:tc>
        <w:tc>
          <w:tcPr>
            <w:tcW w:type="dxa" w:w="4320"/>
          </w:tcPr>
          <w:p>
            <w:r>
              <w:rPr>
                <w:rFonts w:ascii="Noto Sans CJK JP" w:hAnsi="Noto Sans CJK JP"/>
                <w:sz w:val="20"/>
              </w:rPr>
              <w:t>「バイアスの特徴は "自分では気づけない" こと。だからこそ仕組みが大事ですよね」と返す</w:t>
            </w:r>
          </w:p>
        </w:tc>
      </w:tr>
      <w:tr>
        <w:tc>
          <w:tcPr>
            <w:tcW w:type="dxa" w:w="4320"/>
          </w:tcPr>
          <w:p>
            <w:r>
              <w:rPr>
                <w:rFonts w:ascii="Noto Sans CJK JP" w:hAnsi="Noto Sans CJK JP"/>
                <w:sz w:val="20"/>
              </w:rPr>
              <w:t>時間が押している</w:t>
            </w:r>
          </w:p>
        </w:tc>
        <w:tc>
          <w:tcPr>
            <w:tcW w:type="dxa" w:w="4320"/>
          </w:tcPr>
          <w:p>
            <w:r>
              <w:rPr>
                <w:rFonts w:ascii="Noto Sans CJK JP" w:hAnsi="Noto Sans CJK JP"/>
                <w:sz w:val="20"/>
              </w:rPr>
              <w:t>ディスカッションを2分に短縮し、共有は1名に絞る。スライド後半の対策は「配布資料を見てください」で省略可</w:t>
            </w:r>
          </w:p>
        </w:tc>
      </w:tr>
      <w:tr>
        <w:tc>
          <w:tcPr>
            <w:tcW w:type="dxa" w:w="4320"/>
          </w:tcPr>
          <w:p>
            <w:r>
              <w:rPr>
                <w:rFonts w:ascii="Noto Sans CJK JP" w:hAnsi="Noto Sans CJK JP"/>
                <w:sz w:val="20"/>
              </w:rPr>
              <w:t>「p=0.018って微妙じゃない？」という質問</w:t>
            </w:r>
          </w:p>
        </w:tc>
        <w:tc>
          <w:tcPr>
            <w:tcW w:type="dxa" w:w="4320"/>
          </w:tcPr>
          <w:p>
            <w:r>
              <w:rPr>
                <w:rFonts w:ascii="Noto Sans CJK JP" w:hAnsi="Noto Sans CJK JP"/>
                <w:sz w:val="20"/>
              </w:rPr>
              <w:t>「いい指摘です。効果量は小さめですが、これが1000人規模で再現性を示した点が意義です。横断研究の限界も踏まえて解釈しましょう」</w:t>
            </w:r>
          </w:p>
        </w:tc>
      </w:tr>
      <w:tr>
        <w:tc>
          <w:tcPr>
            <w:tcW w:type="dxa" w:w="4320"/>
          </w:tcPr>
          <w:p>
            <w:r>
              <w:rPr>
                <w:rFonts w:ascii="Noto Sans CJK JP" w:hAnsi="Noto Sans CJK JP"/>
                <w:sz w:val="20"/>
              </w:rPr>
              <w:t>「具体的にどうバイアスを減らすの？」</w:t>
            </w:r>
          </w:p>
        </w:tc>
        <w:tc>
          <w:tcPr>
            <w:tcW w:type="dxa" w:w="4320"/>
          </w:tcPr>
          <w:p>
            <w:r>
              <w:rPr>
                <w:rFonts w:ascii="Noto Sans CJK JP" w:hAnsi="Noto Sans CJK JP"/>
                <w:sz w:val="20"/>
              </w:rPr>
              <w:t>「診断タイムアウト（10秒の自問）やチェックリスト活用が提案されています。システムとしてはカンファレンスでの診断プロセス振り返りが有効です」</w:t>
            </w:r>
          </w:p>
        </w:tc>
      </w:tr>
      <w:tr>
        <w:tc>
          <w:tcPr>
            <w:tcW w:type="dxa" w:w="4320"/>
          </w:tcPr>
          <w:p>
            <w:r>
              <w:rPr>
                <w:rFonts w:ascii="Noto Sans CJK JP" w:hAnsi="Noto Sans CJK JP"/>
                <w:sz w:val="20"/>
              </w:rPr>
              <w:t>参加者同士で意見が対立する</w:t>
            </w:r>
          </w:p>
        </w:tc>
        <w:tc>
          <w:tcPr>
            <w:tcW w:type="dxa" w:w="4320"/>
          </w:tcPr>
          <w:p>
            <w:r>
              <w:rPr>
                <w:rFonts w:ascii="Noto Sans CJK JP" w:hAnsi="Noto Sans CJK JP"/>
                <w:sz w:val="20"/>
              </w:rPr>
              <w:t>対立を悪いことと捉えず「両方の視点が大事ですね。バイアスは白黒つけにくいテーマなので、こうした議論自体がメタ認知を促しています」と枠組みを示す</w:t>
            </w:r>
          </w:p>
        </w:tc>
      </w:tr>
      <w:tr>
        <w:tc>
          <w:tcPr>
            <w:tcW w:type="dxa" w:w="4320"/>
          </w:tcPr>
          <w:p>
            <w:r>
              <w:rPr>
                <w:rFonts w:ascii="Noto Sans CJK JP" w:hAnsi="Noto Sans CJK JP"/>
                <w:sz w:val="20"/>
              </w:rPr>
              <w:t>ベテラン医師が「昔はそんなこと言わなかった」と否定的</w:t>
            </w:r>
          </w:p>
        </w:tc>
        <w:tc>
          <w:tcPr>
            <w:tcW w:type="dxa" w:w="4320"/>
          </w:tcPr>
          <w:p>
            <w:r>
              <w:rPr>
                <w:rFonts w:ascii="Noto Sans CJK JP" w:hAnsi="Noto Sans CJK JP"/>
                <w:sz w:val="20"/>
              </w:rPr>
              <w:t>「おっしゃる通り、以前はあまり注目されていませんでした。2015年の米国報告で診断エラーが患者安全の重要課題として認識されてから急速に研究が進んだ分野です」と歴史的文脈で受け止める</w:t>
            </w:r>
          </w:p>
        </w:tc>
      </w:tr>
      <w:tr>
        <w:tc>
          <w:tcPr>
            <w:tcW w:type="dxa" w:w="4320"/>
          </w:tcPr>
          <w:p>
            <w:r>
              <w:rPr>
                <w:rFonts w:ascii="Noto Sans CJK JP" w:hAnsi="Noto Sans CJK JP"/>
                <w:sz w:val="20"/>
              </w:rPr>
              <w:t>「うちの病院では関係ない」という雰囲気</w:t>
            </w:r>
          </w:p>
        </w:tc>
        <w:tc>
          <w:tcPr>
            <w:tcW w:type="dxa" w:w="4320"/>
          </w:tcPr>
          <w:p>
            <w:r>
              <w:rPr>
                <w:rFonts w:ascii="Noto Sans CJK JP" w:hAnsi="Noto Sans CJK JP"/>
                <w:sz w:val="20"/>
              </w:rPr>
              <w:t>「実はバイアスが"起きていない"のではなく"気づいていない"可能性もあります。この研究でも医師自身は自分のバイアスを認識していませんでした」と研究データで返す</w:t>
            </w:r>
          </w:p>
        </w:tc>
      </w:tr>
      <w:tr>
        <w:tc>
          <w:tcPr>
            <w:tcW w:type="dxa" w:w="4320"/>
          </w:tcPr>
          <w:p>
            <w:r>
              <w:rPr>
                <w:rFonts w:ascii="Noto Sans CJK JP" w:hAnsi="Noto Sans CJK JP"/>
                <w:sz w:val="20"/>
              </w:rPr>
              <w:t>質問に答えられない・わからない</w:t>
            </w:r>
          </w:p>
        </w:tc>
        <w:tc>
          <w:tcPr>
            <w:tcW w:type="dxa" w:w="4320"/>
          </w:tcPr>
          <w:p>
            <w:r>
              <w:rPr>
                <w:rFonts w:ascii="Noto Sans CJK JP" w:hAnsi="Noto Sans CJK JP"/>
                <w:sz w:val="20"/>
              </w:rPr>
              <w:t>「いい質問ですが、今すぐ正確にお答えできないので、調べて後日共有しますね」と正直に言う。ファシリテーターは全知である必要はない。後日フォローすること自体が信頼を築く</w:t>
            </w:r>
          </w:p>
        </w:tc>
      </w:tr>
    </w:tbl>
    <w:p>
      <w:r>
        <w:br w:type="page"/>
      </w:r>
    </w:p>
    <w:p>
      <w:pPr>
        <w:pStyle w:val="Heading1"/>
      </w:pPr>
      <w:r>
        <w:t>Part 2: インストラクショナルデザイン</w:t>
      </w:r>
    </w:p>
    <w:p>
      <w:r>
        <w:br w:type="page"/>
      </w:r>
    </w:p>
    <w:p>
      <w:pPr>
        <w:pStyle w:val="Heading2"/>
      </w:pPr>
      <w:r>
        <w:t>ガニェの9教授事象マッピング表</w:t>
      </w:r>
    </w:p>
    <w:tbl>
      <w:tblPr>
        <w:tblStyle w:val="TableGrid"/>
        <w:tblW w:type="auto" w:w="0"/>
        <w:tblLook w:firstColumn="1" w:firstRow="1" w:lastColumn="0" w:lastRow="0" w:noHBand="0" w:noVBand="1" w:val="04A0"/>
      </w:tblPr>
      <w:tblGrid>
        <w:gridCol w:w="850"/>
        <w:gridCol w:w="1701"/>
        <w:gridCol w:w="3814"/>
        <w:gridCol w:w="3247"/>
      </w:tblGrid>
      <w:tr>
        <w:tc>
          <w:tcPr>
            <w:tcW w:type="dxa" w:w="2160"/>
          </w:tcPr>
          <w:p>
            <w:r>
              <w:rPr>
                <w:rFonts w:ascii="Noto Sans CJK JP" w:hAnsi="Noto Sans CJK JP"/>
                <w:b/>
                <w:sz w:val="20"/>
              </w:rPr>
              <w:t>#</w:t>
            </w:r>
          </w:p>
        </w:tc>
        <w:tc>
          <w:tcPr>
            <w:tcW w:type="dxa" w:w="2160"/>
          </w:tcPr>
          <w:p>
            <w:r>
              <w:rPr>
                <w:rFonts w:ascii="Noto Sans CJK JP" w:hAnsi="Noto Sans CJK JP"/>
                <w:b/>
                <w:sz w:val="20"/>
              </w:rPr>
              <w:t>事象</w:t>
            </w:r>
          </w:p>
        </w:tc>
        <w:tc>
          <w:tcPr>
            <w:tcW w:type="dxa" w:w="2160"/>
          </w:tcPr>
          <w:p>
            <w:r>
              <w:rPr>
                <w:rFonts w:ascii="Noto Sans CJK JP" w:hAnsi="Noto Sans CJK JP"/>
                <w:b/>
                <w:sz w:val="20"/>
              </w:rPr>
              <w:t>研修医版での実装</w:t>
            </w:r>
          </w:p>
        </w:tc>
        <w:tc>
          <w:tcPr>
            <w:tcW w:type="dxa" w:w="2160"/>
          </w:tcPr>
          <w:p>
            <w:r>
              <w:rPr>
                <w:rFonts w:ascii="Noto Sans CJK JP" w:hAnsi="Noto Sans CJK JP"/>
                <w:b/>
                <w:sz w:val="20"/>
              </w:rPr>
              <w:t>全スタッフ版での実装</w:t>
            </w:r>
          </w:p>
        </w:tc>
      </w:tr>
      <w:tr>
        <w:tc>
          <w:tcPr>
            <w:tcW w:type="dxa" w:w="2160"/>
          </w:tcPr>
          <w:p>
            <w:r>
              <w:rPr>
                <w:rFonts w:ascii="Noto Sans CJK JP" w:hAnsi="Noto Sans CJK JP"/>
                <w:sz w:val="20"/>
              </w:rPr>
              <w:t>1</w:t>
            </w:r>
          </w:p>
        </w:tc>
        <w:tc>
          <w:tcPr>
            <w:tcW w:type="dxa" w:w="2160"/>
          </w:tcPr>
          <w:p>
            <w:r>
              <w:rPr>
                <w:rFonts w:ascii="Noto Sans CJK JP" w:hAnsi="Noto Sans CJK JP"/>
                <w:sz w:val="20"/>
              </w:rPr>
              <w:t>学習者の注意を喚起する</w:t>
            </w:r>
          </w:p>
        </w:tc>
        <w:tc>
          <w:tcPr>
            <w:tcW w:type="dxa" w:w="2160"/>
          </w:tcPr>
          <w:p>
            <w:r>
              <w:rPr>
                <w:rFonts w:ascii="Noto Sans CJK JP" w:hAnsi="Noto Sans CJK JP"/>
                <w:sz w:val="20"/>
              </w:rPr>
              <w:t>「先週インフルエンザを5人診た翌週...」の問いかけ</w:t>
            </w:r>
          </w:p>
        </w:tc>
        <w:tc>
          <w:tcPr>
            <w:tcW w:type="dxa" w:w="2160"/>
          </w:tcPr>
          <w:p>
            <w:r>
              <w:rPr>
                <w:rFonts w:ascii="Noto Sans CJK JP" w:hAnsi="Noto Sans CJK JP"/>
                <w:sz w:val="20"/>
              </w:rPr>
              <w:t>「先週ノロが続いた後...」の身近な問いかけ</w:t>
            </w:r>
          </w:p>
        </w:tc>
      </w:tr>
      <w:tr>
        <w:tc>
          <w:tcPr>
            <w:tcW w:type="dxa" w:w="2160"/>
          </w:tcPr>
          <w:p>
            <w:r>
              <w:rPr>
                <w:rFonts w:ascii="Noto Sans CJK JP" w:hAnsi="Noto Sans CJK JP"/>
                <w:sz w:val="20"/>
              </w:rPr>
              <w:t>2</w:t>
            </w:r>
          </w:p>
        </w:tc>
        <w:tc>
          <w:tcPr>
            <w:tcW w:type="dxa" w:w="2160"/>
          </w:tcPr>
          <w:p>
            <w:r>
              <w:rPr>
                <w:rFonts w:ascii="Noto Sans CJK JP" w:hAnsi="Noto Sans CJK JP"/>
                <w:sz w:val="20"/>
              </w:rPr>
              <w:t>学習目標を知らせる</w:t>
            </w:r>
          </w:p>
        </w:tc>
        <w:tc>
          <w:tcPr>
            <w:tcW w:type="dxa" w:w="2160"/>
          </w:tcPr>
          <w:p>
            <w:r>
              <w:rPr>
                <w:rFonts w:ascii="Noto Sans CJK JP" w:hAnsi="Noto Sans CJK JP"/>
                <w:sz w:val="20"/>
              </w:rPr>
              <w:t>3つの到達目標（説明・吟味・計画）</w:t>
            </w:r>
          </w:p>
        </w:tc>
        <w:tc>
          <w:tcPr>
            <w:tcW w:type="dxa" w:w="2160"/>
          </w:tcPr>
          <w:p>
            <w:r>
              <w:rPr>
                <w:rFonts w:ascii="Noto Sans CJK JP" w:hAnsi="Noto Sans CJK JP"/>
                <w:sz w:val="20"/>
              </w:rPr>
              <w:t>3つの到達目標（説明・気づき・実践）</w:t>
            </w:r>
          </w:p>
        </w:tc>
      </w:tr>
      <w:tr>
        <w:tc>
          <w:tcPr>
            <w:tcW w:type="dxa" w:w="2160"/>
          </w:tcPr>
          <w:p>
            <w:r>
              <w:rPr>
                <w:rFonts w:ascii="Noto Sans CJK JP" w:hAnsi="Noto Sans CJK JP"/>
                <w:sz w:val="20"/>
              </w:rPr>
              <w:t>3</w:t>
            </w:r>
          </w:p>
        </w:tc>
        <w:tc>
          <w:tcPr>
            <w:tcW w:type="dxa" w:w="2160"/>
          </w:tcPr>
          <w:p>
            <w:r>
              <w:rPr>
                <w:rFonts w:ascii="Noto Sans CJK JP" w:hAnsi="Noto Sans CJK JP"/>
                <w:sz w:val="20"/>
              </w:rPr>
              <w:t>前提条件を思い出させる</w:t>
            </w:r>
          </w:p>
        </w:tc>
        <w:tc>
          <w:tcPr>
            <w:tcW w:type="dxa" w:w="2160"/>
          </w:tcPr>
          <w:p>
            <w:r>
              <w:rPr>
                <w:rFonts w:ascii="Noto Sans CJK JP" w:hAnsi="Noto Sans CJK JP"/>
                <w:sz w:val="20"/>
              </w:rPr>
              <w:t>System 1/System 2の復習、認知バイアスの分類</w:t>
            </w:r>
          </w:p>
        </w:tc>
        <w:tc>
          <w:tcPr>
            <w:tcW w:type="dxa" w:w="2160"/>
          </w:tcPr>
          <w:p>
            <w:r>
              <w:rPr>
                <w:rFonts w:ascii="Noto Sans CJK JP" w:hAnsi="Noto Sans CJK JP"/>
                <w:sz w:val="20"/>
              </w:rPr>
              <w:t>「速い脳」「遅い脳」の比喩で導入</w:t>
            </w:r>
          </w:p>
        </w:tc>
      </w:tr>
      <w:tr>
        <w:tc>
          <w:tcPr>
            <w:tcW w:type="dxa" w:w="2160"/>
          </w:tcPr>
          <w:p>
            <w:r>
              <w:rPr>
                <w:rFonts w:ascii="Noto Sans CJK JP" w:hAnsi="Noto Sans CJK JP"/>
                <w:sz w:val="20"/>
              </w:rPr>
              <w:t>4</w:t>
            </w:r>
          </w:p>
        </w:tc>
        <w:tc>
          <w:tcPr>
            <w:tcW w:type="dxa" w:w="2160"/>
          </w:tcPr>
          <w:p>
            <w:r>
              <w:rPr>
                <w:rFonts w:ascii="Noto Sans CJK JP" w:hAnsi="Noto Sans CJK JP"/>
                <w:sz w:val="20"/>
              </w:rPr>
              <w:t>新しい内容を提示する</w:t>
            </w:r>
          </w:p>
        </w:tc>
        <w:tc>
          <w:tcPr>
            <w:tcW w:type="dxa" w:w="2160"/>
          </w:tcPr>
          <w:p>
            <w:r>
              <w:rPr>
                <w:rFonts w:ascii="Noto Sans CJK JP" w:hAnsi="Noto Sans CJK JP"/>
                <w:sz w:val="20"/>
              </w:rPr>
              <w:t>論文の詳細（デザイン・統計値・結果）</w:t>
            </w:r>
          </w:p>
        </w:tc>
        <w:tc>
          <w:tcPr>
            <w:tcW w:type="dxa" w:w="2160"/>
          </w:tcPr>
          <w:p>
            <w:r>
              <w:rPr>
                <w:rFonts w:ascii="Noto Sans CJK JP" w:hAnsi="Noto Sans CJK JP"/>
                <w:sz w:val="20"/>
              </w:rPr>
              <w:t>研究の要点を平易な言葉で提示</w:t>
            </w:r>
          </w:p>
        </w:tc>
      </w:tr>
      <w:tr>
        <w:tc>
          <w:tcPr>
            <w:tcW w:type="dxa" w:w="2160"/>
          </w:tcPr>
          <w:p>
            <w:r>
              <w:rPr>
                <w:rFonts w:ascii="Noto Sans CJK JP" w:hAnsi="Noto Sans CJK JP"/>
                <w:sz w:val="20"/>
              </w:rPr>
              <w:t>5</w:t>
            </w:r>
          </w:p>
        </w:tc>
        <w:tc>
          <w:tcPr>
            <w:tcW w:type="dxa" w:w="2160"/>
          </w:tcPr>
          <w:p>
            <w:r>
              <w:rPr>
                <w:rFonts w:ascii="Noto Sans CJK JP" w:hAnsi="Noto Sans CJK JP"/>
                <w:sz w:val="20"/>
              </w:rPr>
              <w:t>学習の指針を与える</w:t>
            </w:r>
          </w:p>
        </w:tc>
        <w:tc>
          <w:tcPr>
            <w:tcW w:type="dxa" w:w="2160"/>
          </w:tcPr>
          <w:p>
            <w:r>
              <w:rPr>
                <w:rFonts w:ascii="Noto Sans CJK JP" w:hAnsi="Noto Sans CJK JP"/>
                <w:sz w:val="20"/>
              </w:rPr>
              <w:t>批判的吟味の視点（強み・限界・関連文献）</w:t>
            </w:r>
          </w:p>
        </w:tc>
        <w:tc>
          <w:tcPr>
            <w:tcW w:type="dxa" w:w="2160"/>
          </w:tcPr>
          <w:p>
            <w:r>
              <w:rPr>
                <w:rFonts w:ascii="Noto Sans CJK JP" w:hAnsi="Noto Sans CJK JP"/>
                <w:sz w:val="20"/>
              </w:rPr>
              <w:t>全職種での「思い込み」事例による例示</w:t>
            </w:r>
          </w:p>
        </w:tc>
      </w:tr>
      <w:tr>
        <w:tc>
          <w:tcPr>
            <w:tcW w:type="dxa" w:w="2160"/>
          </w:tcPr>
          <w:p>
            <w:r>
              <w:rPr>
                <w:rFonts w:ascii="Noto Sans CJK JP" w:hAnsi="Noto Sans CJK JP"/>
                <w:sz w:val="20"/>
              </w:rPr>
              <w:t>6</w:t>
            </w:r>
          </w:p>
        </w:tc>
        <w:tc>
          <w:tcPr>
            <w:tcW w:type="dxa" w:w="2160"/>
          </w:tcPr>
          <w:p>
            <w:r>
              <w:rPr>
                <w:rFonts w:ascii="Noto Sans CJK JP" w:hAnsi="Noto Sans CJK JP"/>
                <w:sz w:val="20"/>
              </w:rPr>
              <w:t>練習の機会を設ける</w:t>
            </w:r>
          </w:p>
        </w:tc>
        <w:tc>
          <w:tcPr>
            <w:tcW w:type="dxa" w:w="2160"/>
          </w:tcPr>
          <w:p>
            <w:r>
              <w:rPr>
                <w:rFonts w:ascii="Noto Sans CJK JP" w:hAnsi="Noto Sans CJK JP"/>
                <w:sz w:val="20"/>
              </w:rPr>
              <w:t>ペアディスカッション（4分）</w:t>
            </w:r>
          </w:p>
        </w:tc>
        <w:tc>
          <w:tcPr>
            <w:tcW w:type="dxa" w:w="2160"/>
          </w:tcPr>
          <w:p>
            <w:r>
              <w:rPr>
                <w:rFonts w:ascii="Noto Sans CJK JP" w:hAnsi="Noto Sans CJK JP"/>
                <w:sz w:val="20"/>
              </w:rPr>
              <w:t>グループトーク（3分）</w:t>
            </w:r>
          </w:p>
        </w:tc>
      </w:tr>
      <w:tr>
        <w:tc>
          <w:tcPr>
            <w:tcW w:type="dxa" w:w="2160"/>
          </w:tcPr>
          <w:p>
            <w:r>
              <w:rPr>
                <w:rFonts w:ascii="Noto Sans CJK JP" w:hAnsi="Noto Sans CJK JP"/>
                <w:sz w:val="20"/>
              </w:rPr>
              <w:t>7</w:t>
            </w:r>
          </w:p>
        </w:tc>
        <w:tc>
          <w:tcPr>
            <w:tcW w:type="dxa" w:w="2160"/>
          </w:tcPr>
          <w:p>
            <w:r>
              <w:rPr>
                <w:rFonts w:ascii="Noto Sans CJK JP" w:hAnsi="Noto Sans CJK JP"/>
                <w:sz w:val="20"/>
              </w:rPr>
              <w:t>フィードバックを与える</w:t>
            </w:r>
          </w:p>
        </w:tc>
        <w:tc>
          <w:tcPr>
            <w:tcW w:type="dxa" w:w="2160"/>
          </w:tcPr>
          <w:p>
            <w:r>
              <w:rPr>
                <w:rFonts w:ascii="Noto Sans CJK JP" w:hAnsi="Noto Sans CJK JP"/>
                <w:sz w:val="20"/>
              </w:rPr>
              <w:t>全体共有 + ファシリテーターの補足</w:t>
            </w:r>
          </w:p>
        </w:tc>
        <w:tc>
          <w:tcPr>
            <w:tcW w:type="dxa" w:w="2160"/>
          </w:tcPr>
          <w:p>
            <w:r>
              <w:rPr>
                <w:rFonts w:ascii="Noto Sans CJK JP" w:hAnsi="Noto Sans CJK JP"/>
                <w:sz w:val="20"/>
              </w:rPr>
              <w:t>グループ共有 + まとめメッセージ</w:t>
            </w:r>
          </w:p>
        </w:tc>
      </w:tr>
      <w:tr>
        <w:tc>
          <w:tcPr>
            <w:tcW w:type="dxa" w:w="2160"/>
          </w:tcPr>
          <w:p>
            <w:r>
              <w:rPr>
                <w:rFonts w:ascii="Noto Sans CJK JP" w:hAnsi="Noto Sans CJK JP"/>
                <w:sz w:val="20"/>
              </w:rPr>
              <w:t>8</w:t>
            </w:r>
          </w:p>
        </w:tc>
        <w:tc>
          <w:tcPr>
            <w:tcW w:type="dxa" w:w="2160"/>
          </w:tcPr>
          <w:p>
            <w:r>
              <w:rPr>
                <w:rFonts w:ascii="Noto Sans CJK JP" w:hAnsi="Noto Sans CJK JP"/>
                <w:sz w:val="20"/>
              </w:rPr>
              <w:t>学習の成果を評価する</w:t>
            </w:r>
          </w:p>
        </w:tc>
        <w:tc>
          <w:tcPr>
            <w:tcW w:type="dxa" w:w="2160"/>
          </w:tcPr>
          <w:p>
            <w:r>
              <w:rPr>
                <w:rFonts w:ascii="Noto Sans CJK JP" w:hAnsi="Noto Sans CJK JP"/>
                <w:sz w:val="20"/>
              </w:rPr>
              <w:t>確認クイズ（3問）</w:t>
            </w:r>
          </w:p>
        </w:tc>
        <w:tc>
          <w:tcPr>
            <w:tcW w:type="dxa" w:w="2160"/>
          </w:tcPr>
          <w:p>
            <w:r>
              <w:rPr>
                <w:rFonts w:ascii="Noto Sans CJK JP" w:hAnsi="Noto Sans CJK JP"/>
                <w:sz w:val="20"/>
              </w:rPr>
              <w:t>隣の人に30秒で説明する</w:t>
            </w:r>
          </w:p>
        </w:tc>
      </w:tr>
      <w:tr>
        <w:tc>
          <w:tcPr>
            <w:tcW w:type="dxa" w:w="2160"/>
          </w:tcPr>
          <w:p>
            <w:r>
              <w:rPr>
                <w:rFonts w:ascii="Noto Sans CJK JP" w:hAnsi="Noto Sans CJK JP"/>
                <w:sz w:val="20"/>
              </w:rPr>
              <w:t>9</w:t>
            </w:r>
          </w:p>
        </w:tc>
        <w:tc>
          <w:tcPr>
            <w:tcW w:type="dxa" w:w="2160"/>
          </w:tcPr>
          <w:p>
            <w:r>
              <w:rPr>
                <w:rFonts w:ascii="Noto Sans CJK JP" w:hAnsi="Noto Sans CJK JP"/>
                <w:sz w:val="20"/>
              </w:rPr>
              <w:t>保持と転移を促進する</w:t>
            </w:r>
          </w:p>
        </w:tc>
        <w:tc>
          <w:tcPr>
            <w:tcW w:type="dxa" w:w="2160"/>
          </w:tcPr>
          <w:p>
            <w:r>
              <w:rPr>
                <w:rFonts w:ascii="Noto Sans CJK JP" w:hAnsi="Noto Sans CJK JP"/>
                <w:sz w:val="20"/>
              </w:rPr>
              <w:t>「10秒間の自問」+ 参考文献リスト</w:t>
            </w:r>
          </w:p>
        </w:tc>
        <w:tc>
          <w:tcPr>
            <w:tcW w:type="dxa" w:w="2160"/>
          </w:tcPr>
          <w:p>
            <w:r>
              <w:rPr>
                <w:rFonts w:ascii="Noto Sans CJK JP" w:hAnsi="Noto Sans CJK JP"/>
                <w:sz w:val="20"/>
              </w:rPr>
              <w:t>「3つのコツから1つ選ぶ」+ 参考文献</w:t>
            </w:r>
          </w:p>
        </w:tc>
      </w:tr>
    </w:tbl>
    <w:p>
      <w:r>
        <w:br w:type="page"/>
      </w:r>
    </w:p>
    <w:p>
      <w:pPr>
        <w:pStyle w:val="Heading2"/>
      </w:pPr>
      <w:r>
        <w:t>ブルームの分類法 — 対象者別学習目標</w:t>
      </w:r>
    </w:p>
    <w:p>
      <w:pPr>
        <w:pStyle w:val="Heading3"/>
      </w:pPr>
      <w:r>
        <w:t>研修医・専攻医</w:t>
      </w:r>
    </w:p>
    <w:tbl>
      <w:tblPr>
        <w:tblStyle w:val="TableGrid"/>
        <w:tblW w:type="auto" w:w="0"/>
        <w:tblLook w:firstColumn="1" w:firstRow="1" w:lastColumn="0" w:lastRow="0" w:noHBand="0" w:noVBand="1" w:val="04A0"/>
      </w:tblPr>
      <w:tblGrid>
        <w:gridCol w:w="1695"/>
        <w:gridCol w:w="4832"/>
        <w:gridCol w:w="2543"/>
      </w:tblGrid>
      <w:tr>
        <w:tc>
          <w:tcPr>
            <w:tcW w:type="dxa" w:w="2880"/>
          </w:tcPr>
          <w:p>
            <w:r>
              <w:rPr>
                <w:rFonts w:ascii="Noto Sans CJK JP" w:hAnsi="Noto Sans CJK JP"/>
                <w:b/>
                <w:sz w:val="20"/>
              </w:rPr>
              <w:t>ブルームレベル</w:t>
            </w:r>
          </w:p>
        </w:tc>
        <w:tc>
          <w:tcPr>
            <w:tcW w:type="dxa" w:w="2880"/>
          </w:tcPr>
          <w:p>
            <w:r>
              <w:rPr>
                <w:rFonts w:ascii="Noto Sans CJK JP" w:hAnsi="Noto Sans CJK JP"/>
                <w:b/>
                <w:sz w:val="20"/>
              </w:rPr>
              <w:t>学習目標</w:t>
            </w:r>
          </w:p>
        </w:tc>
        <w:tc>
          <w:tcPr>
            <w:tcW w:type="dxa" w:w="2880"/>
          </w:tcPr>
          <w:p>
            <w:r>
              <w:rPr>
                <w:rFonts w:ascii="Noto Sans CJK JP" w:hAnsi="Noto Sans CJK JP"/>
                <w:b/>
                <w:sz w:val="20"/>
              </w:rPr>
              <w:t>評価方法</w:t>
            </w:r>
          </w:p>
        </w:tc>
      </w:tr>
      <w:tr>
        <w:tc>
          <w:tcPr>
            <w:tcW w:type="dxa" w:w="2880"/>
          </w:tcPr>
          <w:p>
            <w:r>
              <w:rPr>
                <w:rFonts w:ascii="Noto Sans CJK JP" w:hAnsi="Noto Sans CJK JP"/>
                <w:sz w:val="20"/>
              </w:rPr>
              <w:t>**理解** (Understand)</w:t>
            </w:r>
          </w:p>
        </w:tc>
        <w:tc>
          <w:tcPr>
            <w:tcW w:type="dxa" w:w="2880"/>
          </w:tcPr>
          <w:p>
            <w:r>
              <w:rPr>
                <w:rFonts w:ascii="Noto Sans CJK JP" w:hAnsi="Noto Sans CJK JP"/>
                <w:sz w:val="20"/>
              </w:rPr>
              <w:t>利用可能性バイアスの定義と発生メカニズムを自分の言葉で説明できる</w:t>
            </w:r>
          </w:p>
        </w:tc>
        <w:tc>
          <w:tcPr>
            <w:tcW w:type="dxa" w:w="2880"/>
          </w:tcPr>
          <w:p>
            <w:r>
              <w:rPr>
                <w:rFonts w:ascii="Noto Sans CJK JP" w:hAnsi="Noto Sans CJK JP"/>
                <w:sz w:val="20"/>
              </w:rPr>
              <w:t>確認クイズ問1</w:t>
            </w:r>
          </w:p>
        </w:tc>
      </w:tr>
      <w:tr>
        <w:tc>
          <w:tcPr>
            <w:tcW w:type="dxa" w:w="2880"/>
          </w:tcPr>
          <w:p>
            <w:r>
              <w:rPr>
                <w:rFonts w:ascii="Noto Sans CJK JP" w:hAnsi="Noto Sans CJK JP"/>
                <w:sz w:val="20"/>
              </w:rPr>
              <w:t>**分析** (Analyze)</w:t>
            </w:r>
          </w:p>
        </w:tc>
        <w:tc>
          <w:tcPr>
            <w:tcW w:type="dxa" w:w="2880"/>
          </w:tcPr>
          <w:p>
            <w:r>
              <w:rPr>
                <w:rFonts w:ascii="Noto Sans CJK JP" w:hAnsi="Noto Sans CJK JP"/>
                <w:sz w:val="20"/>
              </w:rPr>
              <w:t>Moura et al. (2026) の研究デザイン・結果・限界を批判的に吟味できる</w:t>
            </w:r>
          </w:p>
        </w:tc>
        <w:tc>
          <w:tcPr>
            <w:tcW w:type="dxa" w:w="2880"/>
          </w:tcPr>
          <w:p>
            <w:r>
              <w:rPr>
                <w:rFonts w:ascii="Noto Sans CJK JP" w:hAnsi="Noto Sans CJK JP"/>
                <w:sz w:val="20"/>
              </w:rPr>
              <w:t>確認クイズ問2-3 + ペアディスカッション</w:t>
            </w:r>
          </w:p>
        </w:tc>
      </w:tr>
      <w:tr>
        <w:tc>
          <w:tcPr>
            <w:tcW w:type="dxa" w:w="2880"/>
          </w:tcPr>
          <w:p>
            <w:r>
              <w:rPr>
                <w:rFonts w:ascii="Noto Sans CJK JP" w:hAnsi="Noto Sans CJK JP"/>
                <w:sz w:val="20"/>
              </w:rPr>
              <w:t>**創造** (Create)</w:t>
            </w:r>
          </w:p>
        </w:tc>
        <w:tc>
          <w:tcPr>
            <w:tcW w:type="dxa" w:w="2880"/>
          </w:tcPr>
          <w:p>
            <w:r>
              <w:rPr>
                <w:rFonts w:ascii="Noto Sans CJK JP" w:hAnsi="Noto Sans CJK JP"/>
                <w:sz w:val="20"/>
              </w:rPr>
              <w:t>自身の臨床推論における利用可能性バイアス軽減のための振り返り計画を立てられる</w:t>
            </w:r>
          </w:p>
        </w:tc>
        <w:tc>
          <w:tcPr>
            <w:tcW w:type="dxa" w:w="2880"/>
          </w:tcPr>
          <w:p>
            <w:r>
              <w:rPr>
                <w:rFonts w:ascii="Noto Sans CJK JP" w:hAnsi="Noto Sans CJK JP"/>
                <w:sz w:val="20"/>
              </w:rPr>
              <w:t>持ち帰りの問い</w:t>
            </w:r>
          </w:p>
        </w:tc>
      </w:tr>
    </w:tbl>
    <w:p>
      <w:pPr>
        <w:pStyle w:val="Heading3"/>
      </w:pPr>
      <w:r>
        <w:t>全スタッフ</w:t>
      </w:r>
    </w:p>
    <w:tbl>
      <w:tblPr>
        <w:tblStyle w:val="TableGrid"/>
        <w:tblW w:type="auto" w:w="0"/>
        <w:tblLook w:firstColumn="1" w:firstRow="1" w:lastColumn="0" w:lastRow="0" w:noHBand="0" w:noVBand="1" w:val="04A0"/>
      </w:tblPr>
      <w:tblGrid>
        <w:gridCol w:w="1823"/>
        <w:gridCol w:w="4832"/>
        <w:gridCol w:w="2416"/>
      </w:tblGrid>
      <w:tr>
        <w:tc>
          <w:tcPr>
            <w:tcW w:type="dxa" w:w="2880"/>
          </w:tcPr>
          <w:p>
            <w:r>
              <w:rPr>
                <w:rFonts w:ascii="Noto Sans CJK JP" w:hAnsi="Noto Sans CJK JP"/>
                <w:b/>
                <w:sz w:val="20"/>
              </w:rPr>
              <w:t>ブルームレベル</w:t>
            </w:r>
          </w:p>
        </w:tc>
        <w:tc>
          <w:tcPr>
            <w:tcW w:type="dxa" w:w="2880"/>
          </w:tcPr>
          <w:p>
            <w:r>
              <w:rPr>
                <w:rFonts w:ascii="Noto Sans CJK JP" w:hAnsi="Noto Sans CJK JP"/>
                <w:b/>
                <w:sz w:val="20"/>
              </w:rPr>
              <w:t>学習目標</w:t>
            </w:r>
          </w:p>
        </w:tc>
        <w:tc>
          <w:tcPr>
            <w:tcW w:type="dxa" w:w="2880"/>
          </w:tcPr>
          <w:p>
            <w:r>
              <w:rPr>
                <w:rFonts w:ascii="Noto Sans CJK JP" w:hAnsi="Noto Sans CJK JP"/>
                <w:b/>
                <w:sz w:val="20"/>
              </w:rPr>
              <w:t>評価方法</w:t>
            </w:r>
          </w:p>
        </w:tc>
      </w:tr>
      <w:tr>
        <w:tc>
          <w:tcPr>
            <w:tcW w:type="dxa" w:w="2880"/>
          </w:tcPr>
          <w:p>
            <w:r>
              <w:rPr>
                <w:rFonts w:ascii="Noto Sans CJK JP" w:hAnsi="Noto Sans CJK JP"/>
                <w:sz w:val="20"/>
              </w:rPr>
              <w:t>**理解** (Understand)</w:t>
            </w:r>
          </w:p>
        </w:tc>
        <w:tc>
          <w:tcPr>
            <w:tcW w:type="dxa" w:w="2880"/>
          </w:tcPr>
          <w:p>
            <w:r>
              <w:rPr>
                <w:rFonts w:ascii="Noto Sans CJK JP" w:hAnsi="Noto Sans CJK JP"/>
                <w:sz w:val="20"/>
              </w:rPr>
              <w:t>利用可能性バイアスをざっくり説明できる</w:t>
            </w:r>
          </w:p>
        </w:tc>
        <w:tc>
          <w:tcPr>
            <w:tcW w:type="dxa" w:w="2880"/>
          </w:tcPr>
          <w:p>
            <w:r>
              <w:rPr>
                <w:rFonts w:ascii="Noto Sans CJK JP" w:hAnsi="Noto Sans CJK JP"/>
                <w:sz w:val="20"/>
              </w:rPr>
              <w:t>隣の人に30秒で説明</w:t>
            </w:r>
          </w:p>
        </w:tc>
      </w:tr>
      <w:tr>
        <w:tc>
          <w:tcPr>
            <w:tcW w:type="dxa" w:w="2880"/>
          </w:tcPr>
          <w:p>
            <w:r>
              <w:rPr>
                <w:rFonts w:ascii="Noto Sans CJK JP" w:hAnsi="Noto Sans CJK JP"/>
                <w:sz w:val="20"/>
              </w:rPr>
              <w:t>**適用** (Apply)</w:t>
            </w:r>
          </w:p>
        </w:tc>
        <w:tc>
          <w:tcPr>
            <w:tcW w:type="dxa" w:w="2880"/>
          </w:tcPr>
          <w:p>
            <w:r>
              <w:rPr>
                <w:rFonts w:ascii="Noto Sans CJK JP" w:hAnsi="Noto Sans CJK JP"/>
                <w:sz w:val="20"/>
              </w:rPr>
              <w:t>自分の職種で「思い込み」が起きやすい場面を1つ挙げ、対策を1つ実践できる</w:t>
            </w:r>
          </w:p>
        </w:tc>
        <w:tc>
          <w:tcPr>
            <w:tcW w:type="dxa" w:w="2880"/>
          </w:tcPr>
          <w:p>
            <w:r>
              <w:rPr>
                <w:rFonts w:ascii="Noto Sans CJK JP" w:hAnsi="Noto Sans CJK JP"/>
                <w:sz w:val="20"/>
              </w:rPr>
              <w:t>グループトーク + 3つのコツから選択</w:t>
            </w:r>
          </w:p>
        </w:tc>
      </w:tr>
      <w:tr>
        <w:tc>
          <w:tcPr>
            <w:tcW w:type="dxa" w:w="2880"/>
          </w:tcPr>
          <w:p>
            <w:r>
              <w:rPr>
                <w:rFonts w:ascii="Noto Sans CJK JP" w:hAnsi="Noto Sans CJK JP"/>
                <w:sz w:val="20"/>
              </w:rPr>
              <w:t>**評価** (Evaluate)</w:t>
            </w:r>
          </w:p>
        </w:tc>
        <w:tc>
          <w:tcPr>
            <w:tcW w:type="dxa" w:w="2880"/>
          </w:tcPr>
          <w:p>
            <w:r>
              <w:rPr>
                <w:rFonts w:ascii="Noto Sans CJK JP" w:hAnsi="Noto Sans CJK JP"/>
                <w:sz w:val="20"/>
              </w:rPr>
              <w:t>自分の判断が「思い込み」に影響されていたか振り返れる</w:t>
            </w:r>
          </w:p>
        </w:tc>
        <w:tc>
          <w:tcPr>
            <w:tcW w:type="dxa" w:w="2880"/>
          </w:tcPr>
          <w:p>
            <w:r>
              <w:rPr>
                <w:rFonts w:ascii="Noto Sans CJK JP" w:hAnsi="Noto Sans CJK JP"/>
                <w:sz w:val="20"/>
              </w:rPr>
              <w:t>1週間後のフォローアップ</w:t>
            </w:r>
          </w:p>
        </w:tc>
      </w:tr>
    </w:tbl>
    <w:p>
      <w:r>
        <w:br w:type="page"/>
      </w:r>
    </w:p>
    <w:p>
      <w:pPr>
        <w:pStyle w:val="Heading2"/>
      </w:pPr>
      <w:r>
        <w:t>設計上の意図メモ</w:t>
      </w:r>
    </w:p>
    <w:p>
      <w:pPr>
        <w:pStyle w:val="ListBullet"/>
      </w:pPr>
      <w:r>
        <w:t>**研修医版**: 論文の批判的吟味を含めることで「読んで使える」力を養う。b値やp値を示し、効果量の解釈まで踏み込む。ペアディスカッションでは自己の経験を言語化することでメタ認知を促進。</w:t>
      </w:r>
    </w:p>
    <w:p>
      <w:pPr>
        <w:pStyle w:val="ListBullet"/>
      </w:pPr>
      <w:r>
        <w:t>**全スタッフ版**: 専門用語を極力排除し、「速い脳・遅い脳」「思い込み」など日常語に置き換え。全職種の場面例を入れることで「自分ごと化」を促す。アクションは3択から1つ選ぶ形式にして行動変容のハードルを下げた。</w:t>
      </w:r>
    </w:p>
    <w:p>
      <w:pPr>
        <w:pStyle w:val="ListBullet"/>
      </w:pPr>
      <w:r>
        <w:t>**共通**: 「経験年数ではなく構造化されたフィードバックが重要」というメッセージは、両版とも核心に置いている。これはたまさんの教育設計の正当性を裏付ける知見でもある。</w:t>
      </w:r>
    </w:p>
    <w:p>
      <w:r>
        <w:br w:type="page"/>
      </w:r>
    </w:p>
    <w:p>
      <w:pPr>
        <w:pStyle w:val="Heading1"/>
      </w:pPr>
      <w:r>
        <w:t>Part 3: 参考文献・リンク（配布用）</w:t>
      </w:r>
    </w:p>
    <w:p>
      <w:r>
        <w:br w:type="page"/>
      </w:r>
    </w:p>
    <w:p>
      <w:pPr>
        <w:pStyle w:val="Heading2"/>
      </w:pPr>
      <w:r>
        <w:t>一次ソース</w:t>
      </w:r>
    </w:p>
    <w:p>
      <w:pPr>
        <w:pStyle w:val="ListBullet"/>
      </w:pPr>
      <w:r>
        <w:t>**Moura EC et al. (2026)**. "Availability Bias in Diagnostic Reasoning Following Real Clinical Encounters: A Cross-Sectional Survey of 1015 Physicians." *BMJ Quality &amp; Safety*.</w:t>
      </w:r>
    </w:p>
    <w:p>
      <w:pPr>
        <w:pStyle w:val="ListBullet"/>
      </w:pPr>
      <w:r>
        <w:t>DOI: [10.1136/bmjqs-2025-019520](https://doi.org/10.1136/bmjqs-2025-019520)</w:t>
      </w:r>
    </w:p>
    <w:p>
      <w:pPr>
        <w:pStyle w:val="Heading2"/>
      </w:pPr>
      <w:r>
        <w:t>二次ソース・関連文献</w:t>
      </w:r>
    </w:p>
    <w:p>
      <w:pPr>
        <w:pStyle w:val="ListBullet"/>
      </w:pPr>
      <w:r>
        <w:t>**American Journal of Medicine (2025)**. "Over-investigation and cognitive bias."</w:t>
      </w:r>
    </w:p>
    <w:p>
      <w:pPr>
        <w:pStyle w:val="ListBullet"/>
      </w:pPr>
      <w:r>
        <w:t>DOI: [10.1016/j.amjmed.2025.10.013](https://doi.org/10.1016/j.amjmed.2025.10.013)</w:t>
      </w:r>
    </w:p>
    <w:p>
      <w:pPr>
        <w:pStyle w:val="Heading2"/>
      </w:pPr>
      <w:r>
        <w:t>背景知識</w:t>
      </w:r>
    </w:p>
    <w:p>
      <w:pPr>
        <w:pStyle w:val="ListBullet"/>
      </w:pPr>
      <w:r>
        <w:t>**Kahneman D. (2011)**. *Thinking, Fast and Slow*. Farrar, Straus and Giroux.</w:t>
      </w:r>
    </w:p>
    <w:p>
      <w:pPr>
        <w:pStyle w:val="ListBullet"/>
      </w:pPr>
      <w:r>
        <w:t>邦訳: ダニエル・カーネマン『ファスト&amp;スロー』（早川書房）</w:t>
      </w:r>
    </w:p>
    <w:p>
      <w:pPr>
        <w:pStyle w:val="ListBullet"/>
      </w:pPr>
      <w:r>
        <w:t>**Tversky A, Kahneman D. (1973)**. "Availability: A heuristic for judging frequency and probability." *Cognitive Psychology*, 5(2), 207-232.</w:t>
      </w:r>
    </w:p>
    <w:p>
      <w:pPr>
        <w:pStyle w:val="ListBullet"/>
      </w:pPr>
      <w:r>
        <w:t>**Croskerry P. (2009)**. "A Universal Model of Diagnostic Reasoning." *Academic Medicine*, 84(8), 1022-1028.</w:t>
      </w:r>
    </w:p>
    <w:p>
      <w:pPr>
        <w:pStyle w:val="ListBullet"/>
      </w:pPr>
      <w:r>
        <w:t>診断推論における認知バイアスの包括的モデル</w:t>
      </w:r>
    </w:p>
    <w:p>
      <w:pPr>
        <w:pStyle w:val="ListBullet"/>
      </w:pPr>
      <w:r>
        <w:t>**Croskerry P. (2003)**. "The Importance of Cognitive Errors in Diagnosis and Strategies to Minimize Them." *Academic Medicine*, 78(8), 775-780.</w:t>
      </w:r>
    </w:p>
    <w:p>
      <w:pPr>
        <w:pStyle w:val="ListBullet"/>
      </w:pPr>
      <w:r>
        <w:t>認知的脱バイアス戦略のレビュー</w:t>
      </w:r>
    </w:p>
    <w:p>
      <w:pPr>
        <w:pStyle w:val="Heading2"/>
      </w:pPr>
      <w:r>
        <w:t>キーワード（検索用）</w:t>
      </w:r>
    </w:p>
    <w:p>
      <w:r>
        <w:rPr>
          <w:rFonts w:ascii="Noto Sans CJK JP" w:hAnsi="Noto Sans CJK JP"/>
          <w:b w:val="0"/>
          <w:sz w:val="22"/>
        </w:rPr>
        <w:t>利用可能性バイアス / Availability Bias / Availability Heuristic / 認知バイアス / Cognitive Bias / 診断エラー / Diagnostic Error / 臨床推論 / Clinical Reasoning / 双対プロセス理論 / Dual Process Theory / System 1 System 2 / 患者安全 / Patient Safety / Debiasing</w:t>
      </w:r>
    </w:p>
    <w:p>
      <w:r>
        <w:br w:type="page"/>
      </w:r>
    </w:p>
    <w:p>
      <w:pPr>
        <w:pStyle w:val="Heading3"/>
      </w:pPr>
      <w:r>
        <w:t>メタ情報</w:t>
      </w:r>
    </w:p>
    <w:tbl>
      <w:tblPr>
        <w:tblStyle w:val="TableGrid"/>
        <w:tblW w:type="auto" w:w="0"/>
        <w:tblLook w:firstColumn="1" w:firstRow="1" w:lastColumn="0" w:lastRow="0" w:noHBand="0" w:noVBand="1" w:val="04A0"/>
      </w:tblPr>
      <w:tblGrid>
        <w:gridCol w:w="4320"/>
        <w:gridCol w:w="4320"/>
      </w:tblGrid>
      <w:tr>
        <w:tc>
          <w:tcPr>
            <w:tcW w:type="dxa" w:w="4320"/>
          </w:tcPr>
          <w:p>
            <w:r>
              <w:rPr>
                <w:rFonts w:ascii="Noto Sans CJK JP" w:hAnsi="Noto Sans CJK JP"/>
                <w:b/>
                <w:sz w:val="20"/>
              </w:rPr>
              <w:t>項目</w:t>
            </w:r>
          </w:p>
        </w:tc>
        <w:tc>
          <w:tcPr>
            <w:tcW w:type="dxa" w:w="4320"/>
          </w:tcPr>
          <w:p>
            <w:r>
              <w:rPr>
                <w:rFonts w:ascii="Noto Sans CJK JP" w:hAnsi="Noto Sans CJK JP"/>
                <w:b/>
                <w:sz w:val="20"/>
              </w:rPr>
              <w:t>内容</w:t>
            </w:r>
          </w:p>
        </w:tc>
      </w:tr>
      <w:tr>
        <w:tc>
          <w:tcPr>
            <w:tcW w:type="dxa" w:w="4320"/>
          </w:tcPr>
          <w:p>
            <w:r>
              <w:rPr>
                <w:rFonts w:ascii="Noto Sans CJK JP" w:hAnsi="Noto Sans CJK JP"/>
                <w:sz w:val="20"/>
              </w:rPr>
              <w:t>ソース</w:t>
            </w:r>
          </w:p>
        </w:tc>
        <w:tc>
          <w:tcPr>
            <w:tcW w:type="dxa" w:w="4320"/>
          </w:tcPr>
          <w:p>
            <w:r>
              <w:rPr>
                <w:rFonts w:ascii="Noto Sans CJK JP" w:hAnsi="Noto Sans CJK JP"/>
                <w:sz w:val="20"/>
              </w:rPr>
              <w:t>data/briefings/2026-03-29.json item-006</w:t>
            </w:r>
          </w:p>
        </w:tc>
      </w:tr>
      <w:tr>
        <w:tc>
          <w:tcPr>
            <w:tcW w:type="dxa" w:w="4320"/>
          </w:tcPr>
          <w:p>
            <w:r>
              <w:rPr>
                <w:rFonts w:ascii="Noto Sans CJK JP" w:hAnsi="Noto Sans CJK JP"/>
                <w:sz w:val="20"/>
              </w:rPr>
              <w:t>IDモデル</w:t>
            </w:r>
          </w:p>
        </w:tc>
        <w:tc>
          <w:tcPr>
            <w:tcW w:type="dxa" w:w="4320"/>
          </w:tcPr>
          <w:p>
            <w:r>
              <w:rPr>
                <w:rFonts w:ascii="Noto Sans CJK JP" w:hAnsi="Noto Sans CJK JP"/>
                <w:sz w:val="20"/>
              </w:rPr>
              <w:t>ガニェの9教授事象</w:t>
            </w:r>
          </w:p>
        </w:tc>
      </w:tr>
      <w:tr>
        <w:tc>
          <w:tcPr>
            <w:tcW w:type="dxa" w:w="4320"/>
          </w:tcPr>
          <w:p>
            <w:r>
              <w:rPr>
                <w:rFonts w:ascii="Noto Sans CJK JP" w:hAnsi="Noto Sans CJK JP"/>
                <w:sz w:val="20"/>
              </w:rPr>
              <w:t>対象スライド</w:t>
            </w:r>
          </w:p>
        </w:tc>
        <w:tc>
          <w:tcPr>
            <w:tcW w:type="dxa" w:w="4320"/>
          </w:tcPr>
          <w:p>
            <w:r>
              <w:rPr>
                <w:rFonts w:ascii="Noto Sans CJK JP" w:hAnsi="Noto Sans CJK JP"/>
                <w:sz w:val="20"/>
              </w:rPr>
              <w:t>residents版（15分）+ allstaff版（10分）</w:t>
            </w:r>
          </w:p>
        </w:tc>
      </w:tr>
      <w:tr>
        <w:tc>
          <w:tcPr>
            <w:tcW w:type="dxa" w:w="4320"/>
          </w:tcPr>
          <w:p>
            <w:r>
              <w:rPr>
                <w:rFonts w:ascii="Noto Sans CJK JP" w:hAnsi="Noto Sans CJK JP"/>
                <w:sz w:val="20"/>
              </w:rPr>
              <w:t>作成日</w:t>
            </w:r>
          </w:p>
        </w:tc>
        <w:tc>
          <w:tcPr>
            <w:tcW w:type="dxa" w:w="4320"/>
          </w:tcPr>
          <w:p>
            <w:r>
              <w:rPr>
                <w:rFonts w:ascii="Noto Sans CJK JP" w:hAnsi="Noto Sans CJK JP"/>
                <w:sz w:val="20"/>
              </w:rPr>
              <w:t>2026-03-29</w:t>
            </w:r>
          </w:p>
        </w:tc>
      </w:tr>
    </w:tbl>
    <w:p>
      <w:pPr>
        <w:pStyle w:val="Heading1"/>
      </w:pPr>
      <w:r>
        <w:t>QRコード付き参考文献</w:t>
      </w:r>
    </w:p>
    <w:tbl>
      <w:tblPr>
        <w:tblW w:type="auto" w:w="0"/>
        <w:jc w:val="center"/>
        <w:tblLook w:firstColumn="1" w:firstRow="1" w:lastColumn="0" w:lastRow="0" w:noHBand="0" w:noVBand="1" w:val="04A0"/>
      </w:tblPr>
      <w:tblGrid>
        <w:gridCol w:w="850"/>
        <w:gridCol w:w="4512"/>
        <w:gridCol w:w="850"/>
        <w:gridCol w:w="4282"/>
      </w:tblGrid>
      <w:tr>
        <w:tc>
          <w:tcPr>
            <w:tcW w:type="dxa" w:w="2160"/>
          </w:tcPr>
          <w:p>
            <w:pPr>
              <w:jc w:val="center"/>
            </w:pPr>
            <w:r>
              <w:drawing>
                <wp:inline xmlns:a="http://schemas.openxmlformats.org/drawingml/2006/main" xmlns:pic="http://schemas.openxmlformats.org/drawingml/2006/picture">
                  <wp:extent cx="900000" cy="900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900000" cy="900000"/>
                          </a:xfrm>
                          <a:prstGeom prst="rect"/>
                        </pic:spPr>
                      </pic:pic>
                    </a:graphicData>
                  </a:graphic>
                </wp:inline>
              </w:drawing>
            </w:r>
          </w:p>
        </w:tc>
        <w:tc>
          <w:tcPr>
            <w:tcW w:type="dxa" w:w="2160"/>
          </w:tcPr>
          <w:p>
            <w:r>
              <w:rPr>
                <w:rFonts w:ascii="Calibri" w:hAnsi="Calibri"/>
                <w:b/>
                <w:sz w:val="16"/>
              </w:rPr>
              <w:t>Moura EC et al. (2026) — Availability Bias, BMJ Qual Saf</w:t>
            </w:r>
          </w:p>
          <w:p>
            <w:r>
              <w:rPr>
                <w:color w:val="444499"/>
                <w:sz w:val="12"/>
              </w:rPr>
              <w:t>https://doi.org/10.1136/bmjqs-2025-019520</w:t>
            </w:r>
          </w:p>
        </w:tc>
        <w:tc>
          <w:tcPr>
            <w:tcW w:type="dxa" w:w="2160"/>
          </w:tcPr>
          <w:p>
            <w:pPr>
              <w:jc w:val="center"/>
            </w:pPr>
            <w:r>
              <w:drawing>
                <wp:inline xmlns:a="http://schemas.openxmlformats.org/drawingml/2006/main" xmlns:pic="http://schemas.openxmlformats.org/drawingml/2006/picture">
                  <wp:extent cx="900000" cy="9000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900000" cy="900000"/>
                          </a:xfrm>
                          <a:prstGeom prst="rect"/>
                        </pic:spPr>
                      </pic:pic>
                    </a:graphicData>
                  </a:graphic>
                </wp:inline>
              </w:drawing>
            </w:r>
          </w:p>
        </w:tc>
        <w:tc>
          <w:tcPr>
            <w:tcW w:type="dxa" w:w="2160"/>
          </w:tcPr>
          <w:p>
            <w:r>
              <w:rPr>
                <w:rFonts w:ascii="Calibri" w:hAnsi="Calibri"/>
                <w:b/>
                <w:sz w:val="16"/>
              </w:rPr>
              <w:t>AJM (2025) — Over-investigation &amp; cognitive bias</w:t>
            </w:r>
          </w:p>
          <w:p>
            <w:r>
              <w:rPr>
                <w:color w:val="444499"/>
                <w:sz w:val="12"/>
              </w:rPr>
              <w:t>https://doi.org/10.1016/j.amjmed.2025.10.013</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JP" w:hAnsi="Noto Sans CJK JP"/>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