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020544">
          <w:rPr>
            <w:rStyle w:val="Hyperlink"/>
            <w:rFonts w:ascii="Ebrima" w:hAnsi="Ebrima"/>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0215D3">
          <w:rPr>
            <w:rStyle w:val="Hyperlink"/>
            <w:rFonts w:ascii="Ebrima" w:hAnsi="Ebrima"/>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hyperlink w:anchor="broverman1972" w:history="1">
        <w:r w:rsidR="006A39DA" w:rsidRPr="00731EAE">
          <w:rPr>
            <w:rStyle w:val="Hyperlink"/>
            <w:rFonts w:ascii="Ebrima" w:hAnsi="Ebrima"/>
          </w:rPr>
          <w:t>Broverman et al., 1972</w:t>
        </w:r>
      </w:hyperlink>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Filipek et al., 1994; Goldstein et al., 2001; Swaab &amp; Hofman,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Cosgrove et al., 2007; Giedd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r w:rsidR="00A576D0" w:rsidRPr="00F41417">
        <w:rPr>
          <w:color w:val="27CED7" w:themeColor="accent3"/>
          <w:highlight w:val="yellow"/>
        </w:rPr>
        <w:t>Choleris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Eliot et al., 2021; Leonard et al., 2008; Jäncke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Dubb et al., 2003</w:t>
      </w:r>
      <w:r w:rsidR="00E802B4">
        <w:rPr>
          <w:color w:val="27CED7" w:themeColor="accent3"/>
        </w:rPr>
        <w:t>; Ingalhalikar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as well as larger genua</w:t>
      </w:r>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r w:rsidR="00BD3124">
        <w:rPr>
          <w:highlight w:val="yellow"/>
        </w:rPr>
        <w:t>Dubb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hyperlink w:anchor="boespflug2011" w:history="1">
        <w:r w:rsidRPr="007F118B">
          <w:rPr>
            <w:rStyle w:val="Hyperlink"/>
            <w:rFonts w:ascii="Ebrima" w:hAnsi="Ebrima"/>
          </w:rPr>
          <w:t>Boespflug et al., 2011</w:t>
        </w:r>
      </w:hyperlink>
      <w:r>
        <w:t xml:space="preserve">; </w:t>
      </w:r>
      <w:hyperlink w:anchor="zaslerkaplan2017" w:history="1">
        <w:r w:rsidRPr="007F118B">
          <w:rPr>
            <w:rStyle w:val="Hyperlink"/>
            <w:rFonts w:ascii="Ebrima" w:hAnsi="Ebrima"/>
          </w:rPr>
          <w:t>Zasler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r w:rsidR="00F3767C" w:rsidRPr="009C54EF">
        <w:rPr>
          <w:color w:val="27CED7" w:themeColor="accent3"/>
        </w:rPr>
        <w:t>Ingalhalikar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Grabowska, 2016; Ingalhalikar et al., 2013; Kovalev et al., 2003</w:t>
      </w:r>
      <w:r w:rsidR="007F7A3B">
        <w:t xml:space="preserve">; see </w:t>
      </w:r>
      <w:r w:rsidR="007F7A3B" w:rsidRPr="007F7A3B">
        <w:rPr>
          <w:color w:val="27CED7" w:themeColor="accent3"/>
        </w:rPr>
        <w:t>Hirnstein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Hirnstein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Hiscock et al., 1995, 1999 &amp; 2001; Liu et al., 2009; Voyer,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r w:rsidRPr="00B06154">
        <w:lastRenderedPageBreak/>
        <w:t>Hirnstein et al. (2013) compiled behavioral data from 1,782 participants (885 females) and found that sex differences in the degree of language lateralization, as measured with a well-established verbal dichotic listening task (Hugdahl, 1995), were dependent on age, with the largest effect (Cohen’s d= 0.31) in adolescents. […] The sex difference in this task observed by Hirnstein et al. (2013) is in line with a recent study by Bless et al. (2015) that assessed language lateralization in over 4,000 participants with a smartphone application (iDichotic).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temporale (which overlaps with Wernicke’s area) in men than in women (e.g., Guadelupe et al., 2015), which is established very early in ontogenesis (Li et al., 2014).</w:t>
      </w:r>
    </w:p>
    <w:p w14:paraId="2469C5D0" w14:textId="77777777" w:rsidR="007F7A3B" w:rsidRDefault="007F7A3B" w:rsidP="007F7A3B">
      <w:pPr>
        <w:pStyle w:val="Listenabsatz"/>
        <w:numPr>
          <w:ilvl w:val="0"/>
          <w:numId w:val="1"/>
        </w:numPr>
      </w:pPr>
      <w:r>
        <w:t>Also Hirnstein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5C4FC1" w:rsidP="002D13BF">
      <w:pPr>
        <w:pStyle w:val="Listenabsatz"/>
        <w:numPr>
          <w:ilvl w:val="0"/>
          <w:numId w:val="1"/>
        </w:numPr>
      </w:pPr>
      <w:hyperlink w:anchor="ingalhalikar2013" w:history="1">
        <w:r w:rsidR="007F7A3B" w:rsidRPr="00BF363C">
          <w:rPr>
            <w:rStyle w:val="Hyperlink"/>
            <w:rFonts w:ascii="Ebrima" w:hAnsi="Ebrima"/>
          </w:rPr>
          <w:t>Ingalhalikar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hyperlink w:anchor="hirnstein2019" w:history="1">
        <w:r w:rsidRPr="00BF363C">
          <w:rPr>
            <w:rStyle w:val="Hyperlink"/>
            <w:rFonts w:ascii="Ebrima" w:hAnsi="Ebrima"/>
          </w:rPr>
          <w:t>Hirnstein et al., 2019</w:t>
        </w:r>
      </w:hyperlink>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r w:rsidRPr="00BF363C">
          <w:rPr>
            <w:rStyle w:val="Hyperlink"/>
            <w:rFonts w:ascii="Ebrima" w:hAnsi="Ebrima"/>
          </w:rPr>
          <w:t>Voyer et al.’s (2016)</w:t>
        </w:r>
      </w:hyperlink>
      <w:r>
        <w:t xml:space="preserve"> meta-analysis identified a significant, albeit small male advantage in visuospatial working memory tasks. Thus, the “gender similarities hypothesis” was coined, stating that men and women are similar in most, but not all,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[sex hormones may be the reason for differences in hemispheric asymmetry]</w:t>
      </w:r>
    </w:p>
    <w:p w14:paraId="73DA40CE" w14:textId="1F72867F"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Kimura &amp; Hampson, 1994; Varnava et al., 2007; Hirnstein et al., 2017</w:t>
      </w:r>
      <w:r w:rsidR="002D6BFB">
        <w:t>)</w:t>
      </w:r>
    </w:p>
    <w:p w14:paraId="079E8617" w14:textId="0F2CE05D" w:rsidR="00DB7986" w:rsidRDefault="00DB7986">
      <w:pPr>
        <w:rPr>
          <w:b/>
        </w:rPr>
      </w:pPr>
      <w:r>
        <w:rPr>
          <w:b/>
        </w:rPr>
        <w:lastRenderedPageBreak/>
        <w:t>In Stroke</w:t>
      </w:r>
    </w:p>
    <w:p w14:paraId="15AB7AD5" w14:textId="0548588B" w:rsidR="00DB7986" w:rsidRDefault="00DB7986" w:rsidP="00DB7986">
      <w:pPr>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hyperlink w:anchor="bonkhoff2021" w:history="1">
        <w:r w:rsidRPr="00A579A3">
          <w:rPr>
            <w:rStyle w:val="Hyperlink"/>
            <w:rFonts w:ascii="Ebrima" w:hAnsi="Ebrima"/>
          </w:rPr>
          <w:t>Bonkhoff et al., 2021</w:t>
        </w:r>
      </w:hyperlink>
      <w:r>
        <w:t xml:space="preserve">; </w:t>
      </w:r>
      <w:hyperlink w:anchor="feigin2014" w:history="1">
        <w:r w:rsidRPr="00A579A3">
          <w:rPr>
            <w:rStyle w:val="Hyperlink"/>
            <w:rFonts w:ascii="Ebrima" w:hAnsi="Ebrima"/>
          </w:rPr>
          <w:t>Feigin et al., 2014</w:t>
        </w:r>
      </w:hyperlink>
      <w:r>
        <w:t xml:space="preserve">; </w:t>
      </w:r>
      <w:hyperlink w:anchor="katanluft2018" w:history="1">
        <w:r w:rsidRPr="00A579A3">
          <w:rPr>
            <w:rStyle w:val="Hyperlink"/>
            <w:rFonts w:ascii="Ebrima" w:hAnsi="Ebrima"/>
          </w:rPr>
          <w:t>Katan &amp; Luft, 2018</w:t>
        </w:r>
      </w:hyperlink>
      <w:r>
        <w:t>). The Lancet’s Global Burden of Disease (GBD) review for the year 2019 reported 12.2 million global incident cases of stroke: 62.4% of those strokes were of an ischaemic nature, while the remaining 37.6% were haemorrhages. They further identified stroke to be the second-leading cause of death, accounting for a total of 6.55 million global deaths, and one of the top leading causes of long-term disabilities as measured by disease-adjusted life years (DALYs). Women suffered more often from strokes (6.44 million incident cases, 56.4 million prevalent cases) than men (5.79 million incident strokes, 45.0 million prevalent cases)</w:t>
      </w:r>
      <w:r w:rsidR="00665C87">
        <w:t xml:space="preserve"> (</w:t>
      </w:r>
      <w:r w:rsidR="00665C87" w:rsidRPr="00665C87">
        <w:rPr>
          <w:color w:val="FF0000"/>
        </w:rPr>
        <w:t>GBD 2019 Stroke Collaborators, 2021</w:t>
      </w:r>
      <w:r w:rsidR="00665C87">
        <w:t>)</w:t>
      </w:r>
      <w:r>
        <w:t xml:space="preserve">. </w:t>
      </w:r>
      <w:r w:rsidR="00665C87">
        <w:t>This can likely be at least partially attributed to the higher life expectancy of women (</w:t>
      </w:r>
      <w:r w:rsidR="00665C87" w:rsidRPr="00665C87">
        <w:rPr>
          <w:color w:val="27CED7" w:themeColor="accent3"/>
        </w:rPr>
        <w:t>Giroud et al., 2017; Bonkhoff et al., 2021</w:t>
      </w:r>
      <w:r w:rsidR="00665C87">
        <w:t>). Nevertheless,</w:t>
      </w:r>
      <w:r>
        <w:t xml:space="preserve"> there were no significant sex differences in the number of </w:t>
      </w:r>
      <w:r w:rsidRPr="00665C87">
        <w:rPr>
          <w:highlight w:val="yellow"/>
        </w:rPr>
        <w:t>stroke-related deaths</w:t>
      </w:r>
      <w:r>
        <w:t xml:space="preserve"> (</w:t>
      </w:r>
      <w:hyperlink w:anchor="GBDstroke2021" w:history="1">
        <w:r w:rsidRPr="00665C87">
          <w:rPr>
            <w:rStyle w:val="Hyperlink"/>
            <w:rFonts w:ascii="Ebrima" w:hAnsi="Ebrima" w:cs="Arial"/>
            <w:color w:val="FF0000"/>
          </w:rPr>
          <w:t>GBD 2019 Stroke Collaborators, 2021</w:t>
        </w:r>
      </w:hyperlink>
      <w:r>
        <w:rPr>
          <w:rFonts w:cs="Arial"/>
        </w:rPr>
        <w:t>).</w:t>
      </w:r>
    </w:p>
    <w:p w14:paraId="1D6F8113" w14:textId="31322C99" w:rsidR="00AF36F4" w:rsidRDefault="000F5E97" w:rsidP="00DB7986">
      <w:pPr>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665C87">
        <w:rPr>
          <w:rFonts w:cs="Arial"/>
          <w:highlight w:val="yellow"/>
        </w:rPr>
        <w:t>elderly</w:t>
      </w:r>
      <w:r w:rsidRPr="00665C87">
        <w:rPr>
          <w:rFonts w:cs="Arial"/>
          <w:highlight w:val="yellow"/>
        </w:rPr>
        <w:t xml:space="preserve"> </w:t>
      </w:r>
      <w:r w:rsidR="00A21DED" w:rsidRPr="00665C87">
        <w:rPr>
          <w:rFonts w:cs="Arial"/>
          <w:highlight w:val="yellow"/>
        </w:rPr>
        <w:t>women suffer the largest burden of stroke-induced disability and death</w:t>
      </w:r>
      <w:r w:rsidR="00A21DED">
        <w:rPr>
          <w:rFonts w:cs="Arial"/>
        </w:rPr>
        <w:t xml:space="preserve"> (</w:t>
      </w:r>
      <w:r w:rsidR="00AF36F4" w:rsidRPr="00AF36F4">
        <w:rPr>
          <w:rFonts w:cs="Arial"/>
          <w:color w:val="27CED7" w:themeColor="accent3"/>
        </w:rPr>
        <w:t>Appelros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xml:space="preserve">). Multiple studies have found that in the chronic post-stroke phase women are more likely to have significantly decreased quality of life (including impaired locomotor function and mental </w:t>
      </w:r>
      <w:r w:rsidR="00B56090">
        <w:rPr>
          <w:rFonts w:cs="Arial"/>
        </w:rPr>
        <w:t xml:space="preserve">abilities)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and comorbiditie</w:t>
      </w:r>
      <w:r w:rsidR="00AF36F4">
        <w:rPr>
          <w:rFonts w:cs="Arial"/>
        </w:rPr>
        <w:t>s, and does not arise from differences in lesion size (</w:t>
      </w:r>
      <w:r w:rsidR="00AF36F4" w:rsidRPr="00AF36F4">
        <w:rPr>
          <w:rFonts w:cs="Arial"/>
          <w:color w:val="27CED7" w:themeColor="accent3"/>
        </w:rPr>
        <w:t>Bonkhoff et al., 2021; Dehlendorff et al., 2015, Silva et al., 2010</w:t>
      </w:r>
      <w:r w:rsidR="00AF36F4">
        <w:rPr>
          <w:rFonts w:cs="Arial"/>
        </w:rPr>
        <w:t>).</w:t>
      </w:r>
    </w:p>
    <w:p w14:paraId="173DD111" w14:textId="4D5A1AF7" w:rsidR="00AF36F4" w:rsidRDefault="002D13BF" w:rsidP="00DB7986">
      <w:r>
        <w:rPr>
          <w:rFonts w:cs="Arial"/>
        </w:rPr>
        <w:t xml:space="preserve">In a </w:t>
      </w:r>
      <w:r w:rsidR="005A4BA4">
        <w:rPr>
          <w:rFonts w:cs="Arial"/>
        </w:rPr>
        <w:t>large-scale</w:t>
      </w:r>
      <w:r>
        <w:rPr>
          <w:rFonts w:cs="Arial"/>
        </w:rPr>
        <w:t xml:space="preserve"> study, </w:t>
      </w:r>
      <w:r w:rsidR="00E8478F" w:rsidRPr="00640246">
        <w:rPr>
          <w:rFonts w:cs="Arial"/>
          <w:color w:val="27CED7" w:themeColor="accent3"/>
        </w:rPr>
        <w:t>Bonkhoff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frontooccipital fasciculus, superior longitudinal fasciculus, corticospinal tract, and anterior thalamic radiation, also correlated with higher stroke severity.</w:t>
      </w:r>
      <w:r w:rsidR="00823654">
        <w:rPr>
          <w:rFonts w:cs="Arial"/>
        </w:rPr>
        <w:t xml:space="preserve"> They detected no differences in </w:t>
      </w:r>
      <w:r w:rsidR="00BA55C7">
        <w:rPr>
          <w:rFonts w:cs="Arial"/>
        </w:rPr>
        <w:t>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such as the hippocampus, thalamus, or precuneus.  Interestingly, those sex-specific effects were not present when comparing men and women below the age of 52 – the median age of menopause onset</w:t>
      </w:r>
      <w:r w:rsidR="005B076E">
        <w:t xml:space="preserve"> – which suggests that sex hormones play an important role in the neuropathology of stroke.</w:t>
      </w:r>
    </w:p>
    <w:p w14:paraId="49D2F8BA" w14:textId="77777777" w:rsidR="0061421B" w:rsidRDefault="00677BE4" w:rsidP="00677BE4">
      <w:pPr>
        <w:rPr>
          <w:rFonts w:cs="Arial"/>
        </w:rPr>
      </w:pPr>
      <w:r>
        <w:rPr>
          <w:rFonts w:cs="Arial"/>
        </w:rPr>
        <w:lastRenderedPageBreak/>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hyperlink w:anchor="bonkhoff2021" w:history="1">
        <w:r w:rsidRPr="00D23577">
          <w:rPr>
            <w:rStyle w:val="Hyperlink"/>
            <w:rFonts w:ascii="Ebrima" w:hAnsi="Ebrima" w:cs="Arial"/>
          </w:rPr>
          <w:t>Bonkhoff et al., 2021</w:t>
        </w:r>
      </w:hyperlink>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p>
    <w:p w14:paraId="65C26433" w14:textId="03D2D21B" w:rsidR="0008485B" w:rsidRDefault="00677BE4" w:rsidP="00677BE4">
      <w:pPr>
        <w:rPr>
          <w:rFonts w:cs="Arial"/>
        </w:rPr>
      </w:pPr>
      <w:r w:rsidRPr="00D202B5">
        <w:rPr>
          <w:rFonts w:cs="Arial"/>
        </w:rPr>
        <w:t>It has been well established in rodent studies that female brains sustain less injuries after experimental ischaemic stroke compared to male brains, which is likely due to neuroprotective properties of sex steroid hormones, such as oestradiol, oestrogen and progesterone (</w:t>
      </w:r>
      <w:hyperlink w:anchor="gibson2013" w:history="1">
        <w:r w:rsidRPr="00D202B5">
          <w:rPr>
            <w:rStyle w:val="Hyperlink"/>
            <w:rFonts w:ascii="Ebrima" w:hAnsi="Ebrima" w:cs="Arial"/>
          </w:rPr>
          <w:t>Gibson et al., 2013</w:t>
        </w:r>
      </w:hyperlink>
      <w:r w:rsidRPr="00D202B5">
        <w:rPr>
          <w:rFonts w:cs="Arial"/>
        </w:rPr>
        <w:t xml:space="preserve">; </w:t>
      </w:r>
      <w:hyperlink w:anchor="liu2010" w:history="1">
        <w:r w:rsidRPr="00D202B5">
          <w:rPr>
            <w:rStyle w:val="Hyperlink"/>
            <w:rFonts w:ascii="Ebrima" w:hAnsi="Ebrima" w:cs="Arial"/>
          </w:rPr>
          <w:t>Liu et al., 2010</w:t>
        </w:r>
      </w:hyperlink>
      <w:r w:rsidRPr="00D202B5">
        <w:rPr>
          <w:rFonts w:cs="Arial"/>
        </w:rPr>
        <w:t xml:space="preserve">; </w:t>
      </w:r>
      <w:hyperlink w:anchor="wise2001" w:history="1">
        <w:r w:rsidRPr="00D202B5">
          <w:rPr>
            <w:rStyle w:val="Hyperlink"/>
            <w:rFonts w:ascii="Ebrima" w:hAnsi="Ebrima" w:cs="Arial"/>
          </w:rPr>
          <w:t>Wise et al., 2001</w:t>
        </w:r>
      </w:hyperlink>
      <w:r w:rsidRPr="00D202B5">
        <w:rPr>
          <w:rFonts w:cs="Arial"/>
        </w:rPr>
        <w:t>).</w:t>
      </w:r>
      <w:r w:rsidR="000E422C">
        <w:rPr>
          <w:rFonts w:cs="Arial"/>
        </w:rPr>
        <w:t xml:space="preserve"> </w:t>
      </w:r>
      <w:bookmarkStart w:id="0" w:name="_GoBack"/>
      <w:r w:rsidR="000E422C">
        <w:rPr>
          <w:rFonts w:cs="Arial"/>
        </w:rPr>
        <w:t>These hormones are also referred to as “neuroactive steroids” or “neuro-steroids”, as they can be synthesised within the brain and are able to alter neuronal excitability (</w:t>
      </w:r>
      <w:r w:rsidR="000E422C" w:rsidRPr="000E422C">
        <w:rPr>
          <w:rFonts w:cs="Arial"/>
          <w:color w:val="27CED7" w:themeColor="accent3"/>
        </w:rPr>
        <w:t>Rupprecht, 2003</w:t>
      </w:r>
      <w:r w:rsidR="00043831">
        <w:rPr>
          <w:rFonts w:cs="Arial"/>
        </w:rPr>
        <w:t xml:space="preserve">). </w:t>
      </w:r>
      <w:bookmarkEnd w:id="0"/>
    </w:p>
    <w:p w14:paraId="04FF6BEF" w14:textId="36520692" w:rsidR="0008485B" w:rsidRDefault="00C166A6" w:rsidP="00677BE4">
      <w:pPr>
        <w:rPr>
          <w:rFonts w:cs="Arial"/>
        </w:rPr>
      </w:pPr>
      <w:r>
        <w:rPr>
          <w:rFonts w:cs="Arial"/>
        </w:rPr>
        <w:t xml:space="preserve">Testosterone 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A235C9">
        <w:rPr>
          <w:rFonts w:cs="Arial"/>
          <w:color w:val="FF0000"/>
        </w:rPr>
        <w:t>apoptotic/cell death</w:t>
      </w:r>
      <w:r w:rsidR="00A235C9">
        <w:rPr>
          <w:rFonts w:cs="Arial"/>
        </w:rPr>
        <w:t xml:space="preserve"> </w:t>
      </w:r>
      <w:r w:rsidR="008822F2">
        <w:rPr>
          <w:rFonts w:cs="Arial"/>
        </w:rPr>
        <w:t xml:space="preserve">mechanisms, stimulating </w:t>
      </w:r>
      <w:r w:rsidR="008822F2" w:rsidRPr="00A235C9">
        <w:rPr>
          <w:rFonts w:cs="Arial"/>
          <w:color w:val="FF0000"/>
        </w:rPr>
        <w:t>angiogenesis</w:t>
      </w:r>
      <w:r w:rsidR="00A235C9" w:rsidRPr="00A235C9">
        <w:rPr>
          <w:rFonts w:cs="Arial"/>
          <w:color w:val="FF0000"/>
        </w:rPr>
        <w:t>/the formation of new blood vessels</w:t>
      </w:r>
      <w:r w:rsidR="00A235C9">
        <w:rPr>
          <w:rFonts w:cs="Arial"/>
          <w:color w:val="FF0000"/>
        </w:rPr>
        <w:t xml:space="preserve">, </w:t>
      </w:r>
      <w:r w:rsidR="00A235C9">
        <w:rPr>
          <w:rFonts w:cs="Arial"/>
        </w:rPr>
        <w:t>decreasing cerebral vascular resistance, and thus</w:t>
      </w:r>
      <w:r w:rsidR="008822F2">
        <w:rPr>
          <w:rFonts w:cs="Arial"/>
        </w:rPr>
        <w:t>, 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Manwani et al., 2014; Suzuki et al., 2009</w:t>
      </w:r>
      <w:r w:rsidR="0008485B">
        <w:rPr>
          <w:rFonts w:cs="Arial"/>
        </w:rPr>
        <w:t>)</w:t>
      </w:r>
      <w:r w:rsidR="008822F2">
        <w:rPr>
          <w:rFonts w:cs="Arial"/>
        </w:rPr>
        <w:t>.</w:t>
      </w:r>
      <w:r w:rsidR="00A235C9">
        <w:rPr>
          <w:rFonts w:cs="Arial"/>
        </w:rPr>
        <w:t xml:space="preserve"> </w:t>
      </w:r>
      <w:r w:rsidR="00A235C9" w:rsidRPr="00A235C9">
        <w:rPr>
          <w:rFonts w:cs="Arial"/>
          <w:color w:val="FF0000"/>
          <w:highlight w:val="yellow"/>
        </w:rPr>
        <w:sym w:font="Wingdings" w:char="F0E0"/>
      </w:r>
      <w:r w:rsidR="00A235C9" w:rsidRPr="00A235C9">
        <w:rPr>
          <w:rFonts w:cs="Arial"/>
          <w:color w:val="FF0000"/>
          <w:highlight w:val="yellow"/>
        </w:rPr>
        <w:t xml:space="preserve"> [too much jargon?]</w:t>
      </w:r>
    </w:p>
    <w:p w14:paraId="740BCAB8" w14:textId="7B9DB516" w:rsidR="00677BE4" w:rsidRDefault="00677BE4" w:rsidP="00677BE4">
      <w:pPr>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gonadal sex (</w:t>
      </w:r>
      <w:r w:rsidR="0008485B" w:rsidRPr="0008485B">
        <w:rPr>
          <w:rFonts w:cs="Arial"/>
          <w:color w:val="27CED7" w:themeColor="accent3"/>
        </w:rPr>
        <w:t>Bushnell et al., 2018; Manwani et al., 2014</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7A78F7">
        <w:rPr>
          <w:rFonts w:cs="Arial"/>
          <w:highlight w:val="yellow"/>
        </w:rPr>
        <w:t xml:space="preserve">so </w:t>
      </w:r>
      <w:r w:rsidRPr="000E18A1">
        <w:rPr>
          <w:rFonts w:cs="Arial"/>
          <w:highlight w:val="yellow"/>
        </w:rPr>
        <w:t>far (CHECK)</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p>
    <w:p w14:paraId="7CBEEB75" w14:textId="5B1A54EA" w:rsidR="00D202B5" w:rsidRDefault="0008485B" w:rsidP="0008485B">
      <w:pPr>
        <w:pStyle w:val="Listenabsatz"/>
        <w:numPr>
          <w:ilvl w:val="0"/>
          <w:numId w:val="1"/>
        </w:numPr>
        <w:rPr>
          <w:rFonts w:cs="Arial"/>
        </w:rPr>
      </w:pPr>
      <w:r>
        <w:rPr>
          <w:rFonts w:cs="Arial"/>
        </w:rPr>
        <w:t>Manwani et al. (2014):</w:t>
      </w:r>
    </w:p>
    <w:p w14:paraId="1C388660" w14:textId="5B90D924" w:rsidR="0008485B" w:rsidRPr="0008485B" w:rsidRDefault="0008485B" w:rsidP="0008485B">
      <w:pPr>
        <w:pStyle w:val="Listenabsatz"/>
        <w:numPr>
          <w:ilvl w:val="1"/>
          <w:numId w:val="1"/>
        </w:numPr>
        <w:rPr>
          <w:rFonts w:cs="Arial"/>
        </w:rPr>
      </w:pPr>
      <w:r w:rsidRPr="0008485B">
        <w:rPr>
          <w:rFonts w:cs="Arial"/>
        </w:rPr>
        <w:t>Ischemic stroke is recognized as a sexually dimorphic disease with</w:t>
      </w:r>
      <w:r>
        <w:rPr>
          <w:rFonts w:cs="Arial"/>
        </w:rPr>
        <w:t xml:space="preserve"> </w:t>
      </w:r>
      <w:r w:rsidRPr="0008485B">
        <w:rPr>
          <w:rFonts w:cs="Arial"/>
        </w:rPr>
        <w:t>women enjoying a lower stroke incidence relative to men until an</w:t>
      </w:r>
      <w:r>
        <w:rPr>
          <w:rFonts w:cs="Arial"/>
        </w:rPr>
        <w:t xml:space="preserve"> </w:t>
      </w:r>
      <w:r w:rsidRPr="0008485B">
        <w:rPr>
          <w:rFonts w:cs="Arial"/>
        </w:rPr>
        <w:t>advanced age.1 Preclinical studies in animal models confirm and</w:t>
      </w:r>
      <w:r>
        <w:rPr>
          <w:rFonts w:cs="Arial"/>
        </w:rPr>
        <w:t xml:space="preserve"> </w:t>
      </w:r>
      <w:r w:rsidRPr="0008485B">
        <w:rPr>
          <w:rFonts w:cs="Arial"/>
        </w:rPr>
        <w:t>replicate this clinical epidemiology.</w:t>
      </w:r>
      <w:r>
        <w:rPr>
          <w:rFonts w:cs="Arial"/>
        </w:rPr>
        <w:t xml:space="preserve"> </w:t>
      </w:r>
      <w:r w:rsidRPr="0008485B">
        <w:rPr>
          <w:rFonts w:cs="Arial"/>
        </w:rPr>
        <w:t>2,3 This sexual dichotomy has</w:t>
      </w:r>
      <w:r>
        <w:rPr>
          <w:rFonts w:cs="Arial"/>
        </w:rPr>
        <w:t xml:space="preserve"> </w:t>
      </w:r>
      <w:r w:rsidRPr="0008485B">
        <w:rPr>
          <w:rFonts w:cs="Arial"/>
        </w:rPr>
        <w:t>largely been attributed to the activational effects of gonadal</w:t>
      </w:r>
      <w:r>
        <w:rPr>
          <w:rFonts w:cs="Arial"/>
        </w:rPr>
        <w:t xml:space="preserve"> </w:t>
      </w:r>
      <w:r w:rsidRPr="0008485B">
        <w:rPr>
          <w:rFonts w:cs="Arial"/>
        </w:rPr>
        <w:t>hormones—predominantly androgens and estrogens.</w:t>
      </w:r>
      <w:r>
        <w:rPr>
          <w:rFonts w:cs="Arial"/>
        </w:rPr>
        <w:t xml:space="preserve"> </w:t>
      </w:r>
      <w:r w:rsidRPr="0008485B">
        <w:rPr>
          <w:rFonts w:cs="Arial"/>
        </w:rPr>
        <w:t>4 The male</w:t>
      </w:r>
      <w:r>
        <w:rPr>
          <w:rFonts w:cs="Arial"/>
        </w:rPr>
        <w:t xml:space="preserve"> </w:t>
      </w:r>
      <w:r w:rsidRPr="0008485B">
        <w:rPr>
          <w:rFonts w:cs="Arial"/>
        </w:rPr>
        <w:t>gonadal hormone, testosterone has been shown to contribute to</w:t>
      </w:r>
      <w:r>
        <w:rPr>
          <w:rFonts w:cs="Arial"/>
        </w:rPr>
        <w:t xml:space="preserve"> </w:t>
      </w:r>
      <w:r w:rsidRPr="0008485B">
        <w:rPr>
          <w:rFonts w:cs="Arial"/>
        </w:rPr>
        <w:t>the male ‘ischemic sensitivity’ phenotype both clinically5 and in</w:t>
      </w:r>
      <w:r>
        <w:rPr>
          <w:rFonts w:cs="Arial"/>
        </w:rPr>
        <w:t xml:space="preserve"> </w:t>
      </w:r>
      <w:r w:rsidRPr="0008485B">
        <w:rPr>
          <w:rFonts w:cs="Arial"/>
        </w:rPr>
        <w:t>animal models.</w:t>
      </w:r>
      <w:r>
        <w:rPr>
          <w:rFonts w:cs="Arial"/>
        </w:rPr>
        <w:t xml:space="preserve"> </w:t>
      </w:r>
      <w:r w:rsidRPr="0008485B">
        <w:rPr>
          <w:rFonts w:cs="Arial"/>
        </w:rPr>
        <w:t>6,7 However, the role of testosterone in ischemic</w:t>
      </w:r>
      <w:r>
        <w:rPr>
          <w:rFonts w:cs="Arial"/>
        </w:rPr>
        <w:t xml:space="preserve"> </w:t>
      </w:r>
      <w:r w:rsidRPr="0008485B">
        <w:rPr>
          <w:rFonts w:cs="Arial"/>
        </w:rPr>
        <w:t>stroke remains controversial, as other studies have seen an</w:t>
      </w:r>
      <w:r>
        <w:rPr>
          <w:rFonts w:cs="Arial"/>
        </w:rPr>
        <w:t xml:space="preserve"> </w:t>
      </w:r>
      <w:r w:rsidRPr="0008485B">
        <w:rPr>
          <w:rFonts w:cs="Arial"/>
        </w:rPr>
        <w:t>age and dose-dependent prot</w:t>
      </w:r>
      <w:r>
        <w:rPr>
          <w:rFonts w:cs="Arial"/>
        </w:rPr>
        <w:t>ection with testosterone supple</w:t>
      </w:r>
      <w:r w:rsidRPr="0008485B">
        <w:rPr>
          <w:rFonts w:cs="Arial"/>
        </w:rPr>
        <w:t>mentation.</w:t>
      </w:r>
      <w:r>
        <w:rPr>
          <w:rFonts w:cs="Arial"/>
        </w:rPr>
        <w:t xml:space="preserve"> </w:t>
      </w:r>
      <w:r w:rsidRPr="0008485B">
        <w:rPr>
          <w:rFonts w:cs="Arial"/>
        </w:rPr>
        <w:t>8 In contrast, estrogens have been consistently shown</w:t>
      </w:r>
      <w:r>
        <w:rPr>
          <w:rFonts w:cs="Arial"/>
        </w:rPr>
        <w:t xml:space="preserve"> </w:t>
      </w:r>
      <w:r w:rsidRPr="0008485B">
        <w:rPr>
          <w:rFonts w:cs="Arial"/>
        </w:rPr>
        <w:t>to be neuroprotective in the majority of preclinical studies.</w:t>
      </w:r>
      <w:r>
        <w:rPr>
          <w:rFonts w:cs="Arial"/>
        </w:rPr>
        <w:t xml:space="preserve"> </w:t>
      </w:r>
      <w:r w:rsidRPr="0008485B">
        <w:rPr>
          <w:rFonts w:cs="Arial"/>
        </w:rPr>
        <w:t>9</w:t>
      </w:r>
      <w:r>
        <w:rPr>
          <w:rFonts w:cs="Arial"/>
        </w:rPr>
        <w:t xml:space="preserve"> </w:t>
      </w:r>
      <w:r w:rsidRPr="0008485B">
        <w:rPr>
          <w:rFonts w:cs="Arial"/>
        </w:rPr>
        <w:t xml:space="preserve">Ovariectomized females have </w:t>
      </w:r>
      <w:r>
        <w:rPr>
          <w:rFonts w:cs="Arial"/>
        </w:rPr>
        <w:t>increased histologic injury com</w:t>
      </w:r>
      <w:r w:rsidRPr="0008485B">
        <w:rPr>
          <w:rFonts w:cs="Arial"/>
        </w:rPr>
        <w:t>pared with ovary intact females, and this is reversed with estradiol</w:t>
      </w:r>
      <w:r>
        <w:rPr>
          <w:rFonts w:cs="Arial"/>
        </w:rPr>
        <w:t xml:space="preserve"> </w:t>
      </w:r>
      <w:r w:rsidRPr="0008485B">
        <w:rPr>
          <w:rFonts w:cs="Arial"/>
        </w:rPr>
        <w:t>supplementation. Exogenous estradiol administration also reduces</w:t>
      </w:r>
      <w:r>
        <w:rPr>
          <w:rFonts w:cs="Arial"/>
        </w:rPr>
        <w:t xml:space="preserve"> </w:t>
      </w:r>
      <w:r w:rsidRPr="0008485B">
        <w:rPr>
          <w:rFonts w:cs="Arial"/>
        </w:rPr>
        <w:t>injury in males, suggesting that estrogen exercises its beneficial</w:t>
      </w:r>
      <w:r>
        <w:rPr>
          <w:rFonts w:cs="Arial"/>
        </w:rPr>
        <w:t xml:space="preserve"> </w:t>
      </w:r>
      <w:r w:rsidRPr="0008485B">
        <w:rPr>
          <w:rFonts w:cs="Arial"/>
        </w:rPr>
        <w:t>effects independently of the gonadal sex</w:t>
      </w:r>
    </w:p>
    <w:p w14:paraId="7AF3BFA3" w14:textId="25F7FEBB" w:rsidR="00677BE4" w:rsidRDefault="0012280E" w:rsidP="0012280E">
      <w:pPr>
        <w:pStyle w:val="Listenabsatz"/>
        <w:numPr>
          <w:ilvl w:val="0"/>
          <w:numId w:val="1"/>
        </w:numPr>
        <w:rPr>
          <w:rFonts w:cs="Arial"/>
        </w:rPr>
      </w:pPr>
      <w:r>
        <w:rPr>
          <w:rFonts w:cs="Arial"/>
        </w:rPr>
        <w:t>Bushnell et al. (2018):</w:t>
      </w:r>
    </w:p>
    <w:p w14:paraId="35F423FA" w14:textId="34CAE1BC" w:rsidR="0012280E" w:rsidRPr="0012280E" w:rsidRDefault="0012280E" w:rsidP="0012280E">
      <w:pPr>
        <w:pStyle w:val="Listenabsatz"/>
        <w:numPr>
          <w:ilvl w:val="1"/>
          <w:numId w:val="1"/>
        </w:numPr>
        <w:rPr>
          <w:rFonts w:cs="Arial"/>
        </w:rPr>
      </w:pPr>
      <w:r>
        <w:t xml:space="preserve">The incidence of human stroke is sexually dimorphic until late in life, well beyond the years of reproductive senescence and menopause. From early </w:t>
      </w:r>
      <w:r>
        <w:lastRenderedPageBreak/>
        <w:t>through midadulthood years, stroke incidence is lower in women compared to men. However, with advancing age, the incidence of stroke and stroke-related mortality becomes higher in women.1</w:t>
      </w:r>
    </w:p>
    <w:p w14:paraId="6642B798" w14:textId="1B1F0C1F" w:rsidR="0012280E" w:rsidRPr="00043831" w:rsidRDefault="0012280E" w:rsidP="0012280E">
      <w:pPr>
        <w:pStyle w:val="Listenabsatz"/>
        <w:numPr>
          <w:ilvl w:val="1"/>
          <w:numId w:val="1"/>
        </w:numPr>
        <w:rPr>
          <w:rFonts w:cs="Arial"/>
        </w:rPr>
      </w:pPr>
      <w:r>
        <w:t>These hormones clearly contribute to, but do not fully account for, sex-specific responses to cerebral ischemia. (McCullough et al., 2003)</w:t>
      </w:r>
    </w:p>
    <w:p w14:paraId="1120B989" w14:textId="190097AA" w:rsidR="00043831" w:rsidRPr="0012280E" w:rsidRDefault="00043831" w:rsidP="0012280E">
      <w:pPr>
        <w:pStyle w:val="Listenabsatz"/>
        <w:numPr>
          <w:ilvl w:val="1"/>
          <w:numId w:val="1"/>
        </w:numPr>
        <w:rPr>
          <w:rFonts w:cs="Arial"/>
        </w:rPr>
      </w:pPr>
      <w:r>
        <w:t>The underpinning mechanisms responsible for this shift from an ‘‘ischemia-protected’’ to an ‘‘ischemia-sensitive’’ phenotype in aging females are not clearly defined but involve loss of estrogen, increased systemic inflammation, and age-related changes in gene expression (Sohrabji et al., 2017)</w:t>
      </w:r>
    </w:p>
    <w:p w14:paraId="0BCD30E5" w14:textId="71C70410" w:rsidR="00677BE4" w:rsidRPr="000E18A1" w:rsidRDefault="00677BE4" w:rsidP="00677BE4">
      <w:pPr>
        <w:rPr>
          <w:rFonts w:cs="Arial"/>
          <w:highlight w:val="yellow"/>
        </w:rPr>
      </w:pPr>
      <w:r>
        <w:rPr>
          <w:rFonts w:cs="Arial"/>
        </w:rPr>
        <w:t>Studies have shown that in both hippocampal and astrocytic cells derived from neonatal populations, male-derived (XY) cells are more vulnerable than female-derived (XX) cells to ischaemic injuries – even in low hormonal concentrations (</w:t>
      </w:r>
      <w:hyperlink w:anchor="li2005" w:history="1">
        <w:r w:rsidRPr="00687525">
          <w:rPr>
            <w:rStyle w:val="Hyperlink"/>
            <w:rFonts w:ascii="Ebrima" w:hAnsi="Ebrima" w:cs="Arial"/>
          </w:rPr>
          <w:t>Li et al., 2005</w:t>
        </w:r>
      </w:hyperlink>
      <w:r>
        <w:rPr>
          <w:rFonts w:cs="Arial"/>
        </w:rPr>
        <w:t xml:space="preserve">; </w:t>
      </w:r>
      <w:hyperlink w:anchor="liu2008" w:history="1">
        <w:r w:rsidRPr="00687525">
          <w:rPr>
            <w:rStyle w:val="Hyperlink"/>
            <w:rFonts w:ascii="Ebrima" w:hAnsi="Ebrima" w:cs="Arial"/>
          </w:rPr>
          <w:t>Liu et al., 2008</w:t>
        </w:r>
      </w:hyperlink>
      <w:r>
        <w:rPr>
          <w:rFonts w:cs="Arial"/>
        </w:rPr>
        <w:t xml:space="preserve">; </w:t>
      </w:r>
      <w:r w:rsidRPr="00687525">
        <w:rPr>
          <w:rFonts w:cs="Arial"/>
          <w:highlight w:val="yellow"/>
        </w:rPr>
        <w:t>MORE</w:t>
      </w:r>
      <w:r>
        <w:rPr>
          <w:rFonts w:cs="Arial"/>
        </w:rPr>
        <w:t xml:space="preserve">). </w:t>
      </w:r>
      <w:hyperlink w:anchor="manwani2014" w:history="1">
        <w:r w:rsidRPr="000E18A1">
          <w:rPr>
            <w:rStyle w:val="Hyperlink"/>
            <w:rFonts w:ascii="Ebrima" w:hAnsi="Ebrima" w:cs="Arial"/>
            <w:highlight w:val="yellow"/>
          </w:rPr>
          <w:t>Manwani et al. (2014)</w:t>
        </w:r>
      </w:hyperlink>
      <w:r w:rsidRPr="000E18A1">
        <w:rPr>
          <w:rFonts w:cs="Arial"/>
          <w:highlight w:val="yellow"/>
        </w:rPr>
        <w:t xml:space="preserve"> also demonstrated the same effects in mice. However, by dissociating the effects of gonadal sex hormones from sex chromosomes via the removal of gonads, they were able to show that this female-specific ischaemic protection stemmed from circulating oestrogen and o</w:t>
      </w:r>
      <w:r>
        <w:rPr>
          <w:rFonts w:cs="Arial"/>
          <w:highlight w:val="yellow"/>
        </w:rPr>
        <w:t xml:space="preserve">estradiol (see also Bushnell et al., 2018 for a review). </w:t>
      </w:r>
      <w:r w:rsidRPr="000E18A1">
        <w:rPr>
          <w:rFonts w:cs="Arial"/>
          <w:color w:val="FF0000"/>
          <w:highlight w:val="yellow"/>
        </w:rPr>
        <w:t>[übergang]</w:t>
      </w:r>
    </w:p>
    <w:p w14:paraId="14C95BA3" w14:textId="77777777" w:rsidR="00677BE4" w:rsidRDefault="00677BE4" w:rsidP="00DB7986">
      <w:pPr>
        <w:rPr>
          <w:rFonts w:cs="Arial"/>
        </w:rPr>
      </w:pPr>
    </w:p>
    <w:p w14:paraId="4F2EBFA4" w14:textId="4F7AC627" w:rsidR="005A4BA4" w:rsidRDefault="005A4BA4" w:rsidP="00DB7986">
      <w:pPr>
        <w:rPr>
          <w:rFonts w:cs="Arial"/>
        </w:rPr>
      </w:pPr>
    </w:p>
    <w:p w14:paraId="18031B67" w14:textId="3A7DEDB8" w:rsidR="00FA1C3F" w:rsidRDefault="00FA1C3F" w:rsidP="00FA1C3F">
      <w:pPr>
        <w:pStyle w:val="Listenabsatz"/>
        <w:numPr>
          <w:ilvl w:val="0"/>
          <w:numId w:val="1"/>
        </w:numPr>
        <w:rPr>
          <w:rFonts w:cs="Arial"/>
        </w:rPr>
      </w:pPr>
      <w:r w:rsidRPr="00FA1C3F">
        <w:rPr>
          <w:rFonts w:cs="Arial"/>
        </w:rPr>
        <w:t>It is important to note that th</w:t>
      </w:r>
      <w:r>
        <w:rPr>
          <w:rFonts w:cs="Arial"/>
        </w:rPr>
        <w:t>e strongest observed sex differ</w:t>
      </w:r>
      <w:r w:rsidRPr="00FA1C3F">
        <w:rPr>
          <w:rFonts w:cs="Arial"/>
        </w:rPr>
        <w:t>ences were strictly lateralized to the left hemisphere. Previous</w:t>
      </w:r>
      <w:r>
        <w:rPr>
          <w:rFonts w:cs="Arial"/>
        </w:rPr>
        <w:t xml:space="preserve"> </w:t>
      </w:r>
      <w:r w:rsidRPr="00FA1C3F">
        <w:rPr>
          <w:rFonts w:cs="Arial"/>
        </w:rPr>
        <w:t>research suggests that male or female sex and respective sex</w:t>
      </w:r>
      <w:r>
        <w:rPr>
          <w:rFonts w:cs="Arial"/>
        </w:rPr>
        <w:t xml:space="preserve"> </w:t>
      </w:r>
      <w:r w:rsidRPr="00FA1C3F">
        <w:rPr>
          <w:rFonts w:cs="Arial"/>
        </w:rPr>
        <w:t>hormones contribute to induce functional cerebral</w:t>
      </w:r>
      <w:r>
        <w:rPr>
          <w:rFonts w:cs="Arial"/>
        </w:rPr>
        <w:t xml:space="preserve"> </w:t>
      </w:r>
      <w:r w:rsidRPr="00FA1C3F">
        <w:rPr>
          <w:rFonts w:cs="Arial"/>
        </w:rPr>
        <w:t>asymmetries27. Men appear to have a stronger hemispheric</w:t>
      </w:r>
      <w:r>
        <w:rPr>
          <w:rFonts w:cs="Arial"/>
        </w:rPr>
        <w:t xml:space="preserve"> </w:t>
      </w:r>
      <w:r w:rsidRPr="00FA1C3F">
        <w:rPr>
          <w:rFonts w:cs="Arial"/>
        </w:rPr>
        <w:t>asymmetry; however, while robustly replicated, determined effect</w:t>
      </w:r>
      <w:r>
        <w:rPr>
          <w:rFonts w:cs="Arial"/>
        </w:rPr>
        <w:t xml:space="preserve"> </w:t>
      </w:r>
      <w:r w:rsidRPr="00FA1C3F">
        <w:rPr>
          <w:rFonts w:cs="Arial"/>
        </w:rPr>
        <w:t>sizes have been small28. Such an enhanced asymmetry in men was</w:t>
      </w:r>
      <w:r>
        <w:rPr>
          <w:rFonts w:cs="Arial"/>
        </w:rPr>
        <w:t xml:space="preserve"> </w:t>
      </w:r>
      <w:r w:rsidRPr="00FA1C3F">
        <w:rPr>
          <w:rFonts w:cs="Arial"/>
        </w:rPr>
        <w:t>also found in some early lesion studies on intelligence29. However, further early lesion studies suggested that lateralization</w:t>
      </w:r>
      <w:r>
        <w:rPr>
          <w:rFonts w:cs="Arial"/>
        </w:rPr>
        <w:t xml:space="preserve"> </w:t>
      </w:r>
      <w:r w:rsidRPr="00FA1C3F">
        <w:rPr>
          <w:rFonts w:cs="Arial"/>
        </w:rPr>
        <w:t>differences between the sexes might be even more complex, i.e.,</w:t>
      </w:r>
      <w:r>
        <w:rPr>
          <w:rFonts w:cs="Arial"/>
        </w:rPr>
        <w:t xml:space="preserve"> </w:t>
      </w:r>
      <w:r w:rsidRPr="00FA1C3F">
        <w:rPr>
          <w:rFonts w:cs="Arial"/>
        </w:rPr>
        <w:t>female brains may be asymmetric to a comparable degree, yet in</w:t>
      </w:r>
      <w:r>
        <w:rPr>
          <w:rFonts w:cs="Arial"/>
        </w:rPr>
        <w:t xml:space="preserve"> </w:t>
      </w:r>
      <w:r w:rsidRPr="00FA1C3F">
        <w:rPr>
          <w:rFonts w:cs="Arial"/>
        </w:rPr>
        <w:t>different ways30,31. In particular, it was found that lefthemispheric lesions in wome</w:t>
      </w:r>
      <w:r>
        <w:rPr>
          <w:rFonts w:cs="Arial"/>
        </w:rPr>
        <w:t>n led to both verbal and perfor</w:t>
      </w:r>
      <w:r w:rsidRPr="00FA1C3F">
        <w:rPr>
          <w:rFonts w:cs="Arial"/>
        </w:rPr>
        <w:t>mance scale IQ deterioration, while only one quality—either</w:t>
      </w:r>
      <w:r>
        <w:rPr>
          <w:rFonts w:cs="Arial"/>
        </w:rPr>
        <w:t xml:space="preserve"> </w:t>
      </w:r>
      <w:r w:rsidRPr="00FA1C3F">
        <w:rPr>
          <w:rFonts w:cs="Arial"/>
        </w:rPr>
        <w:t>verbal or performance—was affected in all other lesion and sex</w:t>
      </w:r>
      <w:r>
        <w:rPr>
          <w:rFonts w:cs="Arial"/>
        </w:rPr>
        <w:t xml:space="preserve"> </w:t>
      </w:r>
      <w:r w:rsidRPr="00FA1C3F">
        <w:rPr>
          <w:rFonts w:cs="Arial"/>
        </w:rPr>
        <w:t>constellations30,32.</w:t>
      </w:r>
    </w:p>
    <w:p w14:paraId="0C158AC8" w14:textId="41E9B0FF" w:rsidR="00FA1C3F" w:rsidRPr="00FA1C3F" w:rsidRDefault="00FA1C3F" w:rsidP="00FA1C3F">
      <w:pPr>
        <w:pStyle w:val="Listenabsatz"/>
        <w:numPr>
          <w:ilvl w:val="0"/>
          <w:numId w:val="1"/>
        </w:numPr>
        <w:rPr>
          <w:rFonts w:cs="Arial"/>
        </w:rPr>
      </w:pPr>
      <w:r>
        <w:t>Nonetheless, we also find that particularly women are vulnerable to left-hemispheric lesions. Indeed, we can relate the most robust excess vulnerability of female vs. male patients to anatomically precise lesion locations in the left-hemispheric PCA territory, specifically featuring hippocampal, thalamic, and precuneal regions. Based on existing knowledge on these regions’ physiological functions, it may be suggested that lesions in these regions more likely underlie (higher) cognitive, than, for example, basic motor functions</w:t>
      </w:r>
    </w:p>
    <w:p w14:paraId="3D37F589" w14:textId="1FBD3EA5" w:rsidR="00FA1C3F" w:rsidRPr="00FA1C3F" w:rsidRDefault="00FA1C3F" w:rsidP="00FA1C3F">
      <w:pPr>
        <w:pStyle w:val="Listenabsatz"/>
        <w:numPr>
          <w:ilvl w:val="0"/>
          <w:numId w:val="1"/>
        </w:numPr>
        <w:rPr>
          <w:rFonts w:cs="Arial"/>
        </w:rPr>
      </w:pPr>
      <w:r>
        <w:t>We furthermore observed signs of an interaction effect of sex with age, when stratifying the entire sample based on the median age at menopause26. None of the female-specific lesion pattern effects could be detected, when comparing men and women below the age of 52 years.</w:t>
      </w:r>
    </w:p>
    <w:p w14:paraId="5F72C9FD" w14:textId="77777777" w:rsidR="00E8478F" w:rsidRPr="00E8478F" w:rsidRDefault="00E8478F" w:rsidP="00E8478F">
      <w:pPr>
        <w:rPr>
          <w:rFonts w:cs="Arial"/>
        </w:rPr>
      </w:pPr>
    </w:p>
    <w:p w14:paraId="6FEFB7C7" w14:textId="2253C08E" w:rsidR="000D6D3B" w:rsidRDefault="000D6D3B" w:rsidP="000D6D3B">
      <w:pPr>
        <w:pStyle w:val="Listenabsatz"/>
        <w:numPr>
          <w:ilvl w:val="0"/>
          <w:numId w:val="1"/>
        </w:numPr>
        <w:rPr>
          <w:rFonts w:cs="Arial"/>
        </w:rPr>
      </w:pPr>
      <w:r>
        <w:rPr>
          <w:rFonts w:cs="Arial"/>
        </w:rPr>
        <w:lastRenderedPageBreak/>
        <w:t>Wu et al., 2015:</w:t>
      </w:r>
    </w:p>
    <w:p w14:paraId="020EBA9E" w14:textId="26378893" w:rsidR="000D6D3B" w:rsidRPr="000D6D3B" w:rsidRDefault="000D6D3B" w:rsidP="000D6D3B">
      <w:pPr>
        <w:pStyle w:val="Listenabsatz"/>
        <w:numPr>
          <w:ilvl w:val="1"/>
          <w:numId w:val="1"/>
        </w:numPr>
        <w:rPr>
          <w:rFonts w:cs="Arial"/>
        </w:rPr>
      </w:pPr>
      <w:r>
        <w:t>Our findings suggest that if one does not take into consideration age, sex, or lesion volume, locations of the lesion are associated with degree of stroke severity and long-term disability—and more so with lesions in the left hemisphere. Interestingly, including age and sex into our model for mRS increased the number of voxels in the right hemisphere. This suggests that for a given age and sex, the risk that a patient will have greater admission stroke severity and long-term disability is increased by where the stroke is located. Patients with strokes in certain regions of the right hemisphere—in particular, the insula, operculum, or putamen—are more likely to have more severe long-term disability.</w:t>
      </w:r>
    </w:p>
    <w:p w14:paraId="23CE191D" w14:textId="2955E2EE" w:rsidR="000D6D3B" w:rsidRPr="000D6D3B" w:rsidRDefault="000D6D3B" w:rsidP="000D6D3B">
      <w:pPr>
        <w:pStyle w:val="Listenabsatz"/>
        <w:numPr>
          <w:ilvl w:val="1"/>
          <w:numId w:val="1"/>
        </w:numPr>
        <w:rPr>
          <w:rFonts w:cs="Arial"/>
        </w:rPr>
      </w:pPr>
      <w:r>
        <w:t>Once volume is included in the models, lesion location in the right hemisphere is no longer significant for either NIHSS or mRS. That is, for a given acute DWI lesion volume for a patient with specific age and sex, if the lesion is located in certain regions (in particular, left-hemispheric white matter and subcortical gray matter), the likelihood of greater severity on admission and long-term disability is increased. We speculate that the reason individual voxels in the right hemisphere are no longer significant once volume is taken into consideration is that the size of the lesion in right hemispheric strokes determines the degree of admission stroke severity and outcome, independent of where the large lesion is located in the right hemisphere. A major determinant of poor outcome in right hemispheric stroke is unilateral neglect,19 which is typically associated with large strokes.</w:t>
      </w:r>
    </w:p>
    <w:p w14:paraId="47A81146" w14:textId="77777777" w:rsidR="00DB7986" w:rsidRPr="00DB7986" w:rsidRDefault="00DB7986"/>
    <w:sectPr w:rsidR="00DB7986" w:rsidRPr="00DB7986"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0355F" w14:textId="77777777" w:rsidR="005C4FC1" w:rsidRDefault="005C4FC1" w:rsidP="00E8478F">
      <w:pPr>
        <w:spacing w:after="0" w:line="240" w:lineRule="auto"/>
      </w:pPr>
      <w:r>
        <w:separator/>
      </w:r>
    </w:p>
  </w:endnote>
  <w:endnote w:type="continuationSeparator" w:id="0">
    <w:p w14:paraId="089EA3FF" w14:textId="77777777" w:rsidR="005C4FC1" w:rsidRDefault="005C4FC1"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7A516" w14:textId="77777777" w:rsidR="005C4FC1" w:rsidRDefault="005C4FC1" w:rsidP="00E8478F">
      <w:pPr>
        <w:spacing w:after="0" w:line="240" w:lineRule="auto"/>
      </w:pPr>
      <w:r>
        <w:separator/>
      </w:r>
    </w:p>
  </w:footnote>
  <w:footnote w:type="continuationSeparator" w:id="0">
    <w:p w14:paraId="64671117" w14:textId="77777777" w:rsidR="005C4FC1" w:rsidRDefault="005C4FC1"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9"/>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6C9A"/>
    <w:rsid w:val="0002238E"/>
    <w:rsid w:val="00043831"/>
    <w:rsid w:val="0008485B"/>
    <w:rsid w:val="000C1659"/>
    <w:rsid w:val="000D69E7"/>
    <w:rsid w:val="000D6D3B"/>
    <w:rsid w:val="000E422C"/>
    <w:rsid w:val="000F5E97"/>
    <w:rsid w:val="0012280E"/>
    <w:rsid w:val="001646ED"/>
    <w:rsid w:val="00226847"/>
    <w:rsid w:val="00232B4F"/>
    <w:rsid w:val="00243C12"/>
    <w:rsid w:val="00262D2F"/>
    <w:rsid w:val="002849BE"/>
    <w:rsid w:val="002A6799"/>
    <w:rsid w:val="002C0709"/>
    <w:rsid w:val="002D13BF"/>
    <w:rsid w:val="002D6BFB"/>
    <w:rsid w:val="00304160"/>
    <w:rsid w:val="00330342"/>
    <w:rsid w:val="00350FC4"/>
    <w:rsid w:val="0039238E"/>
    <w:rsid w:val="003D1CBA"/>
    <w:rsid w:val="00444BBB"/>
    <w:rsid w:val="0045621C"/>
    <w:rsid w:val="004B164E"/>
    <w:rsid w:val="004D0CF4"/>
    <w:rsid w:val="004F2AE6"/>
    <w:rsid w:val="004F7CA3"/>
    <w:rsid w:val="00534ABB"/>
    <w:rsid w:val="00542A58"/>
    <w:rsid w:val="005973D0"/>
    <w:rsid w:val="005A4BA4"/>
    <w:rsid w:val="005A5F19"/>
    <w:rsid w:val="005B076E"/>
    <w:rsid w:val="005C4FC1"/>
    <w:rsid w:val="00606822"/>
    <w:rsid w:val="00611127"/>
    <w:rsid w:val="00612B2C"/>
    <w:rsid w:val="0061421B"/>
    <w:rsid w:val="00640246"/>
    <w:rsid w:val="00665C87"/>
    <w:rsid w:val="00677BE4"/>
    <w:rsid w:val="006A39DA"/>
    <w:rsid w:val="006A6C9A"/>
    <w:rsid w:val="006B08EE"/>
    <w:rsid w:val="007020F8"/>
    <w:rsid w:val="00704BA5"/>
    <w:rsid w:val="007328BA"/>
    <w:rsid w:val="00783AE2"/>
    <w:rsid w:val="007C3C64"/>
    <w:rsid w:val="007C53BF"/>
    <w:rsid w:val="007F7A3B"/>
    <w:rsid w:val="00823654"/>
    <w:rsid w:val="00831656"/>
    <w:rsid w:val="008822F2"/>
    <w:rsid w:val="008A07C1"/>
    <w:rsid w:val="008C0C82"/>
    <w:rsid w:val="008C1893"/>
    <w:rsid w:val="008C2516"/>
    <w:rsid w:val="008D2180"/>
    <w:rsid w:val="008D2FD9"/>
    <w:rsid w:val="008D6124"/>
    <w:rsid w:val="00954D0A"/>
    <w:rsid w:val="009A7159"/>
    <w:rsid w:val="009C4520"/>
    <w:rsid w:val="009C54EF"/>
    <w:rsid w:val="009F64C2"/>
    <w:rsid w:val="00A21DED"/>
    <w:rsid w:val="00A235C9"/>
    <w:rsid w:val="00A30F38"/>
    <w:rsid w:val="00A576D0"/>
    <w:rsid w:val="00A922FA"/>
    <w:rsid w:val="00A932BE"/>
    <w:rsid w:val="00AA3327"/>
    <w:rsid w:val="00AB5DFC"/>
    <w:rsid w:val="00AF36F4"/>
    <w:rsid w:val="00B04D86"/>
    <w:rsid w:val="00B248B6"/>
    <w:rsid w:val="00B43100"/>
    <w:rsid w:val="00B51C86"/>
    <w:rsid w:val="00B56090"/>
    <w:rsid w:val="00B62325"/>
    <w:rsid w:val="00BA55C7"/>
    <w:rsid w:val="00BB0E8F"/>
    <w:rsid w:val="00BB36B5"/>
    <w:rsid w:val="00BD3124"/>
    <w:rsid w:val="00BF363C"/>
    <w:rsid w:val="00BF6665"/>
    <w:rsid w:val="00C166A6"/>
    <w:rsid w:val="00C451DD"/>
    <w:rsid w:val="00C6631F"/>
    <w:rsid w:val="00C746EA"/>
    <w:rsid w:val="00C779F8"/>
    <w:rsid w:val="00C9490E"/>
    <w:rsid w:val="00CD4F7F"/>
    <w:rsid w:val="00CE778B"/>
    <w:rsid w:val="00D00880"/>
    <w:rsid w:val="00D05BBF"/>
    <w:rsid w:val="00D202B5"/>
    <w:rsid w:val="00D33FB7"/>
    <w:rsid w:val="00D734A2"/>
    <w:rsid w:val="00D87C31"/>
    <w:rsid w:val="00DA005C"/>
    <w:rsid w:val="00DB7986"/>
    <w:rsid w:val="00E30C95"/>
    <w:rsid w:val="00E54E46"/>
    <w:rsid w:val="00E577C3"/>
    <w:rsid w:val="00E802B4"/>
    <w:rsid w:val="00E83F1A"/>
    <w:rsid w:val="00E8478F"/>
    <w:rsid w:val="00E928FB"/>
    <w:rsid w:val="00E92D16"/>
    <w:rsid w:val="00ED18E9"/>
    <w:rsid w:val="00F31A89"/>
    <w:rsid w:val="00F3767C"/>
    <w:rsid w:val="00F41417"/>
    <w:rsid w:val="00F5067E"/>
    <w:rsid w:val="00F913FF"/>
    <w:rsid w:val="00FA1C3F"/>
    <w:rsid w:val="00FC7271"/>
    <w:rsid w:val="00FE3C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3474</Words>
  <Characters>19804</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24</cp:revision>
  <dcterms:created xsi:type="dcterms:W3CDTF">2022-09-12T09:16:00Z</dcterms:created>
  <dcterms:modified xsi:type="dcterms:W3CDTF">2022-09-20T10:29:00Z</dcterms:modified>
</cp:coreProperties>
</file>