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020D" w14:textId="13F33B99" w:rsidR="00ED18E9" w:rsidRDefault="006A6C9A" w:rsidP="006A6C9A">
      <w:bookmarkStart w:id="0" w:name="_Hlk115526554"/>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9333AA">
          <w:rPr>
            <w:rStyle w:val="Hyperlink"/>
            <w:rFonts w:ascii="Ebrima" w:hAnsi="Ebrima"/>
            <w:color w:val="auto"/>
          </w:rPr>
          <w:t>Romanes (1887)</w:t>
        </w:r>
      </w:hyperlink>
      <w:r w:rsidR="002C0709" w:rsidRPr="009333AA">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9333AA">
          <w:rPr>
            <w:rStyle w:val="Hyperlink"/>
            <w:rFonts w:ascii="Ebrima" w:hAnsi="Ebrima"/>
            <w:color w:val="auto"/>
          </w:rPr>
          <w:t>Fee, 1979</w:t>
        </w:r>
      </w:hyperlink>
      <w:r w:rsidR="002C0709" w:rsidRPr="009333AA">
        <w:t>;</w:t>
      </w:r>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fldChar w:fldCharType="begin"/>
      </w:r>
      <w:r>
        <w:instrText xml:space="preserve"> HYPERLINK \l "broverman1972" </w:instrText>
      </w:r>
      <w:r>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0C41BEBA" w14:textId="51E4491D" w:rsidR="0088384E" w:rsidRPr="0088384E"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r w:rsidR="00276ADF">
        <w:t xml:space="preserve">However, </w:t>
      </w:r>
      <w:r w:rsidR="00276ADF">
        <w:rPr>
          <w:lang w:val="en-DE"/>
        </w:rPr>
        <w:t>contrary</w:t>
      </w:r>
      <w:r w:rsidR="0088384E">
        <w:t xml:space="preserve"> to popular conceptions of</w:t>
      </w:r>
      <w:r w:rsidR="0088384E">
        <w:rPr>
          <w:lang w:val="en-DE"/>
        </w:rPr>
        <w:t xml:space="preserve"> psychological</w:t>
      </w:r>
      <w:r w:rsidR="0088384E">
        <w:t xml:space="preserve"> sex differences, </w:t>
      </w:r>
      <w:r w:rsidR="0088384E">
        <w:rPr>
          <w:lang w:val="en-DE"/>
        </w:rPr>
        <w:t xml:space="preserve">numerous </w:t>
      </w:r>
      <w:r w:rsidR="0088384E">
        <w:t xml:space="preserve">meta-analyses and meta-syntheses demonstrated that if any gender differences were detectable in cognitive tests, they often were negligibly </w:t>
      </w:r>
      <w:r w:rsidR="0088384E" w:rsidRPr="009D4C17">
        <w:t>small (</w:t>
      </w:r>
      <w:proofErr w:type="spellStart"/>
      <w:r w:rsidR="0088384E" w:rsidRPr="0088384E">
        <w:fldChar w:fldCharType="begin"/>
      </w:r>
      <w:r w:rsidR="0088384E">
        <w:instrText xml:space="preserve"> HYPERLINK \l "hirnstein2019" </w:instrText>
      </w:r>
      <w:r w:rsidR="0088384E" w:rsidRPr="0088384E">
        <w:fldChar w:fldCharType="separate"/>
      </w:r>
      <w:r w:rsidR="0088384E" w:rsidRPr="0088384E">
        <w:rPr>
          <w:rStyle w:val="Hyperlink"/>
          <w:rFonts w:ascii="Ebrima" w:hAnsi="Ebrima"/>
        </w:rPr>
        <w:t>Hirnstein</w:t>
      </w:r>
      <w:proofErr w:type="spellEnd"/>
      <w:r w:rsidR="0088384E" w:rsidRPr="0088384E">
        <w:rPr>
          <w:rStyle w:val="Hyperlink"/>
          <w:rFonts w:ascii="Ebrima" w:hAnsi="Ebrima"/>
        </w:rPr>
        <w:t xml:space="preserve"> et al., 2019</w:t>
      </w:r>
      <w:r w:rsidR="0088384E" w:rsidRPr="0088384E">
        <w:rPr>
          <w:rStyle w:val="Hyperlink"/>
          <w:rFonts w:ascii="Ebrima" w:hAnsi="Ebrima"/>
        </w:rPr>
        <w:fldChar w:fldCharType="end"/>
      </w:r>
      <w:r w:rsidR="0088384E" w:rsidRPr="009D4C17">
        <w:t xml:space="preserve">; </w:t>
      </w:r>
      <w:hyperlink w:anchor="hyde2005" w:history="1">
        <w:r w:rsidR="0088384E" w:rsidRPr="0088384E">
          <w:rPr>
            <w:rStyle w:val="Hyperlink"/>
            <w:rFonts w:ascii="Ebrima" w:hAnsi="Ebrima"/>
          </w:rPr>
          <w:t>Hyde, 2005</w:t>
        </w:r>
      </w:hyperlink>
      <w:r w:rsidR="0088384E" w:rsidRPr="009D4C17">
        <w:t xml:space="preserve">; </w:t>
      </w:r>
      <w:hyperlink w:anchor="zell2015" w:history="1">
        <w:r w:rsidR="0088384E" w:rsidRPr="0088384E">
          <w:rPr>
            <w:rStyle w:val="Hyperlink"/>
            <w:rFonts w:ascii="Ebrima" w:hAnsi="Ebrima"/>
          </w:rPr>
          <w:t>Zell et al., 2015</w:t>
        </w:r>
      </w:hyperlink>
      <w:r w:rsidR="0088384E" w:rsidRPr="009D4C17">
        <w:t xml:space="preserve">). </w:t>
      </w:r>
      <w:hyperlink w:anchor="hyde2005" w:history="1">
        <w:r w:rsidR="0088384E" w:rsidRPr="0088384E">
          <w:rPr>
            <w:rStyle w:val="Hyperlink"/>
            <w:rFonts w:ascii="Ebrima" w:hAnsi="Ebrima"/>
          </w:rPr>
          <w:t>Hyde (2005</w:t>
        </w:r>
      </w:hyperlink>
      <w:r w:rsidR="0088384E" w:rsidRPr="009D4C17">
        <w:t xml:space="preserve"> &amp; </w:t>
      </w:r>
      <w:hyperlink w:anchor="hyde2014" w:history="1">
        <w:r w:rsidR="0088384E" w:rsidRPr="0088384E">
          <w:rPr>
            <w:rStyle w:val="Hyperlink"/>
            <w:rFonts w:ascii="Ebrima" w:hAnsi="Ebrima"/>
          </w:rPr>
          <w:t>2014)</w:t>
        </w:r>
      </w:hyperlink>
      <w:r w:rsidR="0088384E" w:rsidRPr="009D4C17">
        <w:t xml:space="preserve"> found that in most cognitive tasks, women and men achieved equal performances. The strongest and most robust difference in cognitive tasks that </w:t>
      </w:r>
      <w:hyperlink w:anchor="zell2015" w:history="1">
        <w:r w:rsidR="0088384E" w:rsidRPr="0088384E">
          <w:rPr>
            <w:rStyle w:val="Hyperlink"/>
            <w:rFonts w:ascii="Ebrima" w:hAnsi="Ebrima"/>
          </w:rPr>
          <w:t>Zell et al.’s (2015)</w:t>
        </w:r>
      </w:hyperlink>
      <w:r w:rsidR="0088384E" w:rsidRPr="009D4C17">
        <w:t xml:space="preserve"> meta-synthesis identified was</w:t>
      </w:r>
      <w:r w:rsidR="003C53BE">
        <w:t xml:space="preserve"> better performance of men in</w:t>
      </w:r>
      <w:r w:rsidR="0088384E" w:rsidRPr="009D4C17">
        <w:t xml:space="preserve"> mental rotation</w:t>
      </w:r>
      <w:r w:rsidR="003C53BE">
        <w:t xml:space="preserve"> tasks</w:t>
      </w:r>
      <w:r w:rsidR="0088384E" w:rsidRPr="009D4C17">
        <w:t>.</w:t>
      </w:r>
      <w:hyperlink w:anchor="voyer2016" w:history="1">
        <w:r w:rsidR="0088384E">
          <w:t xml:space="preserve"> </w:t>
        </w:r>
        <w:proofErr w:type="spellStart"/>
        <w:r w:rsidR="0088384E" w:rsidRPr="0088384E">
          <w:rPr>
            <w:rStyle w:val="Hyperlink"/>
            <w:rFonts w:ascii="Ebrima" w:hAnsi="Ebrima"/>
          </w:rPr>
          <w:t>Voyer</w:t>
        </w:r>
        <w:proofErr w:type="spellEnd"/>
        <w:r w:rsidR="0088384E" w:rsidRPr="0088384E">
          <w:rPr>
            <w:rStyle w:val="Hyperlink"/>
            <w:rFonts w:ascii="Ebrima" w:hAnsi="Ebrima"/>
          </w:rPr>
          <w:t xml:space="preserve"> et al.’s (2016)</w:t>
        </w:r>
      </w:hyperlink>
      <w:r w:rsidR="0088384E">
        <w:t xml:space="preserve"> meta-analysis identified a significant, albeit small male advantage in visuospatial working memory tasks.</w:t>
      </w:r>
      <w:r w:rsidR="00ED3F49">
        <w:t xml:space="preserve"> A few studies found a small female advantage in certain language tasks, such as verbal fluency, but this effect was not consistently found across other tests in the language domain </w:t>
      </w:r>
      <w:r w:rsidR="00ED3F49" w:rsidRPr="00180565">
        <w:rPr>
          <w:color w:val="27CED7" w:themeColor="accent3"/>
        </w:rPr>
        <w:t>(Hyde, 2014 &amp; 2016</w:t>
      </w:r>
      <w:r w:rsidR="00890BFB">
        <w:rPr>
          <w:color w:val="27CED7" w:themeColor="accent3"/>
        </w:rPr>
        <w:t>; Sommer et al., 2004</w:t>
      </w:r>
      <w:r w:rsidR="00ED3F49">
        <w:t>). Since most existing differences tended to be small in magnitude</w:t>
      </w:r>
      <w:r w:rsidR="0088384E">
        <w:t>,</w:t>
      </w:r>
      <w:r w:rsidR="00ED3F49">
        <w:t xml:space="preserve"> this </w:t>
      </w:r>
      <w:r w:rsidR="00180565">
        <w:t>led</w:t>
      </w:r>
      <w:r w:rsidR="00ED3F49">
        <w:t xml:space="preserve"> researchers to coin</w:t>
      </w:r>
      <w:r w:rsidR="0088384E">
        <w:t xml:space="preserve"> the “gender similarities hypothesis”, stating that men and women are similar in most, but not all, psychological domains (</w:t>
      </w:r>
      <w:hyperlink w:anchor="hyde2005" w:history="1">
        <w:r w:rsidR="0088384E" w:rsidRPr="0088384E">
          <w:rPr>
            <w:rStyle w:val="Hyperlink"/>
            <w:rFonts w:ascii="Ebrima" w:hAnsi="Ebrima"/>
          </w:rPr>
          <w:t>Hyde, 2005</w:t>
        </w:r>
      </w:hyperlink>
      <w:r w:rsidR="00ED3F49">
        <w:rPr>
          <w:rStyle w:val="Hyperlink"/>
          <w:rFonts w:ascii="Ebrima" w:hAnsi="Ebrima"/>
        </w:rPr>
        <w:t>; Zell et al., 2015</w:t>
      </w:r>
      <w:r w:rsidR="0088384E">
        <w:t>).</w:t>
      </w:r>
    </w:p>
    <w:p w14:paraId="533FAE5F" w14:textId="4B782056" w:rsidR="009A7159" w:rsidRDefault="006A6C9A" w:rsidP="006A6C9A">
      <w:r w:rsidRPr="00B06154">
        <w:t>With the advent of neuroimaging</w:t>
      </w:r>
      <w:r w:rsidR="00180565">
        <w:t xml:space="preserve"> in the 1990s</w:t>
      </w:r>
      <w:r w:rsidRPr="00B06154">
        <w:t xml:space="preserve">, new possibilities emerged </w:t>
      </w:r>
      <w:r w:rsidR="00180565">
        <w:t>for the</w:t>
      </w:r>
      <w:r w:rsidRPr="00B06154">
        <w:t xml:space="preserve"> research of sex differences</w:t>
      </w:r>
      <w:r>
        <w:t>. Nevertheless, there still is no consensus on the exact neural mechanisms underlying those cognitive sex differences.</w:t>
      </w:r>
      <w:r w:rsidR="000419B7">
        <w:t xml:space="preserve"> </w:t>
      </w:r>
      <w:r>
        <w:t>Several structural magnetic resonance imaging (MRI) studies</w:t>
      </w:r>
      <w:r w:rsidR="00C6631F">
        <w:t xml:space="preserve"> and meta-analyses thereof</w:t>
      </w:r>
      <w:r>
        <w:t xml:space="preserve"> </w:t>
      </w:r>
      <w:r w:rsidR="004A4478">
        <w:t>confirmed</w:t>
      </w:r>
      <w:r>
        <w:t xml:space="preserve">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180B51">
        <w:t xml:space="preserve">However, such findings are not uncontroversial, as sex </w:t>
      </w:r>
      <w:r w:rsidR="00A576D0" w:rsidRPr="00180B51">
        <w:lastRenderedPageBreak/>
        <w:t>differences in the volume of brain structures may disappear when correcting for total brain</w:t>
      </w:r>
      <w:r w:rsidR="00AB5DFC" w:rsidRPr="00180B51">
        <w:t xml:space="preserve"> volume</w:t>
      </w:r>
      <w:r w:rsidR="00A576D0" w:rsidRPr="00180B51">
        <w:t xml:space="preserve"> </w:t>
      </w:r>
      <w:r w:rsidR="00AB5DFC" w:rsidRPr="00180B51">
        <w:t>and/</w:t>
      </w:r>
      <w:r w:rsidR="00A576D0" w:rsidRPr="00180B51">
        <w:t>or intracranial volume (</w:t>
      </w:r>
      <w:proofErr w:type="spellStart"/>
      <w:r w:rsidR="00A576D0" w:rsidRPr="00180B51">
        <w:rPr>
          <w:color w:val="27CED7" w:themeColor="accent3"/>
        </w:rPr>
        <w:t>Choleris</w:t>
      </w:r>
      <w:proofErr w:type="spellEnd"/>
      <w:r w:rsidR="00A576D0" w:rsidRPr="00180B51">
        <w:rPr>
          <w:color w:val="27CED7" w:themeColor="accent3"/>
        </w:rPr>
        <w:t xml:space="preserve"> et al., 2018; Eliot et al., 2021; Tan et al., 2016</w:t>
      </w:r>
      <w:r w:rsidR="00A576D0" w:rsidRPr="00180B51">
        <w:t>).</w:t>
      </w:r>
    </w:p>
    <w:p w14:paraId="75CC9E36" w14:textId="19399CE4"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sidRPr="00180B51">
        <w:t>Nevertheless</w:t>
      </w:r>
      <w:r w:rsidR="00F41417" w:rsidRPr="00180B51">
        <w:t>, differences in grey-to-white matter ration have also been reported to disappear after correcting for total brain volume (</w:t>
      </w:r>
      <w:r w:rsidR="00F41417" w:rsidRPr="00180B51">
        <w:rPr>
          <w:color w:val="27CED7" w:themeColor="accent3"/>
        </w:rPr>
        <w:t>Eliot et al., 2021; Leonard et al., 2008</w:t>
      </w:r>
      <w:r w:rsidR="00F41417" w:rsidRPr="00FB1117">
        <w:rPr>
          <w:color w:val="27CED7" w:themeColor="accent3"/>
        </w:rPr>
        <w:t xml:space="preserve">; </w:t>
      </w:r>
      <w:proofErr w:type="spellStart"/>
      <w:r w:rsidR="00F41417" w:rsidRPr="00FB1117">
        <w:rPr>
          <w:color w:val="27CED7" w:themeColor="accent3"/>
        </w:rPr>
        <w:t>Jäncke</w:t>
      </w:r>
      <w:proofErr w:type="spellEnd"/>
      <w:r w:rsidR="00F41417" w:rsidRPr="00FB1117">
        <w:rPr>
          <w:color w:val="27CED7" w:themeColor="accent3"/>
        </w:rPr>
        <w:t xml:space="preserve"> et al., 201</w:t>
      </w:r>
      <w:r w:rsidR="00FB1117" w:rsidRPr="00FB1117">
        <w:rPr>
          <w:color w:val="27CED7" w:themeColor="accent3"/>
        </w:rPr>
        <w:t>4</w:t>
      </w:r>
      <w:r w:rsidR="00F41417" w:rsidRPr="00180B51">
        <w:t>).</w:t>
      </w:r>
    </w:p>
    <w:p w14:paraId="70A38B0E" w14:textId="3E447C7F" w:rsidR="00D00880" w:rsidRPr="00180B51" w:rsidRDefault="00D00880" w:rsidP="00A576D0">
      <w:pPr>
        <w:rPr>
          <w:highlight w:val="yellow"/>
        </w:rPr>
      </w:pPr>
      <w:r w:rsidRPr="00180B51">
        <w:t xml:space="preserve">Some researchers consider sexual dimorphism to be </w:t>
      </w:r>
      <w:r w:rsidR="00AB5DFC" w:rsidRPr="00180B51">
        <w:t xml:space="preserve">stronger </w:t>
      </w:r>
      <w:r w:rsidRPr="00180B51">
        <w:t>in the WM than in the grey matter (</w:t>
      </w:r>
      <w:r w:rsidRPr="00180B51">
        <w:rPr>
          <w:color w:val="27CED7" w:themeColor="accent3"/>
        </w:rPr>
        <w:t>Allen et al., 2003</w:t>
      </w:r>
      <w:r w:rsidRPr="00180B51">
        <w:t xml:space="preserve">; </w:t>
      </w:r>
      <w:r w:rsidRPr="00180B51">
        <w:rPr>
          <w:highlight w:val="yellow"/>
        </w:rPr>
        <w:t>more</w:t>
      </w:r>
      <w:r w:rsidRPr="00180B51">
        <w:t>)</w:t>
      </w:r>
      <w:r w:rsidR="00B248B6" w:rsidRPr="00180B51">
        <w:t>.</w:t>
      </w:r>
      <w:r w:rsidR="00330342" w:rsidRPr="00180B51">
        <w:t xml:space="preserve"> </w:t>
      </w:r>
      <w:r w:rsidR="008C0C82" w:rsidRPr="00180B51">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rsidRPr="00180B51">
        <w:t>).</w:t>
      </w:r>
      <w:r w:rsidR="00180B51" w:rsidRPr="00180B51">
        <w:t xml:space="preserve"> </w:t>
      </w:r>
      <w:r w:rsidR="00330342" w:rsidRPr="00180B51">
        <w:t>Further, m</w:t>
      </w:r>
      <w:r w:rsidR="00B248B6" w:rsidRPr="00180B51">
        <w:t xml:space="preserve">ultiple studies have found that the corpora callosa of men and women differ in shape: </w:t>
      </w:r>
      <w:r w:rsidR="00FC7271" w:rsidRPr="00180B51">
        <w:t xml:space="preserve">Splenia are </w:t>
      </w:r>
      <w:r w:rsidR="00BD3124" w:rsidRPr="00180B51">
        <w:t xml:space="preserve">larger and </w:t>
      </w:r>
      <w:r w:rsidR="00FC7271" w:rsidRPr="00180B51">
        <w:t>more bulbous in w</w:t>
      </w:r>
      <w:r w:rsidR="00B248B6" w:rsidRPr="00180B51">
        <w:t>omen</w:t>
      </w:r>
      <w:r w:rsidR="00FC7271" w:rsidRPr="00180B51">
        <w:t xml:space="preserve">, </w:t>
      </w:r>
      <w:r w:rsidR="00B248B6" w:rsidRPr="00180B51">
        <w:t>whereas men have more tubular-shaped splenia</w:t>
      </w:r>
      <w:r w:rsidR="00BD3124" w:rsidRPr="00180B51">
        <w:t xml:space="preserve">, as well as larger </w:t>
      </w:r>
      <w:proofErr w:type="spellStart"/>
      <w:r w:rsidR="00BD3124" w:rsidRPr="00180B51">
        <w:t>genua</w:t>
      </w:r>
      <w:proofErr w:type="spellEnd"/>
      <w:r w:rsidR="00B248B6" w:rsidRPr="00180B51">
        <w:t xml:space="preserve"> (</w:t>
      </w:r>
      <w:r w:rsidR="00B248B6" w:rsidRPr="00180B51">
        <w:rPr>
          <w:color w:val="27CED7" w:themeColor="accent3"/>
        </w:rPr>
        <w:t>Allen et al., 1991</w:t>
      </w:r>
      <w:r w:rsidR="00B248B6" w:rsidRPr="00180B51">
        <w:t xml:space="preserve">; </w:t>
      </w:r>
      <w:proofErr w:type="spellStart"/>
      <w:r w:rsidR="00BD3124" w:rsidRPr="00180B51">
        <w:rPr>
          <w:color w:val="27CED7" w:themeColor="accent3"/>
        </w:rPr>
        <w:t>Dubb</w:t>
      </w:r>
      <w:proofErr w:type="spellEnd"/>
      <w:r w:rsidR="00BD3124" w:rsidRPr="00180B51">
        <w:rPr>
          <w:color w:val="27CED7" w:themeColor="accent3"/>
        </w:rPr>
        <w:t xml:space="preserve"> et al., 2003</w:t>
      </w:r>
      <w:r w:rsidR="00B248B6" w:rsidRPr="00180B51">
        <w:t>)</w:t>
      </w:r>
      <w:r w:rsidR="00BD3124" w:rsidRPr="00180B51">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623BE2CC" w:rsidR="00AA3327" w:rsidRDefault="00F41417" w:rsidP="00F41417">
      <w:r w:rsidRPr="00180B51">
        <w:t>Studies employing diffusion tensor imaging (DTI) investigated the architecture of WM and its fibre tracts found that</w:t>
      </w:r>
      <w:r>
        <w:t xml:space="preserve">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rsidR="00180B51">
        <w:t>). I</w:t>
      </w:r>
      <w:r>
        <w:t xml:space="preserve">n a similar vein to </w:t>
      </w:r>
      <w:r w:rsidR="00180B51">
        <w:t>the reports of</w:t>
      </w:r>
      <w:r w:rsidRPr="005A5F19">
        <w:t xml:space="preserve">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w:t>
      </w:r>
      <w:r w:rsidR="0047399A">
        <w:t>functional anisotropy</w:t>
      </w:r>
      <w:r>
        <w:t xml:space="preserve"> than in men. </w:t>
      </w:r>
      <w:r w:rsidR="0047399A">
        <w:t xml:space="preserve">They interpreted this finding as </w:t>
      </w:r>
      <w:r>
        <w:t>women’s corpora callosa exhibiting greater efficiency.</w:t>
      </w:r>
    </w:p>
    <w:p w14:paraId="6FF9A032" w14:textId="7BAB1426"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F2584E">
        <w:t>especially via the corpus callosum,</w:t>
      </w:r>
      <w:r w:rsidR="009C54EF">
        <w:t xml:space="preserve"> in women. </w:t>
      </w:r>
      <w:r w:rsidR="008A07C1">
        <w:t xml:space="preserve">Based on these differences in the ratio of inter- and intrahemispheric </w:t>
      </w:r>
      <w:r w:rsidR="00B04D86">
        <w:t>connection</w:t>
      </w:r>
      <w:r w:rsidR="008A07C1">
        <w:t xml:space="preserve">s, they argue that men exhibit a greater hemispheric asymmetry than </w:t>
      </w:r>
      <w:r w:rsidR="00F2584E">
        <w:t>women do</w:t>
      </w:r>
      <w:r w:rsidR="00303578">
        <w:t xml:space="preserve">, and </w:t>
      </w:r>
      <w:r w:rsidR="00B04D86" w:rsidRPr="00303578">
        <w:t>further,</w:t>
      </w:r>
      <w:r w:rsidR="008A07C1" w:rsidRPr="00303578">
        <w:t xml:space="preserve"> that </w:t>
      </w:r>
      <w:r w:rsidR="00303578" w:rsidRPr="00303578">
        <w:t>these</w:t>
      </w:r>
      <w:r w:rsidR="008A07C1" w:rsidRPr="00303578">
        <w:t xml:space="preserve"> </w:t>
      </w:r>
      <w:r w:rsidR="00B04D86" w:rsidRPr="00303578">
        <w:t xml:space="preserve">differences in hemispheric asymmetry </w:t>
      </w:r>
      <w:r w:rsidR="00303578" w:rsidRPr="00303578">
        <w:t xml:space="preserve">may </w:t>
      </w:r>
      <w:r w:rsidR="00B04D86" w:rsidRPr="00303578">
        <w:t xml:space="preserve">give rise to </w:t>
      </w:r>
      <w:r w:rsidR="008A07C1" w:rsidRPr="00303578">
        <w:t>sex differences in cognitive abilities</w:t>
      </w:r>
      <w:r w:rsidR="007F7A3B" w:rsidRPr="00303578">
        <w:t xml:space="preserve"> (</w:t>
      </w:r>
      <w:r w:rsidR="007F7A3B" w:rsidRPr="00303578">
        <w:rPr>
          <w:color w:val="27CED7" w:themeColor="accent3"/>
        </w:rPr>
        <w:t>Grabowska, 2016; Kovalev et al., 2003</w:t>
      </w:r>
      <w:r w:rsidR="007F7A3B" w:rsidRPr="00303578">
        <w:t xml:space="preserve">; see </w:t>
      </w:r>
      <w:proofErr w:type="spellStart"/>
      <w:r w:rsidR="007F7A3B" w:rsidRPr="00303578">
        <w:rPr>
          <w:color w:val="27CED7" w:themeColor="accent3"/>
        </w:rPr>
        <w:t>Hirnstein</w:t>
      </w:r>
      <w:proofErr w:type="spellEnd"/>
      <w:r w:rsidR="007F7A3B" w:rsidRPr="00303578">
        <w:rPr>
          <w:color w:val="27CED7" w:themeColor="accent3"/>
        </w:rPr>
        <w:t xml:space="preserve"> et al., 2019</w:t>
      </w:r>
      <w:r w:rsidR="007F7A3B" w:rsidRPr="00303578">
        <w:t xml:space="preserve"> for a review)</w:t>
      </w:r>
      <w:r w:rsidR="00B04D86" w:rsidRPr="00303578">
        <w:t xml:space="preserve">. </w:t>
      </w:r>
    </w:p>
    <w:p w14:paraId="333EF0E4" w14:textId="55E8A55A" w:rsidR="00AB239C" w:rsidRPr="00DE0F6F" w:rsidRDefault="008D2FD9" w:rsidP="008A07C1">
      <w:pPr>
        <w:rPr>
          <w:lang w:val="en-DE"/>
        </w:rPr>
      </w:pPr>
      <w:r w:rsidRPr="00E01E9D">
        <w:t>Generally</w:t>
      </w:r>
      <w:r w:rsidR="00E01E9D" w:rsidRPr="00E01E9D">
        <w:t>, hemispheric asymmetries</w:t>
      </w:r>
      <w:r w:rsidRPr="00E01E9D">
        <w:t xml:space="preserve"> in the functional connect</w:t>
      </w:r>
      <w:r w:rsidR="00E01E9D">
        <w:t>ivity</w:t>
      </w:r>
      <w:r w:rsidR="001A7504">
        <w:t xml:space="preserve"> of the brain</w:t>
      </w:r>
      <w:r w:rsidR="00E01E9D">
        <w:t xml:space="preserve">, which are </w:t>
      </w:r>
      <w:r w:rsidR="00E83F1A" w:rsidRPr="00E01E9D">
        <w:t xml:space="preserve">also referred to as </w:t>
      </w:r>
      <w:r w:rsidR="00E01E9D" w:rsidRPr="00E01E9D">
        <w:t>functional cerebral asymmetries</w:t>
      </w:r>
      <w:r w:rsidR="00E83F1A" w:rsidRPr="00E01E9D">
        <w:t xml:space="preserve"> (FCA</w:t>
      </w:r>
      <w:r w:rsidR="00E01E9D" w:rsidRPr="00E01E9D">
        <w:t>s</w:t>
      </w:r>
      <w:r w:rsidR="00E01E9D">
        <w:t>),</w:t>
      </w:r>
      <w:r>
        <w:t xml:space="preserve"> </w:t>
      </w:r>
      <w:r w:rsidR="00E01E9D">
        <w:t>are regarded</w:t>
      </w:r>
      <w:r>
        <w:t xml:space="preserve"> a fundamental principle of brain organisation.</w:t>
      </w:r>
      <w:r w:rsidR="00E01E9D">
        <w:t xml:space="preserve"> FCAs are relative differences in neural functions and cognitive processes between the two hemispheres, typically with one hemisphere playing a “dominant” role for a given cognitive domain (</w:t>
      </w:r>
      <w:r w:rsidR="00E01E9D" w:rsidRPr="00E01E9D">
        <w:rPr>
          <w:color w:val="27CED7" w:themeColor="accent3"/>
        </w:rPr>
        <w:t>Hausmann, 2016</w:t>
      </w:r>
      <w:r w:rsidR="00E01E9D">
        <w:rPr>
          <w:color w:val="27CED7" w:themeColor="accent3"/>
        </w:rPr>
        <w:t xml:space="preserve">; </w:t>
      </w:r>
      <w:proofErr w:type="spellStart"/>
      <w:r w:rsidR="00E01E9D">
        <w:rPr>
          <w:color w:val="27CED7" w:themeColor="accent3"/>
        </w:rPr>
        <w:t>Hirnstein</w:t>
      </w:r>
      <w:proofErr w:type="spellEnd"/>
      <w:r w:rsidR="00E01E9D">
        <w:rPr>
          <w:color w:val="27CED7" w:themeColor="accent3"/>
        </w:rPr>
        <w:t xml:space="preserve"> et al., 2019</w:t>
      </w:r>
      <w:r w:rsidR="00E01E9D">
        <w:t xml:space="preserve">). </w:t>
      </w:r>
      <w:r w:rsidR="00BE2FFC">
        <w:rPr>
          <w:lang w:val="en-DE"/>
        </w:rPr>
        <w:t xml:space="preserve">Therefore, </w:t>
      </w:r>
      <w:proofErr w:type="spellStart"/>
      <w:r w:rsidR="00BE2FFC">
        <w:rPr>
          <w:lang w:val="en-DE"/>
        </w:rPr>
        <w:t>FCAs</w:t>
      </w:r>
      <w:proofErr w:type="spellEnd"/>
      <w:r w:rsidR="00BE2FFC">
        <w:rPr>
          <w:lang w:val="en-DE"/>
        </w:rPr>
        <w:t xml:space="preserve"> can be thought of as an instance of functional specialisation within the brain (</w:t>
      </w:r>
      <w:r w:rsidR="00BE2FFC" w:rsidRPr="00BE2FFC">
        <w:rPr>
          <w:color w:val="27CED7" w:themeColor="accent3"/>
          <w:lang w:val="en-DE"/>
        </w:rPr>
        <w:t>Gotts et al., 2013</w:t>
      </w:r>
      <w:r w:rsidR="00BE2FFC">
        <w:rPr>
          <w:lang w:val="en-DE"/>
        </w:rPr>
        <w:t xml:space="preserve">). </w:t>
      </w:r>
      <w:r w:rsidR="00304160">
        <w:t>W</w:t>
      </w:r>
      <w:r>
        <w:t>ell-known example</w:t>
      </w:r>
      <w:r w:rsidR="00F913FF">
        <w:t>s</w:t>
      </w:r>
      <w:r>
        <w:t xml:space="preserve"> </w:t>
      </w:r>
      <w:r w:rsidR="00304160">
        <w:t xml:space="preserve">are the left lateralisation of language and the right lateralisation of </w:t>
      </w:r>
      <w:r w:rsidR="00F913FF">
        <w:t xml:space="preserve">visuospatial processing </w:t>
      </w:r>
      <w:r w:rsidR="00304160">
        <w:t>(</w:t>
      </w:r>
      <w:r w:rsidR="00F14775" w:rsidRPr="00BE2FFC">
        <w:rPr>
          <w:color w:val="27CED7" w:themeColor="accent3"/>
        </w:rPr>
        <w:t>Hausmann, 2016</w:t>
      </w:r>
      <w:r w:rsidR="00304160" w:rsidRPr="00BE2FFC">
        <w:rPr>
          <w:color w:val="27CED7" w:themeColor="accent3"/>
        </w:rPr>
        <w:t>;</w:t>
      </w:r>
      <w:r w:rsidR="00F913FF" w:rsidRPr="00BE2FFC">
        <w:rPr>
          <w:color w:val="27CED7" w:themeColor="accent3"/>
        </w:rPr>
        <w:t xml:space="preserve"> </w:t>
      </w:r>
      <w:proofErr w:type="spellStart"/>
      <w:r w:rsidR="00F913FF" w:rsidRPr="00BE2FFC">
        <w:rPr>
          <w:color w:val="27CED7" w:themeColor="accent3"/>
        </w:rPr>
        <w:t>Hirnstein</w:t>
      </w:r>
      <w:proofErr w:type="spellEnd"/>
      <w:r w:rsidR="00F913FF" w:rsidRPr="00BE2FFC">
        <w:rPr>
          <w:color w:val="27CED7" w:themeColor="accent3"/>
        </w:rPr>
        <w:t xml:space="preserve"> et al., 2019</w:t>
      </w:r>
      <w:r w:rsidR="0087465D">
        <w:rPr>
          <w:color w:val="27CED7" w:themeColor="accent3"/>
        </w:rPr>
        <w:t xml:space="preserve">; </w:t>
      </w:r>
      <w:proofErr w:type="spellStart"/>
      <w:r w:rsidR="0087465D">
        <w:rPr>
          <w:color w:val="27CED7" w:themeColor="accent3"/>
        </w:rPr>
        <w:t>Ocklenburg</w:t>
      </w:r>
      <w:proofErr w:type="spellEnd"/>
      <w:r w:rsidR="0087465D">
        <w:rPr>
          <w:color w:val="27CED7" w:themeColor="accent3"/>
        </w:rPr>
        <w:t xml:space="preserve"> &amp; </w:t>
      </w:r>
      <w:proofErr w:type="spellStart"/>
      <w:r w:rsidR="0087465D">
        <w:rPr>
          <w:color w:val="27CED7" w:themeColor="accent3"/>
        </w:rPr>
        <w:t>Güntürkün</w:t>
      </w:r>
      <w:proofErr w:type="spellEnd"/>
      <w:r w:rsidR="0087465D">
        <w:rPr>
          <w:color w:val="27CED7" w:themeColor="accent3"/>
        </w:rPr>
        <w:t>, 2012</w:t>
      </w:r>
      <w:r w:rsidR="00304160">
        <w:t>)</w:t>
      </w:r>
      <w:r w:rsidR="00F2584E">
        <w:t>.</w:t>
      </w:r>
      <w:r w:rsidR="00AB239C">
        <w:t xml:space="preserve"> </w:t>
      </w:r>
    </w:p>
    <w:p w14:paraId="1AD7819B" w14:textId="5893C550" w:rsidR="00793CCC" w:rsidRDefault="00BF6665" w:rsidP="008A07C1">
      <w:pPr>
        <w:rPr>
          <w:lang w:val="en-DE"/>
        </w:rPr>
      </w:pPr>
      <w:r w:rsidRPr="00DE0F6F">
        <w:t xml:space="preserve">A number of studies have </w:t>
      </w:r>
      <w:r w:rsidR="00E83F1A" w:rsidRPr="00DE0F6F">
        <w:t xml:space="preserve">compared </w:t>
      </w:r>
      <w:r w:rsidR="009F64C2" w:rsidRPr="00DE0F6F">
        <w:t>FCA</w:t>
      </w:r>
      <w:r w:rsidR="00DE0F6F" w:rsidRPr="00DE0F6F">
        <w:rPr>
          <w:lang w:val="en-DE"/>
        </w:rPr>
        <w:t>s</w:t>
      </w:r>
      <w:r w:rsidR="00E83F1A" w:rsidRPr="00DE0F6F">
        <w:t xml:space="preserve"> between the sexes for different modalities and </w:t>
      </w:r>
      <w:r w:rsidR="00A03E38" w:rsidRPr="00DE0F6F">
        <w:t>tasks and</w:t>
      </w:r>
      <w:r w:rsidR="00E83F1A" w:rsidRPr="00DE0F6F">
        <w:t xml:space="preserve"> found </w:t>
      </w:r>
      <w:r w:rsidRPr="00DE0F6F">
        <w:t xml:space="preserve">lower levels of </w:t>
      </w:r>
      <w:r w:rsidR="009F64C2" w:rsidRPr="00DE0F6F">
        <w:t>FCA</w:t>
      </w:r>
      <w:r w:rsidR="00DE0F6F" w:rsidRPr="00DE0F6F">
        <w:rPr>
          <w:lang w:val="en-DE"/>
        </w:rPr>
        <w:t>s in women</w:t>
      </w:r>
      <w:r w:rsidRPr="00DE0F6F">
        <w:t xml:space="preserve"> compared to men (</w:t>
      </w:r>
      <w:r w:rsidR="00226847" w:rsidRPr="00DE0F6F">
        <w:rPr>
          <w:color w:val="27CED7" w:themeColor="accent3"/>
        </w:rPr>
        <w:t xml:space="preserve">Hiscock et al., 1995, 1999 &amp; 2001; Liu et al., 2009; </w:t>
      </w:r>
      <w:proofErr w:type="spellStart"/>
      <w:r w:rsidR="00226847" w:rsidRPr="00DE0F6F">
        <w:rPr>
          <w:color w:val="27CED7" w:themeColor="accent3"/>
        </w:rPr>
        <w:t>Voyer</w:t>
      </w:r>
      <w:proofErr w:type="spellEnd"/>
      <w:r w:rsidR="00226847" w:rsidRPr="00DE0F6F">
        <w:rPr>
          <w:color w:val="27CED7" w:themeColor="accent3"/>
        </w:rPr>
        <w:t>, 1996</w:t>
      </w:r>
      <w:r w:rsidR="00226847" w:rsidRPr="00DE0F6F">
        <w:t>)</w:t>
      </w:r>
      <w:r w:rsidR="00E83F1A" w:rsidRPr="00DE0F6F">
        <w:t xml:space="preserve">. </w:t>
      </w:r>
      <w:r w:rsidR="00DE0F6F" w:rsidRPr="00DE0F6F">
        <w:rPr>
          <w:lang w:val="en-DE"/>
        </w:rPr>
        <w:t>This means that</w:t>
      </w:r>
      <w:r w:rsidR="00A03E38">
        <w:rPr>
          <w:lang w:val="en-DE"/>
        </w:rPr>
        <w:t xml:space="preserve"> cognitive representations and brain activation patterns tend to be more bilateral</w:t>
      </w:r>
      <w:r w:rsidR="00793CCC">
        <w:rPr>
          <w:lang w:val="en-DE"/>
        </w:rPr>
        <w:t xml:space="preserve"> and symmetrical</w:t>
      </w:r>
      <w:r w:rsidR="00A03E38">
        <w:rPr>
          <w:lang w:val="en-DE"/>
        </w:rPr>
        <w:t xml:space="preserve"> in women, while they are largely restricted to one hemisphere in men</w:t>
      </w:r>
      <w:r w:rsidR="00793CCC">
        <w:rPr>
          <w:lang w:val="en-DE"/>
        </w:rPr>
        <w:t xml:space="preserve"> – or in other words that in fe</w:t>
      </w:r>
      <w:r w:rsidR="00793CCC" w:rsidRPr="00793CCC">
        <w:rPr>
          <w:lang w:val="en-DE"/>
        </w:rPr>
        <w:t>male brains there is a less strict separation of functions between the hemispheres</w:t>
      </w:r>
      <w:r w:rsidR="00793CCC">
        <w:rPr>
          <w:lang w:val="en-DE"/>
        </w:rPr>
        <w:t xml:space="preserve"> </w:t>
      </w:r>
      <w:r w:rsidR="00793CCC" w:rsidRPr="00793CCC">
        <w:rPr>
          <w:highlight w:val="yellow"/>
          <w:lang w:val="en-DE"/>
        </w:rPr>
        <w:t>(source).</w:t>
      </w:r>
    </w:p>
    <w:p w14:paraId="1C8515E7" w14:textId="7D8CD5BB" w:rsidR="0088384E" w:rsidRDefault="00793CCC" w:rsidP="0088384E">
      <w:proofErr w:type="spellStart"/>
      <w:r w:rsidRPr="00793CCC">
        <w:rPr>
          <w:color w:val="27CED7" w:themeColor="accent3"/>
          <w:lang w:val="en-DE"/>
        </w:rPr>
        <w:t>Ingalhalikar</w:t>
      </w:r>
      <w:proofErr w:type="spellEnd"/>
      <w:r w:rsidRPr="00793CCC">
        <w:rPr>
          <w:color w:val="27CED7" w:themeColor="accent3"/>
          <w:lang w:val="en-DE"/>
        </w:rPr>
        <w:t xml:space="preserve"> et al. (2013)</w:t>
      </w:r>
      <w:r>
        <w:rPr>
          <w:lang w:val="en-DE"/>
        </w:rPr>
        <w:t xml:space="preserve"> argues that those differences in </w:t>
      </w:r>
      <w:proofErr w:type="spellStart"/>
      <w:r>
        <w:rPr>
          <w:lang w:val="en-DE"/>
        </w:rPr>
        <w:t>FCAs</w:t>
      </w:r>
      <w:proofErr w:type="spellEnd"/>
      <w:r>
        <w:rPr>
          <w:lang w:val="en-DE"/>
        </w:rPr>
        <w:t xml:space="preserve"> are related to the different ratios of inter- and intrahemispheric connections between the sexes: M</w:t>
      </w:r>
      <w:r>
        <w:t xml:space="preserve">ale brains possess </w:t>
      </w:r>
      <w:r>
        <w:rPr>
          <w:lang w:val="en-DE"/>
        </w:rPr>
        <w:t xml:space="preserve">increased </w:t>
      </w:r>
      <w:proofErr w:type="spellStart"/>
      <w:r>
        <w:rPr>
          <w:lang w:val="en-DE"/>
        </w:rPr>
        <w:t>FCAs</w:t>
      </w:r>
      <w:proofErr w:type="spellEnd"/>
      <w:r>
        <w:t xml:space="preserve"> with more pronounced intrahemispheric connections, whereas female brains have stronger interhemispheric connectivity and thus, </w:t>
      </w:r>
      <w:r>
        <w:rPr>
          <w:lang w:val="en-DE"/>
        </w:rPr>
        <w:t>process information more symmetrically. Further, they</w:t>
      </w:r>
      <w:r w:rsidR="0088384E">
        <w:rPr>
          <w:lang w:val="en-DE"/>
        </w:rPr>
        <w:t xml:space="preserve"> </w:t>
      </w:r>
      <w:r w:rsidR="00BE31B9" w:rsidRPr="00BE31B9">
        <w:rPr>
          <w:lang w:val="en-US"/>
        </w:rPr>
        <w:t>pr</w:t>
      </w:r>
      <w:r w:rsidR="00BE31B9">
        <w:rPr>
          <w:lang w:val="en-US"/>
        </w:rPr>
        <w:t>oposed</w:t>
      </w:r>
      <w:r w:rsidR="0088384E">
        <w:rPr>
          <w:lang w:val="en-DE"/>
        </w:rPr>
        <w:t xml:space="preserve"> that </w:t>
      </w:r>
      <w:r w:rsidR="0088384E">
        <w:t xml:space="preserve">male brains </w:t>
      </w:r>
      <w:r w:rsidR="0088384E">
        <w:rPr>
          <w:lang w:val="en-DE"/>
        </w:rPr>
        <w:t xml:space="preserve">are </w:t>
      </w:r>
      <w:r w:rsidR="0088384E">
        <w:t xml:space="preserve">structured in a way that facilitates spatial processing and coordinated motor action, while female brains </w:t>
      </w:r>
      <w:r w:rsidR="00206738">
        <w:t>promote</w:t>
      </w:r>
      <w:r w:rsidR="0088384E">
        <w:t xml:space="preserve"> attention, </w:t>
      </w:r>
      <w:r w:rsidR="00206738">
        <w:t>memory,</w:t>
      </w:r>
      <w:r w:rsidR="0088384E">
        <w:t xml:space="preserve"> and verbal abilities.</w:t>
      </w:r>
    </w:p>
    <w:p w14:paraId="73DA40CE" w14:textId="6591D94A" w:rsidR="00D734A2" w:rsidRDefault="00BE31B9">
      <w:r>
        <w:t xml:space="preserve">While so far there is not enough research to determine if anatomical WM asymmetries and functional lateralisation are really related in such a way </w:t>
      </w:r>
      <w:r w:rsidRPr="00BE31B9">
        <w:t>(</w:t>
      </w:r>
      <w:r>
        <w:t xml:space="preserve">for reviews see </w:t>
      </w:r>
      <w:proofErr w:type="spellStart"/>
      <w:r w:rsidRPr="00BE31B9">
        <w:rPr>
          <w:color w:val="27CED7" w:themeColor="accent3"/>
        </w:rPr>
        <w:t>Corballis</w:t>
      </w:r>
      <w:proofErr w:type="spellEnd"/>
      <w:r w:rsidRPr="00BE31B9">
        <w:rPr>
          <w:color w:val="27CED7" w:themeColor="accent3"/>
        </w:rPr>
        <w:t xml:space="preserve"> &amp; </w:t>
      </w:r>
      <w:proofErr w:type="spellStart"/>
      <w:r w:rsidRPr="00BE31B9">
        <w:rPr>
          <w:color w:val="27CED7" w:themeColor="accent3"/>
        </w:rPr>
        <w:t>Häberling</w:t>
      </w:r>
      <w:proofErr w:type="spellEnd"/>
      <w:r w:rsidRPr="00BE31B9">
        <w:rPr>
          <w:color w:val="27CED7" w:themeColor="accent3"/>
        </w:rPr>
        <w:t xml:space="preserve">, 2017; </w:t>
      </w:r>
      <w:proofErr w:type="spellStart"/>
      <w:r w:rsidRPr="00BE31B9">
        <w:rPr>
          <w:color w:val="27CED7" w:themeColor="accent3"/>
        </w:rPr>
        <w:t>Ocklenburg</w:t>
      </w:r>
      <w:proofErr w:type="spellEnd"/>
      <w:r w:rsidRPr="00BE31B9">
        <w:rPr>
          <w:color w:val="27CED7" w:themeColor="accent3"/>
        </w:rPr>
        <w:t xml:space="preserve"> &amp; </w:t>
      </w:r>
      <w:proofErr w:type="spellStart"/>
      <w:r w:rsidRPr="00BE31B9">
        <w:rPr>
          <w:color w:val="27CED7" w:themeColor="accent3"/>
        </w:rPr>
        <w:t>Güntürkün</w:t>
      </w:r>
      <w:proofErr w:type="spellEnd"/>
      <w:r w:rsidRPr="00BE31B9">
        <w:rPr>
          <w:color w:val="27CED7" w:themeColor="accent3"/>
        </w:rPr>
        <w:t>, 2012)</w:t>
      </w:r>
      <w:r w:rsidRPr="00BE31B9">
        <w:t>,</w:t>
      </w:r>
      <w:r>
        <w:t xml:space="preserve"> m</w:t>
      </w:r>
      <w:r w:rsidR="008D2180">
        <w:t xml:space="preserve">any researchers argue that differences </w:t>
      </w:r>
      <w:r>
        <w:t>both in</w:t>
      </w:r>
      <w:r w:rsidR="008D2180">
        <w:t xml:space="preserve"> brain organisation and</w:t>
      </w:r>
      <w:r>
        <w:t xml:space="preserve"> in</w:t>
      </w:r>
      <w:r w:rsidR="008D2180">
        <w:t xml:space="preserve"> cognition may be </w:t>
      </w:r>
      <w:r w:rsidR="002D6BFB">
        <w:t xml:space="preserve">caused, or at least </w:t>
      </w:r>
      <w:r w:rsidR="008D2180">
        <w:t>influenced</w:t>
      </w:r>
      <w:r w:rsidR="002D6BFB">
        <w:t>,</w:t>
      </w:r>
      <w:r w:rsidR="008D2180">
        <w:t xml:space="preserve"> by sex hormones (</w:t>
      </w:r>
      <w:r w:rsidR="002D6BFB">
        <w:t xml:space="preserve">e.g., </w:t>
      </w:r>
      <w:r w:rsidR="002D6BFB" w:rsidRPr="002D6BFB">
        <w:rPr>
          <w:color w:val="27CED7" w:themeColor="accent3"/>
        </w:rPr>
        <w:t>Cosgrove et al., 2007; Grabowska, 2016;</w:t>
      </w:r>
      <w:r w:rsidR="002D6BFB">
        <w:t xml:space="preserve"> </w:t>
      </w:r>
      <w:r w:rsidR="008D2180" w:rsidRPr="002D6BFB">
        <w:rPr>
          <w:color w:val="27CED7" w:themeColor="accent3"/>
        </w:rPr>
        <w:t xml:space="preserve">Kimura &amp; Hampson, 1994; </w:t>
      </w:r>
      <w:proofErr w:type="spellStart"/>
      <w:r w:rsidR="008D2180" w:rsidRPr="002D6BFB">
        <w:rPr>
          <w:color w:val="27CED7" w:themeColor="accent3"/>
        </w:rPr>
        <w:t>Varnava</w:t>
      </w:r>
      <w:proofErr w:type="spellEnd"/>
      <w:r w:rsidR="008D2180" w:rsidRPr="002D6BFB">
        <w:rPr>
          <w:color w:val="27CED7" w:themeColor="accent3"/>
        </w:rPr>
        <w:t xml:space="preserve"> et al., 2007; </w:t>
      </w:r>
      <w:proofErr w:type="spellStart"/>
      <w:r w:rsidR="008D2180" w:rsidRPr="002D6BFB">
        <w:rPr>
          <w:color w:val="27CED7" w:themeColor="accent3"/>
        </w:rPr>
        <w:t>Hirnstein</w:t>
      </w:r>
      <w:proofErr w:type="spellEnd"/>
      <w:r w:rsidR="008D2180" w:rsidRPr="002D6BFB">
        <w:rPr>
          <w:color w:val="27CED7" w:themeColor="accent3"/>
        </w:rPr>
        <w:t xml:space="preserve"> et al., 201</w:t>
      </w:r>
      <w:r w:rsidR="00CE44E4">
        <w:rPr>
          <w:color w:val="27CED7" w:themeColor="accent3"/>
        </w:rPr>
        <w:t>9</w:t>
      </w:r>
      <w:r w:rsidR="002D6BFB">
        <w:t>)</w:t>
      </w:r>
      <w:r>
        <w:t>.</w:t>
      </w:r>
    </w:p>
    <w:p w14:paraId="3E8DE2C8" w14:textId="50357320" w:rsidR="00BE31B9" w:rsidRDefault="00C7179D" w:rsidP="00EE4AE2">
      <w:pPr>
        <w:spacing w:line="276" w:lineRule="auto"/>
      </w:pPr>
      <w:r w:rsidRPr="00C7179D">
        <w:t>Sex hormones, such as oestradiol, progesterone, and testosterone, have been shown to be able to alter neuronal excitability (</w:t>
      </w:r>
      <w:proofErr w:type="spellStart"/>
      <w:r w:rsidRPr="00C7179D">
        <w:rPr>
          <w:color w:val="27CED7" w:themeColor="accent3"/>
        </w:rPr>
        <w:t>Rupprecht</w:t>
      </w:r>
      <w:proofErr w:type="spellEnd"/>
      <w:r w:rsidRPr="00C7179D">
        <w:rPr>
          <w:color w:val="27CED7" w:themeColor="accent3"/>
        </w:rPr>
        <w:t>, 2003</w:t>
      </w:r>
      <w:r w:rsidRPr="00C7179D">
        <w:t>)</w:t>
      </w:r>
      <w:r w:rsidR="00EE4AE2">
        <w:t xml:space="preserve"> and there is </w:t>
      </w:r>
      <w:r w:rsidR="003179F5">
        <w:t xml:space="preserve">great evidence that FCAs fluctuate throughout the menstrual cycle </w:t>
      </w:r>
      <w:r w:rsidR="00EE4AE2">
        <w:t xml:space="preserve">due to the varying levels of those hormones </w:t>
      </w:r>
      <w:r w:rsidR="003179F5">
        <w:t xml:space="preserve">(e.g., </w:t>
      </w:r>
      <w:proofErr w:type="spellStart"/>
      <w:r w:rsidR="00EE4AE2" w:rsidRPr="00EE4AE2">
        <w:rPr>
          <w:color w:val="27CED7" w:themeColor="accent3"/>
        </w:rPr>
        <w:t>Bibawi</w:t>
      </w:r>
      <w:proofErr w:type="spellEnd"/>
      <w:r w:rsidR="00EE4AE2" w:rsidRPr="00EE4AE2">
        <w:rPr>
          <w:color w:val="27CED7" w:themeColor="accent3"/>
        </w:rPr>
        <w:t xml:space="preserve"> et al., 1995;</w:t>
      </w:r>
      <w:r w:rsidR="00EE4AE2">
        <w:t xml:space="preserve"> </w:t>
      </w:r>
      <w:r w:rsidR="00EE4AE2">
        <w:rPr>
          <w:color w:val="27CED7" w:themeColor="accent3"/>
        </w:rPr>
        <w:t>Hausmann et al., 2002;</w:t>
      </w:r>
      <w:r w:rsidR="003179F5" w:rsidRPr="003179F5">
        <w:rPr>
          <w:color w:val="27CED7" w:themeColor="accent3"/>
        </w:rPr>
        <w:t xml:space="preserve"> </w:t>
      </w:r>
      <w:r w:rsidR="00EE4AE2" w:rsidRPr="003179F5">
        <w:rPr>
          <w:color w:val="27CED7" w:themeColor="accent3"/>
        </w:rPr>
        <w:t>Hausmann, 2005;</w:t>
      </w:r>
      <w:r w:rsidR="00EE4AE2">
        <w:rPr>
          <w:color w:val="27CED7" w:themeColor="accent3"/>
        </w:rPr>
        <w:t xml:space="preserve"> </w:t>
      </w:r>
      <w:r w:rsidR="003179F5" w:rsidRPr="003179F5">
        <w:rPr>
          <w:color w:val="27CED7" w:themeColor="accent3"/>
        </w:rPr>
        <w:t>Wisniewski, 1998</w:t>
      </w:r>
      <w:r w:rsidR="003179F5">
        <w:t>)</w:t>
      </w:r>
      <w:r w:rsidR="00851881">
        <w:t xml:space="preserve">. </w:t>
      </w:r>
      <w:r w:rsidR="00851881" w:rsidRPr="00851881">
        <w:rPr>
          <w:color w:val="27CED7" w:themeColor="accent3"/>
        </w:rPr>
        <w:t xml:space="preserve">Hausmann and </w:t>
      </w:r>
      <w:proofErr w:type="spellStart"/>
      <w:r w:rsidR="00851881" w:rsidRPr="00851881">
        <w:rPr>
          <w:color w:val="27CED7" w:themeColor="accent3"/>
        </w:rPr>
        <w:t>Güntürkün</w:t>
      </w:r>
      <w:proofErr w:type="spellEnd"/>
      <w:r w:rsidR="00851881" w:rsidRPr="00851881">
        <w:rPr>
          <w:color w:val="27CED7" w:themeColor="accent3"/>
        </w:rPr>
        <w:t xml:space="preserve"> (2000)</w:t>
      </w:r>
      <w:r w:rsidR="00851881">
        <w:t xml:space="preserve"> established that FCAs are stable over time in men, as well as</w:t>
      </w:r>
      <w:r w:rsidR="008B6E8E">
        <w:t xml:space="preserve"> in</w:t>
      </w:r>
      <w:r w:rsidR="00851881">
        <w:t xml:space="preserve"> post-menopausal wome</w:t>
      </w:r>
      <w:r w:rsidR="00F321AB">
        <w:t>n</w:t>
      </w:r>
      <w:r w:rsidR="00DC108D">
        <w:t xml:space="preserve">. Further, they found evidence </w:t>
      </w:r>
      <w:r w:rsidR="008B6E8E">
        <w:t>that</w:t>
      </w:r>
      <w:r w:rsidR="003317E9">
        <w:t xml:space="preserve"> high </w:t>
      </w:r>
      <w:r w:rsidR="00DC108D">
        <w:t>levels</w:t>
      </w:r>
      <w:r w:rsidR="003317E9">
        <w:t xml:space="preserve"> of</w:t>
      </w:r>
      <w:r w:rsidR="008B6E8E">
        <w:t xml:space="preserve"> progesterone </w:t>
      </w:r>
      <w:r w:rsidR="000D122F">
        <w:t>during</w:t>
      </w:r>
      <w:r w:rsidR="00DC108D">
        <w:t xml:space="preserve"> the midluteal phase </w:t>
      </w:r>
      <w:r w:rsidR="008B6E8E">
        <w:t xml:space="preserve">may </w:t>
      </w:r>
      <w:r w:rsidR="00F321AB">
        <w:t>down-regulate</w:t>
      </w:r>
      <w:r w:rsidR="008B6E8E">
        <w:t xml:space="preserve"> interhemispheric interaction</w:t>
      </w:r>
      <w:r w:rsidR="00F321AB">
        <w:t>s</w:t>
      </w:r>
      <w:r w:rsidR="003317E9">
        <w:t xml:space="preserve"> </w:t>
      </w:r>
      <w:r w:rsidR="008B6E8E">
        <w:t>and thus,</w:t>
      </w:r>
      <w:r w:rsidR="00DC108D">
        <w:t xml:space="preserve"> further decrease FCAs</w:t>
      </w:r>
      <w:r w:rsidR="000D122F">
        <w:t>, whereas higher levels of FCAs were found during the menses. Other studies found similar patterns for oe</w:t>
      </w:r>
      <w:r w:rsidR="009F437C">
        <w:t>s</w:t>
      </w:r>
      <w:r w:rsidR="000D122F">
        <w:t xml:space="preserve">tradiol </w:t>
      </w:r>
      <w:r w:rsidR="009F437C">
        <w:t>(</w:t>
      </w:r>
      <w:proofErr w:type="spellStart"/>
      <w:r w:rsidR="009F437C" w:rsidRPr="00567D79">
        <w:rPr>
          <w:color w:val="27CED7" w:themeColor="accent3"/>
        </w:rPr>
        <w:t>Bibawi</w:t>
      </w:r>
      <w:proofErr w:type="spellEnd"/>
      <w:r w:rsidR="009F437C" w:rsidRPr="00567D79">
        <w:rPr>
          <w:color w:val="27CED7" w:themeColor="accent3"/>
        </w:rPr>
        <w:t xml:space="preserve"> et al., 1995; Mead &amp; Hampson, 1997</w:t>
      </w:r>
      <w:r w:rsidR="009F437C">
        <w:t>).</w:t>
      </w:r>
    </w:p>
    <w:p w14:paraId="1035DD51" w14:textId="6827635C" w:rsidR="00BE31B9" w:rsidRDefault="001A7504">
      <w:r w:rsidRPr="001A7504">
        <w:rPr>
          <w:highlight w:val="yellow"/>
        </w:rPr>
        <w:t>[Ending]</w:t>
      </w:r>
    </w:p>
    <w:p w14:paraId="0469D2B9" w14:textId="77777777" w:rsidR="00BE31B9" w:rsidRDefault="00BE31B9">
      <w:pPr>
        <w:spacing w:line="259" w:lineRule="auto"/>
        <w:jc w:val="left"/>
      </w:pPr>
      <w:r>
        <w:br w:type="page"/>
      </w:r>
    </w:p>
    <w:p w14:paraId="079E8617" w14:textId="7D781FD3" w:rsidR="00DB7986" w:rsidRDefault="00DB7986">
      <w:pPr>
        <w:rPr>
          <w:b/>
        </w:rPr>
      </w:pPr>
      <w:r>
        <w:rPr>
          <w:b/>
        </w:rPr>
        <w:t>In Stroke</w:t>
      </w:r>
    </w:p>
    <w:p w14:paraId="15AB7AD5" w14:textId="485D39E4"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hyperlink w:anchor="bonkhoff2021" w:history="1">
        <w:r w:rsidRPr="00A579A3">
          <w:rPr>
            <w:rStyle w:val="Hyperlink"/>
            <w:rFonts w:ascii="Ebrima" w:hAnsi="Ebrima"/>
          </w:rPr>
          <w:t>Bonkhoff et al., 2021</w:t>
        </w:r>
      </w:hyperlink>
      <w:r>
        <w:t xml:space="preserve">; </w:t>
      </w:r>
      <w:hyperlink w:anchor="feigin2014" w:history="1">
        <w:proofErr w:type="spellStart"/>
        <w:r w:rsidRPr="00A579A3">
          <w:rPr>
            <w:rStyle w:val="Hyperlink"/>
            <w:rFonts w:ascii="Ebrima" w:hAnsi="Ebrima"/>
          </w:rPr>
          <w:t>Feigin</w:t>
        </w:r>
        <w:proofErr w:type="spellEnd"/>
        <w:r w:rsidRPr="00A579A3">
          <w:rPr>
            <w:rStyle w:val="Hyperlink"/>
            <w:rFonts w:ascii="Ebrima" w:hAnsi="Ebrima"/>
          </w:rPr>
          <w:t xml:space="preserve"> et al., 2014</w:t>
        </w:r>
      </w:hyperlink>
      <w:r>
        <w:t xml:space="preserve">; </w:t>
      </w:r>
      <w:hyperlink w:anchor="katanluft2018" w:history="1">
        <w:r w:rsidRPr="00A579A3">
          <w:rPr>
            <w:rStyle w:val="Hyperlink"/>
            <w:rFonts w:ascii="Ebrima" w:hAnsi="Ebrima"/>
          </w:rPr>
          <w:t xml:space="preserve">Katan &amp; </w:t>
        </w:r>
        <w:proofErr w:type="spellStart"/>
        <w:r w:rsidRPr="00A579A3">
          <w:rPr>
            <w:rStyle w:val="Hyperlink"/>
            <w:rFonts w:ascii="Ebrima" w:hAnsi="Ebrima"/>
          </w:rPr>
          <w:t>Luft</w:t>
        </w:r>
        <w:proofErr w:type="spellEnd"/>
        <w:r w:rsidRPr="00A579A3">
          <w:rPr>
            <w:rStyle w:val="Hyperlink"/>
            <w:rFonts w:ascii="Ebrima" w:hAnsi="Ebrima"/>
          </w:rPr>
          <w:t>, 2018</w:t>
        </w:r>
      </w:hyperlink>
      <w:r>
        <w:t xml:space="preserve">). The Lancet’s Global Burden of Disease review for the year 2019 reported 12.2 million global incident cases of stroke: 62.4% of those strokes were </w:t>
      </w:r>
      <w:r w:rsidR="00047DBE">
        <w:t>ischaemias/infarcts</w:t>
      </w:r>
      <w:r>
        <w:t xml:space="preserve">,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proofErr w:type="spellStart"/>
      <w:r w:rsidR="00D56F8B" w:rsidRPr="00D56F8B">
        <w:rPr>
          <w:color w:val="27CED7" w:themeColor="accent3"/>
        </w:rPr>
        <w:t>Feigin</w:t>
      </w:r>
      <w:proofErr w:type="spellEnd"/>
      <w:r w:rsidR="00D56F8B" w:rsidRPr="00D56F8B">
        <w:rPr>
          <w:color w:val="27CED7" w:themeColor="accent3"/>
        </w:rPr>
        <w:t xml:space="preserve"> et al.</w:t>
      </w:r>
      <w:r w:rsidR="00665C87" w:rsidRPr="00D56F8B">
        <w:rPr>
          <w:color w:val="27CED7" w:themeColor="accent3"/>
        </w:rPr>
        <w:t>, 2021</w:t>
      </w:r>
      <w:r w:rsidR="00665C87">
        <w:t>)</w:t>
      </w:r>
      <w:r>
        <w:t xml:space="preserve">. </w:t>
      </w:r>
      <w:r w:rsidR="007F64BB">
        <w:t>Most likely, t</w:t>
      </w:r>
      <w:r w:rsidR="00665C87">
        <w:t xml:space="preserve">his can at least </w:t>
      </w:r>
      <w:r w:rsidR="007F64BB">
        <w:t xml:space="preserve">be </w:t>
      </w:r>
      <w:r w:rsidR="00665C87">
        <w:t>partially attributed to the higher life expectancy of women (</w:t>
      </w:r>
      <w:r w:rsidR="00665C87" w:rsidRPr="00665C87">
        <w:rPr>
          <w:color w:val="27CED7" w:themeColor="accent3"/>
        </w:rPr>
        <w:t>Giroud et al., 2017; Bonkhoff et al., 2021</w:t>
      </w:r>
      <w:r w:rsidR="00665C87">
        <w:t xml:space="preserve">). </w:t>
      </w:r>
    </w:p>
    <w:p w14:paraId="1D6F8113" w14:textId="36FD8C53"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047DBE">
        <w:rPr>
          <w:rFonts w:cs="Arial"/>
        </w:rPr>
        <w:t>elderly</w:t>
      </w:r>
      <w:r w:rsidRPr="00047DBE">
        <w:rPr>
          <w:rFonts w:cs="Arial"/>
        </w:rPr>
        <w:t xml:space="preserve"> </w:t>
      </w:r>
      <w:r w:rsidR="00A21DED" w:rsidRPr="00047DBE">
        <w:rPr>
          <w:rFonts w:cs="Arial"/>
        </w:rPr>
        <w:t>women suffer the largest burden of stroke-induced disability and death</w:t>
      </w:r>
      <w:r w:rsidR="00A21DED">
        <w:rPr>
          <w:rFonts w:cs="Arial"/>
        </w:rPr>
        <w:t xml:space="preserve"> (</w:t>
      </w:r>
      <w:proofErr w:type="spellStart"/>
      <w:r w:rsidR="00AF36F4" w:rsidRPr="00AF36F4">
        <w:rPr>
          <w:rFonts w:cs="Arial"/>
          <w:color w:val="27CED7" w:themeColor="accent3"/>
        </w:rPr>
        <w:t>Appelros</w:t>
      </w:r>
      <w:proofErr w:type="spellEnd"/>
      <w:r w:rsidR="00AF36F4" w:rsidRPr="00AF36F4">
        <w:rPr>
          <w:rFonts w:cs="Arial"/>
          <w:color w:val="27CED7" w:themeColor="accent3"/>
        </w:rPr>
        <w:t xml:space="preserve"> et al., 2009</w:t>
      </w:r>
      <w:r w:rsidR="00AF36F4">
        <w:rPr>
          <w:rFonts w:cs="Arial"/>
        </w:rPr>
        <w:t xml:space="preserve">; </w:t>
      </w:r>
      <w:r w:rsidR="00A21DED" w:rsidRPr="00E54E46">
        <w:rPr>
          <w:rFonts w:cs="Arial"/>
          <w:color w:val="27CED7" w:themeColor="accent3"/>
        </w:rPr>
        <w:t>Gibson, 2013; Reeves et al., 2008</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r w:rsidR="00AF36F4" w:rsidRPr="00AF36F4">
        <w:rPr>
          <w:rFonts w:cs="Arial"/>
          <w:color w:val="27CED7" w:themeColor="accent3"/>
        </w:rPr>
        <w:t xml:space="preserve">Bonkhoff et al., 2021; </w:t>
      </w:r>
      <w:proofErr w:type="spellStart"/>
      <w:r w:rsidR="00AF36F4" w:rsidRPr="00AF36F4">
        <w:rPr>
          <w:rFonts w:cs="Arial"/>
          <w:color w:val="27CED7" w:themeColor="accent3"/>
        </w:rPr>
        <w:t>Dehlendorff</w:t>
      </w:r>
      <w:proofErr w:type="spellEnd"/>
      <w:r w:rsidR="00AF36F4" w:rsidRPr="00AF36F4">
        <w:rPr>
          <w:rFonts w:cs="Arial"/>
          <w:color w:val="27CED7" w:themeColor="accent3"/>
        </w:rPr>
        <w:t xml:space="preserve">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r w:rsidR="00E8478F" w:rsidRPr="00640246">
        <w:rPr>
          <w:rFonts w:cs="Arial"/>
          <w:color w:val="27CED7" w:themeColor="accent3"/>
        </w:rPr>
        <w:t>Bonkhoff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be directly correlated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t xml:space="preserve">Further, </w:t>
      </w:r>
      <w:r w:rsidRPr="008069ED">
        <w:rPr>
          <w:rFonts w:cs="Arial"/>
          <w:color w:val="27CED7" w:themeColor="accent3"/>
        </w:rPr>
        <w:t>Bonkhoff et al. (2021)</w:t>
      </w:r>
      <w:r w:rsidR="00823654">
        <w:rPr>
          <w:rFonts w:cs="Arial"/>
        </w:rPr>
        <w:t xml:space="preserve"> detected no differences in </w:t>
      </w:r>
      <w:r w:rsidR="00BA55C7">
        <w:rPr>
          <w:rFonts w:cs="Arial"/>
        </w:rPr>
        <w:t>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such as the hippocampus, thalamus, or precuneus.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hyperlink w:anchor="bonkhoff2021" w:history="1">
        <w:r w:rsidRPr="00D23577">
          <w:rPr>
            <w:rStyle w:val="Hyperlink"/>
            <w:rFonts w:ascii="Ebrima" w:hAnsi="Ebrima" w:cs="Arial"/>
          </w:rPr>
          <w:t>Bonkhoff et al., 2021</w:t>
        </w:r>
      </w:hyperlink>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are also referred to as “neuroactive steroids” or “neuro-steroids”, as they can be synthesised within the brain and are able to alter neuronal excitability (</w:t>
      </w:r>
      <w:proofErr w:type="spellStart"/>
      <w:r w:rsidR="000E422C" w:rsidRPr="00E46EAD">
        <w:rPr>
          <w:rFonts w:cs="Arial"/>
          <w:color w:val="27CED7" w:themeColor="accent3"/>
        </w:rPr>
        <w:t>Rupprecht</w:t>
      </w:r>
      <w:proofErr w:type="spellEnd"/>
      <w:r w:rsidR="000E422C" w:rsidRPr="00E46EAD">
        <w:rPr>
          <w:rFonts w:cs="Arial"/>
          <w:color w:val="27CED7" w:themeColor="accent3"/>
        </w:rPr>
        <w:t>, 2003</w:t>
      </w:r>
      <w:r w:rsidR="00043831" w:rsidRPr="00E46EAD">
        <w:rPr>
          <w:rFonts w:cs="Arial"/>
        </w:rPr>
        <w:t>).</w:t>
      </w:r>
      <w:r w:rsidR="00043831">
        <w:rPr>
          <w:rFonts w:cs="Arial"/>
        </w:rPr>
        <w:t xml:space="preserve"> </w:t>
      </w:r>
    </w:p>
    <w:p w14:paraId="04FF6BEF" w14:textId="36C367B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r w:rsidR="00C166A6">
        <w:rPr>
          <w:rFonts w:cs="Arial"/>
        </w:rPr>
        <w:t xml:space="preserve">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xml:space="preserve">; </w:t>
      </w:r>
      <w:proofErr w:type="spellStart"/>
      <w:r w:rsidR="000F241C">
        <w:rPr>
          <w:rFonts w:cs="Arial"/>
          <w:color w:val="27CED7" w:themeColor="accent3"/>
        </w:rPr>
        <w:t>Manwani</w:t>
      </w:r>
      <w:proofErr w:type="spellEnd"/>
      <w:r w:rsidR="000F241C">
        <w:rPr>
          <w:rFonts w:cs="Arial"/>
          <w:color w:val="27CED7" w:themeColor="accent3"/>
        </w:rPr>
        <w:t xml:space="preserve"> et al., 2014</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1EDD6CF1"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sex (</w:t>
      </w:r>
      <w:r w:rsidR="0008485B" w:rsidRPr="0008485B">
        <w:rPr>
          <w:rFonts w:cs="Arial"/>
          <w:color w:val="27CED7" w:themeColor="accent3"/>
        </w:rPr>
        <w:t xml:space="preserve">Bushnell et al., 2018; </w:t>
      </w:r>
      <w:proofErr w:type="spellStart"/>
      <w:r w:rsidR="000F241C">
        <w:rPr>
          <w:rFonts w:cs="Arial"/>
          <w:color w:val="27CED7" w:themeColor="accent3"/>
        </w:rPr>
        <w:t>Manwani</w:t>
      </w:r>
      <w:proofErr w:type="spellEnd"/>
      <w:r w:rsidR="000F241C">
        <w:rPr>
          <w:rFonts w:cs="Arial"/>
          <w:color w:val="27CED7" w:themeColor="accent3"/>
        </w:rPr>
        <w:t xml:space="preserve"> et al., 2014</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355228">
        <w:rPr>
          <w:rFonts w:cs="Arial"/>
        </w:rPr>
        <w:t xml:space="preserve">so </w:t>
      </w:r>
      <w:r w:rsidR="00355228" w:rsidRPr="00355228">
        <w:rPr>
          <w:rFonts w:cs="Arial"/>
        </w:rPr>
        <w:t>far</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C33DF11"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r w:rsidR="00314783" w:rsidRPr="002339D9">
        <w:rPr>
          <w:rFonts w:cs="Arial"/>
          <w:color w:val="FF0000"/>
        </w:rPr>
        <w:t xml:space="preserve">Taken together with the fact that </w:t>
      </w:r>
      <w:r w:rsidR="003360EF" w:rsidRPr="002339D9">
        <w:rPr>
          <w:rFonts w:cs="Arial"/>
          <w:color w:val="FF0000"/>
        </w:rPr>
        <w:t>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w:t>
      </w:r>
      <w:proofErr w:type="spellStart"/>
      <w:r w:rsidR="00163E3D">
        <w:rPr>
          <w:rFonts w:cs="Arial"/>
          <w:color w:val="27CED7" w:themeColor="accent3"/>
        </w:rPr>
        <w:t>Koellhoffer</w:t>
      </w:r>
      <w:proofErr w:type="spellEnd"/>
      <w:r w:rsidR="00163E3D">
        <w:rPr>
          <w:rFonts w:cs="Arial"/>
          <w:color w:val="27CED7" w:themeColor="accent3"/>
        </w:rPr>
        <w:t xml:space="preserve"> &amp; McCullough, 2012</w:t>
      </w:r>
      <w:r w:rsidR="002339D9" w:rsidRPr="002339D9">
        <w:rPr>
          <w:rFonts w:cs="Arial"/>
          <w:color w:val="27CED7" w:themeColor="accent3"/>
        </w:rPr>
        <w:t xml:space="preserve">; </w:t>
      </w:r>
      <w:proofErr w:type="spellStart"/>
      <w:r w:rsidR="00CC6F7D">
        <w:rPr>
          <w:rFonts w:cs="Arial"/>
          <w:color w:val="27CED7" w:themeColor="accent3"/>
        </w:rPr>
        <w:t>Manwani</w:t>
      </w:r>
      <w:proofErr w:type="spellEnd"/>
      <w:r w:rsidR="00CC6F7D">
        <w:rPr>
          <w:rFonts w:cs="Arial"/>
          <w:color w:val="27CED7" w:themeColor="accent3"/>
        </w:rPr>
        <w:t xml:space="preserve"> &amp; McCullough, 2012; </w:t>
      </w:r>
      <w:proofErr w:type="spellStart"/>
      <w:r w:rsidR="002339D9" w:rsidRPr="002339D9">
        <w:rPr>
          <w:rFonts w:cs="Arial"/>
          <w:color w:val="27CED7" w:themeColor="accent3"/>
        </w:rPr>
        <w:t>Sohrabji</w:t>
      </w:r>
      <w:proofErr w:type="spellEnd"/>
      <w:r w:rsidR="002339D9" w:rsidRPr="002339D9">
        <w:rPr>
          <w:rFonts w:cs="Arial"/>
          <w:color w:val="27CED7" w:themeColor="accent3"/>
        </w:rPr>
        <w:t xml:space="preserve"> et al., 2017)</w:t>
      </w:r>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this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2857C4F3"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proofErr w:type="spellStart"/>
      <w:r w:rsidR="00163E3D">
        <w:rPr>
          <w:rFonts w:cs="Arial"/>
          <w:color w:val="27CED7" w:themeColor="accent3"/>
        </w:rPr>
        <w:t>Koellhoffer</w:t>
      </w:r>
      <w:proofErr w:type="spellEnd"/>
      <w:r w:rsidR="00163E3D">
        <w:rPr>
          <w:rFonts w:cs="Arial"/>
          <w:color w:val="27CED7" w:themeColor="accent3"/>
        </w:rPr>
        <w:t xml:space="preserve"> &amp; McCullough, 2012</w:t>
      </w:r>
      <w:r w:rsidR="00047DBE">
        <w:rPr>
          <w:rFonts w:cs="Arial"/>
          <w:color w:val="27CED7" w:themeColor="accent3"/>
        </w:rPr>
        <w:t xml:space="preserve">;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w:t>
      </w:r>
      <w:r w:rsidR="00CC6F7D">
        <w:rPr>
          <w:rFonts w:cs="Arial"/>
        </w:rPr>
        <w:t xml:space="preserve"> </w:t>
      </w:r>
      <w:r w:rsidR="0060678F">
        <w:rPr>
          <w:rFonts w:cs="Arial"/>
        </w:rPr>
        <w:t>The same effects have also been</w:t>
      </w:r>
      <w:r w:rsidR="00CC6F7D">
        <w:rPr>
          <w:rFonts w:cs="Arial"/>
        </w:rPr>
        <w:t xml:space="preserve"> demonstrated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 xml:space="preserve">animals with XX chromosomes had larger infarcts, higher inflammatory </w:t>
      </w:r>
      <w:r w:rsidR="00163E3D">
        <w:rPr>
          <w:rFonts w:cs="Arial"/>
        </w:rPr>
        <w:t>responses,</w:t>
      </w:r>
      <w:r w:rsidR="00D97831">
        <w:rPr>
          <w:rFonts w:cs="Arial"/>
        </w:rPr>
        <w:t xml:space="preserve">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xml:space="preserve">, it seems likely that </w:t>
      </w:r>
      <w:r w:rsidR="00047DBE">
        <w:rPr>
          <w:rFonts w:cs="Arial"/>
        </w:rPr>
        <w:t>(</w:t>
      </w:r>
      <w:r w:rsidR="00F16C2C">
        <w:rPr>
          <w:rFonts w:cs="Arial"/>
        </w:rPr>
        <w:t>ischemic</w:t>
      </w:r>
      <w:r w:rsidR="00047DBE">
        <w:rPr>
          <w:rFonts w:cs="Arial"/>
        </w:rPr>
        <w:t>)</w:t>
      </w:r>
      <w:r w:rsidR="00F16C2C">
        <w:rPr>
          <w:rFonts w:cs="Arial"/>
        </w:rPr>
        <w:t xml:space="preserve"> strokes are affected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60678F" w:rsidRPr="0060678F">
        <w:rPr>
          <w:rFonts w:cs="Arial"/>
          <w:color w:val="27CED7" w:themeColor="accent3"/>
        </w:rPr>
        <w:t xml:space="preserve"> </w:t>
      </w:r>
      <w:proofErr w:type="spellStart"/>
      <w:r w:rsidR="000F241C">
        <w:rPr>
          <w:rFonts w:cs="Arial"/>
          <w:color w:val="27CED7" w:themeColor="accent3"/>
        </w:rPr>
        <w:t>Manwani</w:t>
      </w:r>
      <w:proofErr w:type="spellEnd"/>
      <w:r w:rsidR="000F241C">
        <w:rPr>
          <w:rFonts w:cs="Arial"/>
          <w:color w:val="27CED7" w:themeColor="accent3"/>
        </w:rPr>
        <w:t xml:space="preserve"> et al., 2014</w:t>
      </w:r>
      <w:r w:rsidR="00047DBE">
        <w:rPr>
          <w:rFonts w:cs="Arial"/>
          <w:color w:val="27CED7" w:themeColor="accent3"/>
        </w:rPr>
        <w:t xml:space="preserve">; </w:t>
      </w:r>
      <w:r w:rsidR="00047DBE" w:rsidRPr="0060678F">
        <w:rPr>
          <w:rFonts w:cs="Arial"/>
          <w:color w:val="27CED7" w:themeColor="accent3"/>
        </w:rPr>
        <w:t>McCullough et al., 201</w:t>
      </w:r>
      <w:r w:rsidR="00163E3D">
        <w:rPr>
          <w:rFonts w:cs="Arial"/>
          <w:color w:val="27CED7" w:themeColor="accent3"/>
        </w:rPr>
        <w:t>6</w:t>
      </w:r>
      <w:r w:rsidR="0060678F">
        <w:rPr>
          <w:rFonts w:cs="Arial"/>
        </w:rPr>
        <w:t xml:space="preserve">). </w:t>
      </w:r>
    </w:p>
    <w:p w14:paraId="02DEB9B5" w14:textId="77777777" w:rsidR="007E1B1A" w:rsidRDefault="007E1B1A">
      <w:pPr>
        <w:spacing w:line="259" w:lineRule="auto"/>
        <w:jc w:val="left"/>
        <w:rPr>
          <w:rFonts w:cs="Arial"/>
        </w:rPr>
      </w:pPr>
      <w:r>
        <w:rPr>
          <w:rFonts w:cs="Arial"/>
        </w:rPr>
        <w:br w:type="page"/>
      </w:r>
    </w:p>
    <w:p w14:paraId="3E170436" w14:textId="77777777" w:rsidR="007E1B1A" w:rsidRPr="000C2D04" w:rsidRDefault="007E1B1A">
      <w:pPr>
        <w:spacing w:line="259" w:lineRule="auto"/>
        <w:jc w:val="left"/>
        <w:rPr>
          <w:rFonts w:cs="Arial"/>
          <w:b/>
        </w:rPr>
      </w:pPr>
      <w:r w:rsidRPr="000C2D04">
        <w:rPr>
          <w:rFonts w:cs="Arial"/>
          <w:b/>
        </w:rPr>
        <w:t>Neglect</w:t>
      </w:r>
    </w:p>
    <w:p w14:paraId="140957F9" w14:textId="4AF99657" w:rsidR="007E1B1A" w:rsidRDefault="007E1B1A" w:rsidP="007E1B1A">
      <w:pPr>
        <w:spacing w:line="276" w:lineRule="auto"/>
        <w:rPr>
          <w:strike/>
        </w:rPr>
      </w:pPr>
      <w:r w:rsidRPr="005D47B4">
        <w:rPr>
          <w:rFonts w:cs="Arial"/>
          <w:lang w:val="en-US"/>
        </w:rPr>
        <w:t xml:space="preserve">Stroke can cause a number of </w:t>
      </w:r>
      <w:r>
        <w:rPr>
          <w:rFonts w:cs="Arial"/>
          <w:lang w:val="en-US"/>
        </w:rPr>
        <w:t xml:space="preserve">ensuing </w:t>
      </w:r>
      <w:r w:rsidRPr="005D47B4">
        <w:rPr>
          <w:rFonts w:cs="Arial"/>
          <w:lang w:val="en-US"/>
        </w:rPr>
        <w:t xml:space="preserve">neuropsychological </w:t>
      </w:r>
      <w:r>
        <w:rPr>
          <w:rFonts w:cs="Arial"/>
          <w:lang w:val="en-US"/>
        </w:rPr>
        <w:t>conditions,</w:t>
      </w:r>
      <w:r w:rsidRPr="005D47B4">
        <w:rPr>
          <w:rFonts w:cs="Arial"/>
          <w:lang w:val="en-US"/>
        </w:rPr>
        <w:t xml:space="preserve"> as even small focal lesions can significantly disrupt the brain network’s </w:t>
      </w:r>
      <w:r>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though it may also be caused by other forms of unilateral brain injury</w:t>
      </w:r>
      <w:r w:rsidRPr="005D47B4">
        <w:rPr>
          <w:rFonts w:cs="Arial"/>
        </w:rPr>
        <w:t xml:space="preserve"> (</w:t>
      </w:r>
      <w:r w:rsidRPr="004729BC">
        <w:rPr>
          <w:rFonts w:cs="Arial"/>
          <w:color w:val="27CED7" w:themeColor="accent3"/>
          <w:lang w:val="en-US"/>
        </w:rPr>
        <w:t xml:space="preserve">Karnath &amp; </w:t>
      </w:r>
      <w:proofErr w:type="spellStart"/>
      <w:r w:rsidRPr="004729BC">
        <w:rPr>
          <w:rFonts w:cs="Arial"/>
          <w:color w:val="27CED7" w:themeColor="accent3"/>
          <w:lang w:val="en-US"/>
        </w:rPr>
        <w:t>Rorden</w:t>
      </w:r>
      <w:proofErr w:type="spellEnd"/>
      <w:r w:rsidRPr="004729BC">
        <w:rPr>
          <w:rFonts w:cs="Arial"/>
          <w:color w:val="27CED7" w:themeColor="accent3"/>
          <w:lang w:val="en-US"/>
        </w:rPr>
        <w:t>,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Pr="00A472CE">
          <w:rPr>
            <w:rStyle w:val="Hyperlink"/>
            <w:rFonts w:ascii="Ebrima" w:hAnsi="Ebrima" w:cs="Arial"/>
            <w:lang w:val="en-US"/>
          </w:rPr>
          <w:t xml:space="preserve"> </w:t>
        </w:r>
        <w:r>
          <w:rPr>
            <w:rStyle w:val="Hyperlink"/>
            <w:rFonts w:ascii="Ebrima" w:hAnsi="Ebrima" w:cs="Arial"/>
            <w:lang w:val="en-US"/>
          </w:rPr>
          <w:t>et al.</w:t>
        </w:r>
        <w:r w:rsidRPr="005D47B4">
          <w:rPr>
            <w:rStyle w:val="Hyperlink"/>
            <w:rFonts w:ascii="Ebrima" w:hAnsi="Ebrima" w:cs="Arial"/>
          </w:rPr>
          <w:t>, 1993</w:t>
        </w:r>
      </w:hyperlink>
      <w:r w:rsidRPr="005D47B4">
        <w:rPr>
          <w:rFonts w:cs="Arial"/>
        </w:rPr>
        <w:t>).</w:t>
      </w:r>
      <w:r w:rsidRPr="005D47B4">
        <w:rPr>
          <w:rFonts w:cs="Arial"/>
          <w:lang w:val="en-US"/>
        </w:rPr>
        <w:t xml:space="preserve"> </w:t>
      </w:r>
      <w:r>
        <w:t xml:space="preserve">Neglect is often described as a </w:t>
      </w:r>
      <w:proofErr w:type="spellStart"/>
      <w:r>
        <w:t>supramodal</w:t>
      </w:r>
      <w:proofErr w:type="spellEnd"/>
      <w:r>
        <w:t xml:space="preserve"> disorder of spatial attention with a “heterogenous collection of symptoms” (</w:t>
      </w:r>
      <w:proofErr w:type="spellStart"/>
      <w:r w:rsidRPr="00966511">
        <w:rPr>
          <w:color w:val="27CED7" w:themeColor="accent3"/>
        </w:rPr>
        <w:t>Corbetta</w:t>
      </w:r>
      <w:proofErr w:type="spellEnd"/>
      <w:r w:rsidRPr="00966511">
        <w:rPr>
          <w:color w:val="27CED7" w:themeColor="accent3"/>
        </w:rPr>
        <w:t xml:space="preserve"> et al., 2005; Karnath &amp; </w:t>
      </w:r>
      <w:proofErr w:type="spellStart"/>
      <w:r w:rsidRPr="00966511">
        <w:rPr>
          <w:color w:val="27CED7" w:themeColor="accent3"/>
        </w:rPr>
        <w:t>Rorden</w:t>
      </w:r>
      <w:proofErr w:type="spellEnd"/>
      <w:r w:rsidRPr="00966511">
        <w:rPr>
          <w:color w:val="27CED7" w:themeColor="accent3"/>
        </w:rPr>
        <w:t>, 2012</w:t>
      </w:r>
      <w:r>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ED6745">
        <w:rPr>
          <w:color w:val="27CED7" w:themeColor="accent3"/>
        </w:rPr>
        <w:t>Becker &amp; Karnath, 2010; Karnath, 2012; Karnath &amp; Fetter, 1995</w:t>
      </w:r>
      <w:r>
        <w:t>). At the same time, patients have difficulties in orienting towards the contralesional side and will typically ignore information located there (</w:t>
      </w:r>
      <w:hyperlink w:anchor="beckerkarnath2010" w:history="1">
        <w:r w:rsidRPr="00C0607F">
          <w:rPr>
            <w:rStyle w:val="Hyperlink"/>
            <w:rFonts w:ascii="Ebrima" w:hAnsi="Ebrima"/>
          </w:rPr>
          <w:t>Becker &amp; Karnath, 2010</w:t>
        </w:r>
      </w:hyperlink>
      <w:r>
        <w:t xml:space="preserve">; </w:t>
      </w:r>
      <w:proofErr w:type="spellStart"/>
      <w:r w:rsidRPr="007F35D9">
        <w:rPr>
          <w:color w:val="27CED7" w:themeColor="accent3"/>
        </w:rPr>
        <w:t>Corbetta</w:t>
      </w:r>
      <w:proofErr w:type="spellEnd"/>
      <w:r w:rsidRPr="007F35D9">
        <w:rPr>
          <w:color w:val="27CED7" w:themeColor="accent3"/>
        </w:rPr>
        <w:t xml:space="preserve">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 xml:space="preserve">Karnath &amp; </w:t>
        </w:r>
        <w:proofErr w:type="spellStart"/>
        <w:r w:rsidRPr="009F4AD7">
          <w:rPr>
            <w:rStyle w:val="Hyperlink"/>
            <w:rFonts w:ascii="Ebrima" w:hAnsi="Ebrima"/>
          </w:rPr>
          <w:t>Rorden</w:t>
        </w:r>
        <w:proofErr w:type="spellEnd"/>
        <w:r w:rsidRPr="009F4AD7">
          <w:rPr>
            <w:rStyle w:val="Hyperlink"/>
            <w:rFonts w:ascii="Ebrima" w:hAnsi="Ebrima"/>
          </w:rPr>
          <w:t>, 2012</w:t>
        </w:r>
      </w:hyperlink>
      <w:r>
        <w:t xml:space="preserve">). </w:t>
      </w:r>
      <w:r w:rsidR="00D6396D">
        <w:t>Even though n</w:t>
      </w:r>
      <w:r w:rsidR="00D6396D" w:rsidRPr="00D6396D">
        <w:t>eglect is considered a basal disorder, meaning that the symptoms do not merely emerge in higher-order cognitive tasks, the</w:t>
      </w:r>
      <w:r w:rsidR="00D6396D">
        <w:t xml:space="preserve"> spatial</w:t>
      </w:r>
      <w:r w:rsidR="00D6396D" w:rsidRPr="00D6396D">
        <w:t xml:space="preserve"> biases are not due to underlying paralysis or sensory deficits (</w:t>
      </w:r>
      <w:r w:rsidR="00D6396D" w:rsidRPr="00D6396D">
        <w:rPr>
          <w:color w:val="27CED7" w:themeColor="accent3"/>
        </w:rPr>
        <w:t xml:space="preserve">Heilman &amp; </w:t>
      </w:r>
      <w:proofErr w:type="spellStart"/>
      <w:r w:rsidR="00D6396D" w:rsidRPr="00D6396D">
        <w:rPr>
          <w:color w:val="27CED7" w:themeColor="accent3"/>
        </w:rPr>
        <w:t>Valenstein</w:t>
      </w:r>
      <w:proofErr w:type="spellEnd"/>
      <w:r w:rsidR="00D6396D" w:rsidRPr="00D6396D">
        <w:rPr>
          <w:color w:val="27CED7" w:themeColor="accent3"/>
        </w:rPr>
        <w:t>, 1979; Karnath, 2012</w:t>
      </w:r>
      <w:r w:rsidR="00D6396D" w:rsidRPr="00D6396D">
        <w:t>).</w:t>
      </w:r>
      <w:r w:rsidR="00D6396D">
        <w:rPr>
          <w:strike/>
        </w:rPr>
        <w:t xml:space="preserve"> </w:t>
      </w:r>
    </w:p>
    <w:p w14:paraId="640971C7" w14:textId="166F7F08" w:rsidR="00047DBE" w:rsidRDefault="00047DBE" w:rsidP="00047DBE">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In a large-scale observational study comprising more than 80,000 stroke patients from the United Kingdom, </w:t>
      </w:r>
      <w:proofErr w:type="spellStart"/>
      <w:r w:rsidRPr="00182BAA">
        <w:rPr>
          <w:color w:val="27CED7" w:themeColor="accent3"/>
        </w:rPr>
        <w:t>Hammerbeck</w:t>
      </w:r>
      <w:proofErr w:type="spellEnd"/>
      <w:r w:rsidRPr="00182BAA">
        <w:rPr>
          <w:color w:val="27CED7" w:themeColor="accent3"/>
        </w:rPr>
        <w:t xml:space="preserve"> et al. (2019)</w:t>
      </w:r>
      <w:r>
        <w:rPr>
          <w:color w:val="27CED7" w:themeColor="accent3"/>
        </w:rPr>
        <w:t xml:space="preserve"> </w:t>
      </w:r>
      <w:r>
        <w:t>established that neglect is associated with higher age at stroke onset (on average 3 years), with more severe strokes, greater disability and mortality. Further, they discovered a sex difference in acute neglect incidence, with women exhibiting a prevalence of 33% versus 27% in men. Recovery rates for the core symptoms during the post-acute phase are relatively high at 70-80% (</w:t>
      </w:r>
      <w:proofErr w:type="spellStart"/>
      <w:r w:rsidRPr="002A7325">
        <w:rPr>
          <w:color w:val="27CED7" w:themeColor="accent3"/>
        </w:rPr>
        <w:t>Demeyere</w:t>
      </w:r>
      <w:proofErr w:type="spellEnd"/>
      <w:r w:rsidRPr="002A7325">
        <w:rPr>
          <w:color w:val="27CED7" w:themeColor="accent3"/>
        </w:rPr>
        <w:t xml:space="preserve"> &amp; </w:t>
      </w:r>
      <w:proofErr w:type="spellStart"/>
      <w:r w:rsidRPr="002A7325">
        <w:rPr>
          <w:color w:val="27CED7" w:themeColor="accent3"/>
        </w:rPr>
        <w:t>Gillebert</w:t>
      </w:r>
      <w:proofErr w:type="spellEnd"/>
      <w:r w:rsidRPr="002A7325">
        <w:rPr>
          <w:color w:val="27CED7" w:themeColor="accent3"/>
        </w:rPr>
        <w:t>, 2019</w:t>
      </w:r>
      <w:r>
        <w:t>), making the prevalence rates of chronic neglect considerably lower than for acute neglect. Current estimates for chronic neglect prevalence vary from 8-12% (</w:t>
      </w:r>
      <w:proofErr w:type="spellStart"/>
      <w:r w:rsidRPr="005044AE">
        <w:rPr>
          <w:color w:val="27CED7" w:themeColor="accent3"/>
        </w:rPr>
        <w:t>Jehkonen</w:t>
      </w:r>
      <w:proofErr w:type="spellEnd"/>
      <w:r w:rsidRPr="005044AE">
        <w:rPr>
          <w:color w:val="27CED7" w:themeColor="accent3"/>
        </w:rPr>
        <w:t xml:space="preserve"> et al., 2000</w:t>
      </w:r>
      <w:r>
        <w:t>) to up to 17% (</w:t>
      </w:r>
      <w:r w:rsidRPr="005044AE">
        <w:rPr>
          <w:color w:val="27CED7" w:themeColor="accent3"/>
        </w:rPr>
        <w:t>Esposito et al., 2021</w:t>
      </w:r>
      <w:r>
        <w:t>). Still, neglect is commonly considered to be a negative predictor for functional outcome in stroke recovery (</w:t>
      </w:r>
      <w:proofErr w:type="spellStart"/>
      <w:r w:rsidRPr="00FC0717">
        <w:rPr>
          <w:color w:val="27CED7" w:themeColor="accent3"/>
        </w:rPr>
        <w:t>Jehkonen</w:t>
      </w:r>
      <w:proofErr w:type="spellEnd"/>
      <w:r w:rsidRPr="00FC0717">
        <w:rPr>
          <w:color w:val="27CED7" w:themeColor="accent3"/>
        </w:rPr>
        <w:t xml:space="preserve"> et al., 2000 &amp; 2007; </w:t>
      </w:r>
      <w:r>
        <w:rPr>
          <w:color w:val="27CED7" w:themeColor="accent3"/>
        </w:rPr>
        <w:t xml:space="preserve">Wee &amp; </w:t>
      </w:r>
      <w:proofErr w:type="spellStart"/>
      <w:r>
        <w:rPr>
          <w:color w:val="27CED7" w:themeColor="accent3"/>
        </w:rPr>
        <w:t>Hopman</w:t>
      </w:r>
      <w:proofErr w:type="spellEnd"/>
      <w:r>
        <w:rPr>
          <w:color w:val="27CED7" w:themeColor="accent3"/>
        </w:rPr>
        <w:t xml:space="preserve">, 2008; </w:t>
      </w:r>
      <w:r w:rsidRPr="00FC0717">
        <w:rPr>
          <w:color w:val="27CED7" w:themeColor="accent3"/>
        </w:rPr>
        <w:t>Wu et al., 2015</w:t>
      </w:r>
      <w:r>
        <w:t xml:space="preserve">). </w:t>
      </w:r>
    </w:p>
    <w:p w14:paraId="4580A274" w14:textId="535DA7C2" w:rsidR="007E1B1A" w:rsidRDefault="007E1B1A" w:rsidP="007E1B1A">
      <w:pPr>
        <w:spacing w:line="276" w:lineRule="auto"/>
      </w:pPr>
      <w:r>
        <w:t xml:space="preserve">Typically, the behavioural </w:t>
      </w:r>
      <w:r w:rsidR="002F3A88">
        <w:t>core symptoms of neglect</w:t>
      </w:r>
      <w:r w:rsidR="00047DBE">
        <w:t xml:space="preserve"> </w:t>
      </w:r>
      <w:r>
        <w:t>manifest with reference to the patient’s egocentre, i.e., relative to their own body centre (</w:t>
      </w:r>
      <w:proofErr w:type="spellStart"/>
      <w:r w:rsidRPr="00A35F93">
        <w:rPr>
          <w:color w:val="27CED7" w:themeColor="accent3"/>
        </w:rPr>
        <w:t>Corbetta</w:t>
      </w:r>
      <w:proofErr w:type="spellEnd"/>
      <w:r w:rsidRPr="00A35F93">
        <w:rPr>
          <w:color w:val="27CED7" w:themeColor="accent3"/>
        </w:rPr>
        <w:t xml:space="preserve"> &amp; Shulman, 2011; Karnath &amp; </w:t>
      </w:r>
      <w:proofErr w:type="spellStart"/>
      <w:r w:rsidRPr="00A35F93">
        <w:rPr>
          <w:color w:val="27CED7" w:themeColor="accent3"/>
        </w:rPr>
        <w:t>Rorden</w:t>
      </w:r>
      <w:proofErr w:type="spellEnd"/>
      <w:r w:rsidRPr="00A35F93">
        <w:rPr>
          <w:color w:val="27CED7" w:themeColor="accent3"/>
        </w:rPr>
        <w:t>, 2012</w:t>
      </w:r>
      <w:r>
        <w:t>). However, the behavioural deficits may also occur in an allocentric reference frame: Patients with allocentric neglect ignore the left side of an object (rather than the overall space), irrespective of the object’s location relative to the patient (</w:t>
      </w:r>
      <w:r w:rsidRPr="00FC0717">
        <w:rPr>
          <w:color w:val="27CED7" w:themeColor="accent3"/>
        </w:rPr>
        <w:t>Li et al., 2014</w:t>
      </w:r>
      <w:r w:rsidR="00D6396D">
        <w:rPr>
          <w:color w:val="27CED7" w:themeColor="accent3"/>
        </w:rPr>
        <w:t xml:space="preserve">; </w:t>
      </w:r>
      <w:r w:rsidR="00D6396D" w:rsidRPr="00D6396D">
        <w:rPr>
          <w:color w:val="27CED7" w:themeColor="accent3"/>
          <w:highlight w:val="yellow"/>
        </w:rPr>
        <w:t>more</w:t>
      </w:r>
      <w:r>
        <w:t>). Although some authors argue that ego- and allocentric neglect can dissociate (</w:t>
      </w:r>
      <w:proofErr w:type="spellStart"/>
      <w:r w:rsidR="00D6396D" w:rsidRPr="002F3A88">
        <w:rPr>
          <w:color w:val="27CED7" w:themeColor="accent3"/>
        </w:rPr>
        <w:t>Demeyere</w:t>
      </w:r>
      <w:proofErr w:type="spellEnd"/>
      <w:r w:rsidR="00D6396D" w:rsidRPr="002F3A88">
        <w:rPr>
          <w:color w:val="27CED7" w:themeColor="accent3"/>
        </w:rPr>
        <w:t xml:space="preserve"> &amp; </w:t>
      </w:r>
      <w:proofErr w:type="spellStart"/>
      <w:r w:rsidR="00D6396D" w:rsidRPr="002F3A88">
        <w:rPr>
          <w:color w:val="27CED7" w:themeColor="accent3"/>
        </w:rPr>
        <w:t>Gillebert</w:t>
      </w:r>
      <w:proofErr w:type="spellEnd"/>
      <w:r w:rsidR="00D6396D" w:rsidRPr="002F3A88">
        <w:rPr>
          <w:color w:val="27CED7" w:themeColor="accent3"/>
        </w:rPr>
        <w:t xml:space="preserve">, 2019; </w:t>
      </w:r>
      <w:r w:rsidRPr="00AF2C20">
        <w:rPr>
          <w:color w:val="27CED7" w:themeColor="accent3"/>
        </w:rPr>
        <w:t>Hillis et al., 2005</w:t>
      </w:r>
      <w:r>
        <w:t xml:space="preserve">), others report significant interactions: </w:t>
      </w:r>
      <w:r w:rsidR="003127C4">
        <w:t xml:space="preserve">As many neglect patients suffer from a combination of both types, </w:t>
      </w:r>
      <w:r>
        <w:t>the presentation of stimuli in the (egocentric) contralesional space may result in a more severe allocentric bias (</w:t>
      </w:r>
      <w:r w:rsidRPr="00A35F93">
        <w:rPr>
          <w:color w:val="27CED7" w:themeColor="accent3"/>
        </w:rPr>
        <w:t xml:space="preserve">Li et al., 2014; </w:t>
      </w:r>
      <w:proofErr w:type="spellStart"/>
      <w:r w:rsidRPr="00A35F93">
        <w:rPr>
          <w:color w:val="27CED7" w:themeColor="accent3"/>
        </w:rPr>
        <w:t>Rorden</w:t>
      </w:r>
      <w:proofErr w:type="spellEnd"/>
      <w:r w:rsidRPr="00A35F93">
        <w:rPr>
          <w:color w:val="27CED7" w:themeColor="accent3"/>
        </w:rPr>
        <w:t xml:space="preserve"> et al., 2012</w:t>
      </w:r>
      <w:r w:rsidR="003127C4">
        <w:rPr>
          <w:color w:val="27CED7" w:themeColor="accent3"/>
        </w:rPr>
        <w:t>; Yue et al., 2012</w:t>
      </w:r>
      <w:r>
        <w:t xml:space="preserve">). </w:t>
      </w:r>
    </w:p>
    <w:p w14:paraId="79B4E621" w14:textId="57CFCE0D" w:rsidR="00B30AE6" w:rsidRDefault="00046625" w:rsidP="007E1B1A">
      <w:pPr>
        <w:spacing w:line="276" w:lineRule="auto"/>
      </w:pPr>
      <w:r>
        <w:t>Further, t</w:t>
      </w:r>
      <w:r w:rsidR="007E1B1A">
        <w:t xml:space="preserve">hose </w:t>
      </w:r>
      <w:r>
        <w:t>behavioural core symptoms</w:t>
      </w:r>
      <w:r w:rsidR="007E1B1A">
        <w:t xml:space="preserve"> do not necessarily only affect vision, but may also affect other modalities, such as audition, olfaction, motion, and even memory (</w:t>
      </w:r>
      <w:proofErr w:type="spellStart"/>
      <w:r w:rsidR="007E1B1A" w:rsidRPr="007E3F19">
        <w:rPr>
          <w:color w:val="27CED7" w:themeColor="accent3"/>
        </w:rPr>
        <w:t>Bisiach</w:t>
      </w:r>
      <w:proofErr w:type="spellEnd"/>
      <w:r w:rsidR="007E1B1A" w:rsidRPr="007E3F19">
        <w:rPr>
          <w:color w:val="27CED7" w:themeColor="accent3"/>
        </w:rPr>
        <w:t xml:space="preserve"> &amp; </w:t>
      </w:r>
      <w:proofErr w:type="spellStart"/>
      <w:r w:rsidR="007E1B1A" w:rsidRPr="007E3F19">
        <w:rPr>
          <w:color w:val="27CED7" w:themeColor="accent3"/>
        </w:rPr>
        <w:t>Luzatti</w:t>
      </w:r>
      <w:proofErr w:type="spellEnd"/>
      <w:r w:rsidR="007E1B1A" w:rsidRPr="007E3F19">
        <w:rPr>
          <w:color w:val="27CED7" w:themeColor="accent3"/>
        </w:rPr>
        <w:t xml:space="preserve">, 1978; </w:t>
      </w:r>
      <w:proofErr w:type="spellStart"/>
      <w:r w:rsidR="007E1B1A" w:rsidRPr="007E3F19">
        <w:rPr>
          <w:color w:val="27CED7" w:themeColor="accent3"/>
        </w:rPr>
        <w:t>Beschin</w:t>
      </w:r>
      <w:proofErr w:type="spellEnd"/>
      <w:r w:rsidR="007E1B1A" w:rsidRPr="007E3F19">
        <w:rPr>
          <w:color w:val="27CED7" w:themeColor="accent3"/>
        </w:rPr>
        <w:t xml:space="preserve"> et al., 1997;</w:t>
      </w:r>
      <w:r w:rsidR="007E1B1A">
        <w:t xml:space="preserve"> </w:t>
      </w:r>
      <w:r w:rsidR="007E1B1A" w:rsidRPr="00480CAE">
        <w:rPr>
          <w:color w:val="27CED7" w:themeColor="accent3"/>
        </w:rPr>
        <w:t>Karnath, 2012</w:t>
      </w:r>
      <w:r w:rsidR="007E1B1A">
        <w:t xml:space="preserve">). </w:t>
      </w:r>
      <w:r w:rsidR="00B30AE6">
        <w:t>Though the symptoms may be alleviated or overcome for a short period of time, this requires top-down (e.g., verbal request) or bottom-up (e.g., visual cues) input, as often times patients are not aware of their deficit (</w:t>
      </w:r>
      <w:r w:rsidR="00B30AE6" w:rsidRPr="006463A8">
        <w:rPr>
          <w:color w:val="27CED7" w:themeColor="accent3"/>
        </w:rPr>
        <w:t>Karnath, 2012</w:t>
      </w:r>
      <w:r w:rsidR="00B30AE6">
        <w:t xml:space="preserve">; </w:t>
      </w:r>
      <w:r w:rsidR="00B30AE6" w:rsidRPr="006463A8">
        <w:rPr>
          <w:highlight w:val="yellow"/>
        </w:rPr>
        <w:t>more</w:t>
      </w:r>
      <w:r w:rsidR="00B30AE6">
        <w:t>).</w:t>
      </w:r>
      <w:r w:rsidR="00047DBE">
        <w:t xml:space="preserve"> </w:t>
      </w:r>
      <w:r w:rsidR="00B30AE6">
        <w:t>Given the great heterogeneity of clinical symptoms, it is common that many patients show neglect in a particular diagnostic test, but no sign of it in another test (</w:t>
      </w:r>
      <w:proofErr w:type="spellStart"/>
      <w:r w:rsidR="00B30AE6" w:rsidRPr="00B30AE6">
        <w:rPr>
          <w:color w:val="27CED7" w:themeColor="accent3"/>
        </w:rPr>
        <w:t>Vaessen</w:t>
      </w:r>
      <w:proofErr w:type="spellEnd"/>
      <w:r w:rsidR="00B30AE6" w:rsidRPr="00B30AE6">
        <w:rPr>
          <w:color w:val="27CED7" w:themeColor="accent3"/>
        </w:rPr>
        <w:t xml:space="preserve"> et al., 2016; Verdon et al., 2010</w:t>
      </w:r>
      <w:r w:rsidR="00B30AE6">
        <w:t xml:space="preserve">). Therefore, a combination of multiple tests is commonly utilised to diagnose neglect (for more details see </w:t>
      </w:r>
      <w:r w:rsidR="00B30AE6" w:rsidRPr="00B30AE6">
        <w:rPr>
          <w:color w:val="27CED7" w:themeColor="accent3"/>
        </w:rPr>
        <w:t>Section 2.2.</w:t>
      </w:r>
      <w:r w:rsidR="00B30AE6">
        <w:t>).</w:t>
      </w:r>
    </w:p>
    <w:p w14:paraId="132FC32A" w14:textId="65330045" w:rsidR="007E1B1A" w:rsidRDefault="00D6396D" w:rsidP="007E1B1A">
      <w:r>
        <w:t xml:space="preserve">The heterogeneity of clinical symptoms is also reflected in the neuroanatomy of neglect: </w:t>
      </w:r>
      <w:r w:rsidR="004977C0">
        <w:t>M</w:t>
      </w:r>
      <w:r w:rsidR="007E1B1A">
        <w:t>ost often</w:t>
      </w:r>
      <w:r w:rsidR="004977C0">
        <w:t>, the syndrome manifests</w:t>
      </w:r>
      <w:r w:rsidR="007E1B1A">
        <w:t xml:space="preserve"> after right unilateral brain damage in the territory of the middle cerebral artery (MCA) (</w:t>
      </w:r>
      <w:hyperlink w:anchor="limalhotra2015" w:history="1">
        <w:r w:rsidR="007E1B1A" w:rsidRPr="00EB2D5A">
          <w:rPr>
            <w:rStyle w:val="Hyperlink"/>
            <w:rFonts w:ascii="Ebrima" w:hAnsi="Ebrima"/>
          </w:rPr>
          <w:t>Li &amp; Malhotra, 2015</w:t>
        </w:r>
      </w:hyperlink>
      <w:r w:rsidR="007E1B1A">
        <w:t>). The right hemispheric perisylvian network, including the temporo-parietal junction (TPJ), inferior parietal lobule (IPL), superior and middle temporal cortex, insula, and ventrolateral prefrontal cortex (</w:t>
      </w:r>
      <w:proofErr w:type="spellStart"/>
      <w:r w:rsidR="007E1B1A">
        <w:t>vlPFC</w:t>
      </w:r>
      <w:proofErr w:type="spellEnd"/>
      <w:r w:rsidR="007E1B1A">
        <w:t>), seems to underlie spatial orientation and it has been proposed that its disruption likely contributes to the core neglect deficits (</w:t>
      </w:r>
      <w:r w:rsidR="007E1B1A">
        <w:rPr>
          <w:color w:val="27CED7" w:themeColor="accent3"/>
        </w:rPr>
        <w:t xml:space="preserve">Bartolomeo et al. 2007; </w:t>
      </w:r>
      <w:proofErr w:type="spellStart"/>
      <w:r w:rsidR="007E1B1A" w:rsidRPr="00350D2D">
        <w:rPr>
          <w:color w:val="27CED7" w:themeColor="accent3"/>
        </w:rPr>
        <w:t>Corbetta</w:t>
      </w:r>
      <w:proofErr w:type="spellEnd"/>
      <w:r w:rsidR="007E1B1A" w:rsidRPr="00350D2D">
        <w:rPr>
          <w:color w:val="27CED7" w:themeColor="accent3"/>
        </w:rPr>
        <w:t xml:space="preserve"> et al., 2005</w:t>
      </w:r>
      <w:r w:rsidR="007E1B1A">
        <w:rPr>
          <w:color w:val="27CED7" w:themeColor="accent3"/>
        </w:rPr>
        <w:t xml:space="preserve">; </w:t>
      </w:r>
      <w:r w:rsidR="007E1B1A" w:rsidRPr="00880E86">
        <w:rPr>
          <w:color w:val="27CED7" w:themeColor="accent3"/>
        </w:rPr>
        <w:t xml:space="preserve">Karnath, 2012; </w:t>
      </w:r>
      <w:hyperlink w:anchor="karnathrorden2012" w:history="1">
        <w:r w:rsidR="007E1B1A" w:rsidRPr="00EB2D5A">
          <w:rPr>
            <w:rStyle w:val="Hyperlink"/>
            <w:rFonts w:ascii="Ebrima" w:hAnsi="Ebrima"/>
          </w:rPr>
          <w:t xml:space="preserve">Karnath &amp; </w:t>
        </w:r>
        <w:proofErr w:type="spellStart"/>
        <w:r w:rsidR="007E1B1A" w:rsidRPr="00EB2D5A">
          <w:rPr>
            <w:rStyle w:val="Hyperlink"/>
            <w:rFonts w:ascii="Ebrima" w:hAnsi="Ebrima"/>
          </w:rPr>
          <w:t>Rorden</w:t>
        </w:r>
        <w:proofErr w:type="spellEnd"/>
        <w:r w:rsidR="007E1B1A" w:rsidRPr="00EB2D5A">
          <w:rPr>
            <w:rStyle w:val="Hyperlink"/>
            <w:rFonts w:ascii="Ebrima" w:hAnsi="Ebrima"/>
          </w:rPr>
          <w:t>, 2012</w:t>
        </w:r>
      </w:hyperlink>
      <w:r w:rsidR="007E1B1A">
        <w:t>). Other notable cortical regions that have been implicated in neglect are the posterior parietal cortex, inferior frontal cortex, angular gyrus, supramarginal gyrus (</w:t>
      </w:r>
      <w:r w:rsidR="007E1B1A" w:rsidRPr="00337247">
        <w:rPr>
          <w:color w:val="27CED7" w:themeColor="accent3"/>
        </w:rPr>
        <w:t>Buxbaum et al., 2004;</w:t>
      </w:r>
      <w:r w:rsidR="007E1B1A">
        <w:rPr>
          <w:color w:val="27CED7" w:themeColor="accent3"/>
        </w:rPr>
        <w:t xml:space="preserve"> </w:t>
      </w:r>
      <w:proofErr w:type="spellStart"/>
      <w:r w:rsidR="007E1B1A">
        <w:rPr>
          <w:color w:val="27CED7" w:themeColor="accent3"/>
        </w:rPr>
        <w:t>Corbetta</w:t>
      </w:r>
      <w:proofErr w:type="spellEnd"/>
      <w:r w:rsidR="007E1B1A">
        <w:rPr>
          <w:color w:val="27CED7" w:themeColor="accent3"/>
        </w:rPr>
        <w:t xml:space="preserve"> &amp; Shulman, 2011;</w:t>
      </w:r>
      <w:r w:rsidR="007E1B1A" w:rsidRPr="00337247">
        <w:rPr>
          <w:color w:val="27CED7" w:themeColor="accent3"/>
        </w:rPr>
        <w:t xml:space="preserve"> He et</w:t>
      </w:r>
      <w:r w:rsidR="007E1B1A">
        <w:rPr>
          <w:color w:val="27CED7" w:themeColor="accent3"/>
        </w:rPr>
        <w:t xml:space="preserve"> </w:t>
      </w:r>
      <w:r w:rsidR="007E1B1A" w:rsidRPr="00337247">
        <w:rPr>
          <w:color w:val="27CED7" w:themeColor="accent3"/>
        </w:rPr>
        <w:t xml:space="preserve">al., 2007; Hillis et al., 2005; </w:t>
      </w:r>
      <w:r w:rsidR="00B30AE6">
        <w:rPr>
          <w:color w:val="27CED7" w:themeColor="accent3"/>
        </w:rPr>
        <w:t>Verdon et al., 2010</w:t>
      </w:r>
      <w:r w:rsidR="007E1B1A">
        <w:t>). However, there is still an ongoing debate surrounding the exact neurological correlates of neglect with many studies reporting contradictory findings, especially regarding the role of the temporal and parietal cortices in the syndrome (</w:t>
      </w:r>
      <w:r w:rsidR="007E1B1A" w:rsidRPr="007D7D76">
        <w:rPr>
          <w:color w:val="27CED7" w:themeColor="accent3"/>
        </w:rPr>
        <w:t>Bartolomeo et al., 2007</w:t>
      </w:r>
      <w:r w:rsidR="007E1B1A">
        <w:t xml:space="preserve">; </w:t>
      </w:r>
      <w:r w:rsidR="007E1B1A" w:rsidRPr="00337247">
        <w:rPr>
          <w:color w:val="27CED7" w:themeColor="accent3"/>
        </w:rPr>
        <w:t>Karnath et al., 2001</w:t>
      </w:r>
      <w:r w:rsidR="007E1B1A">
        <w:t xml:space="preserve">; </w:t>
      </w:r>
      <w:r w:rsidR="007E1B1A" w:rsidRPr="00337247">
        <w:rPr>
          <w:highlight w:val="yellow"/>
        </w:rPr>
        <w:t>more</w:t>
      </w:r>
      <w:r w:rsidR="007E1B1A">
        <w:t>).</w:t>
      </w:r>
    </w:p>
    <w:p w14:paraId="2A5EE505" w14:textId="0B68419E" w:rsidR="007E1B1A" w:rsidRPr="003725DB" w:rsidRDefault="007E1B1A" w:rsidP="007E1B1A">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8394E" w:rsidRPr="00B30AE6">
        <w:rPr>
          <w:bCs/>
          <w:color w:val="27CED7" w:themeColor="accent3"/>
        </w:rPr>
        <w:t>He et al., 2007</w:t>
      </w:r>
      <w:r w:rsidR="00B8394E">
        <w:rPr>
          <w:bCs/>
        </w:rPr>
        <w:t xml:space="preserve">; </w:t>
      </w:r>
      <w:r w:rsidRPr="00BA5DCF">
        <w:rPr>
          <w:bCs/>
          <w:color w:val="27CED7" w:themeColor="accent3"/>
        </w:rPr>
        <w:t xml:space="preserve">Karnath, </w:t>
      </w:r>
      <w:r w:rsidR="00951F8A">
        <w:rPr>
          <w:bCs/>
          <w:color w:val="27CED7" w:themeColor="accent3"/>
        </w:rPr>
        <w:t>2012</w:t>
      </w:r>
      <w:r w:rsidR="008D3A67">
        <w:rPr>
          <w:bCs/>
          <w:color w:val="27CED7" w:themeColor="accent3"/>
        </w:rPr>
        <w:t xml:space="preserve">; Karnath &amp; </w:t>
      </w:r>
      <w:proofErr w:type="spellStart"/>
      <w:r w:rsidR="008D3A67">
        <w:rPr>
          <w:bCs/>
          <w:color w:val="27CED7" w:themeColor="accent3"/>
        </w:rPr>
        <w:t>Niemeier</w:t>
      </w:r>
      <w:proofErr w:type="spellEnd"/>
      <w:r w:rsidR="008D3A67">
        <w:rPr>
          <w:bCs/>
          <w:color w:val="27CED7" w:themeColor="accent3"/>
        </w:rPr>
        <w:t>, 2002</w:t>
      </w:r>
      <w:r>
        <w:rPr>
          <w:bCs/>
        </w:rPr>
        <w:t xml:space="preserve">). </w:t>
      </w:r>
    </w:p>
    <w:p w14:paraId="5ED4EFE1" w14:textId="634E50E7" w:rsidR="00B8394E" w:rsidRDefault="007E1B1A" w:rsidP="007E1B1A">
      <w:pPr>
        <w:rPr>
          <w:bCs/>
        </w:rPr>
      </w:pPr>
      <w:r>
        <w:rPr>
          <w:bCs/>
        </w:rPr>
        <w:t xml:space="preserve">The idea that the </w:t>
      </w:r>
      <w:r w:rsidRPr="00951F8A">
        <w:rPr>
          <w:bCs/>
        </w:rPr>
        <w:t>spatial-attentional processes whose disruption underlie neglect might emerge from damage to large networks rather than single brain areas has already been discussed for a long time (</w:t>
      </w:r>
      <w:r w:rsidRPr="00951F8A">
        <w:rPr>
          <w:bCs/>
          <w:color w:val="27CED7" w:themeColor="accent3"/>
        </w:rPr>
        <w:t xml:space="preserve">Bartolomeo et al., 2007; </w:t>
      </w:r>
      <w:proofErr w:type="spellStart"/>
      <w:r w:rsidRPr="00951F8A">
        <w:rPr>
          <w:bCs/>
          <w:color w:val="27CED7" w:themeColor="accent3"/>
        </w:rPr>
        <w:t>Corbetta</w:t>
      </w:r>
      <w:proofErr w:type="spellEnd"/>
      <w:r w:rsidRPr="00951F8A">
        <w:rPr>
          <w:bCs/>
          <w:color w:val="27CED7" w:themeColor="accent3"/>
        </w:rPr>
        <w:t xml:space="preserve">, 2014; </w:t>
      </w:r>
      <w:proofErr w:type="spellStart"/>
      <w:r w:rsidRPr="00951F8A">
        <w:rPr>
          <w:bCs/>
          <w:color w:val="27CED7" w:themeColor="accent3"/>
        </w:rPr>
        <w:t>Mesulam</w:t>
      </w:r>
      <w:proofErr w:type="spellEnd"/>
      <w:r w:rsidRPr="00951F8A">
        <w:rPr>
          <w:bCs/>
          <w:color w:val="27CED7" w:themeColor="accent3"/>
        </w:rPr>
        <w:t xml:space="preserve">, 1981; Saxena et al., 2022; </w:t>
      </w:r>
      <w:proofErr w:type="spellStart"/>
      <w:r w:rsidRPr="00951F8A">
        <w:rPr>
          <w:bCs/>
          <w:color w:val="27CED7" w:themeColor="accent3"/>
        </w:rPr>
        <w:t>Vaessen</w:t>
      </w:r>
      <w:proofErr w:type="spellEnd"/>
      <w:r w:rsidRPr="00951F8A">
        <w:rPr>
          <w:bCs/>
          <w:color w:val="27CED7" w:themeColor="accent3"/>
        </w:rPr>
        <w:t xml:space="preserve"> et al., 2016)</w:t>
      </w:r>
      <w:r w:rsidRPr="00951F8A">
        <w:rPr>
          <w:bCs/>
        </w:rPr>
        <w:t>.</w:t>
      </w:r>
      <w:r w:rsidR="00951F8A">
        <w:rPr>
          <w:bCs/>
        </w:rPr>
        <w:t xml:space="preserve"> </w:t>
      </w: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 xml:space="preserve">Burcham et al., 1997; </w:t>
      </w:r>
      <w:proofErr w:type="spellStart"/>
      <w:r w:rsidRPr="007B1427">
        <w:rPr>
          <w:bCs/>
          <w:color w:val="27CED7" w:themeColor="accent3"/>
        </w:rPr>
        <w:t>Gaffan</w:t>
      </w:r>
      <w:proofErr w:type="spellEnd"/>
      <w:r w:rsidRPr="007B1427">
        <w:rPr>
          <w:bCs/>
          <w:color w:val="27CED7" w:themeColor="accent3"/>
        </w:rPr>
        <w:t xml:space="preserve"> &amp; </w:t>
      </w:r>
      <w:proofErr w:type="spellStart"/>
      <w:r w:rsidRPr="007B1427">
        <w:rPr>
          <w:bCs/>
          <w:color w:val="27CED7" w:themeColor="accent3"/>
        </w:rPr>
        <w:t>Hornak</w:t>
      </w:r>
      <w:proofErr w:type="spellEnd"/>
      <w:r w:rsidRPr="007B1427">
        <w:rPr>
          <w:bCs/>
          <w:color w:val="27CED7" w:themeColor="accent3"/>
        </w:rPr>
        <w:t xml:space="preserve">, 1997; </w:t>
      </w:r>
      <w:proofErr w:type="spellStart"/>
      <w:r w:rsidRPr="007B1427">
        <w:rPr>
          <w:bCs/>
          <w:color w:val="27CED7" w:themeColor="accent3"/>
        </w:rPr>
        <w:t>Reep</w:t>
      </w:r>
      <w:proofErr w:type="spellEnd"/>
      <w:r w:rsidRPr="007B1427">
        <w:rPr>
          <w:bCs/>
          <w:color w:val="27CED7" w:themeColor="accent3"/>
        </w:rPr>
        <w:t xml:space="preserve"> et al., 2004</w:t>
      </w:r>
      <w:r w:rsidR="00B8394E">
        <w:rPr>
          <w:bCs/>
        </w:rPr>
        <w:t>).</w:t>
      </w:r>
    </w:p>
    <w:p w14:paraId="5BC631A3" w14:textId="7CD36C43" w:rsidR="007E1B1A" w:rsidRDefault="007E1B1A" w:rsidP="007E1B1A">
      <w:pPr>
        <w:rPr>
          <w:bCs/>
        </w:rPr>
      </w:pPr>
      <w:r w:rsidRPr="00355228">
        <w:rPr>
          <w:bCs/>
        </w:rPr>
        <w:t>Interestingly, this is in line with the results obtained from fibre-tracking studies</w:t>
      </w:r>
      <w:r>
        <w:rPr>
          <w:bCs/>
        </w:rPr>
        <w:t xml:space="preserve"> in neglect patients. It has been established that </w:t>
      </w:r>
      <w:r>
        <w:t>the WM fibres connecting the perisylvian network, specifically the superior longitudinal fasciculus (SLF), arcuate fasciculus (AF), the inferior fronto-occipital fasciculus (IFOF) and the superior fronto-occipital fasciculus (SFOF) have been shown to be particularly vulnerable to causing neglect after being damaged (</w:t>
      </w:r>
      <w:proofErr w:type="spellStart"/>
      <w:r w:rsidRPr="00CA21D8">
        <w:rPr>
          <w:color w:val="27CED7" w:themeColor="accent3"/>
        </w:rPr>
        <w:t>Chechlacz</w:t>
      </w:r>
      <w:proofErr w:type="spellEnd"/>
      <w:r w:rsidRPr="00CA21D8">
        <w:rPr>
          <w:color w:val="27CED7" w:themeColor="accent3"/>
        </w:rPr>
        <w:t xml:space="preserve"> et al., 2010</w:t>
      </w:r>
      <w:r>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xml:space="preserve">; </w:t>
      </w:r>
      <w:r w:rsidR="00993756">
        <w:rPr>
          <w:color w:val="27CED7" w:themeColor="accent3"/>
        </w:rPr>
        <w:t>Urbanski et al., 2010</w:t>
      </w:r>
      <w:r w:rsidRPr="00687753">
        <w:rPr>
          <w:bCs/>
        </w:rPr>
        <w:t>).</w:t>
      </w:r>
      <w:r>
        <w:rPr>
          <w:bCs/>
        </w:rPr>
        <w:t xml:space="preserve"> </w:t>
      </w:r>
      <w:r w:rsidR="00047DBE">
        <w:rPr>
          <w:bCs/>
        </w:rPr>
        <w:t>It also has been shown that neglect severity is greater when lesions reach deep into the WM, compared to cortical lesions of a similar size (</w:t>
      </w:r>
      <w:proofErr w:type="spellStart"/>
      <w:r w:rsidR="00047DBE" w:rsidRPr="00047DBE">
        <w:rPr>
          <w:bCs/>
          <w:color w:val="27CED7" w:themeColor="accent3"/>
        </w:rPr>
        <w:t>Corbetta</w:t>
      </w:r>
      <w:proofErr w:type="spellEnd"/>
      <w:r w:rsidR="00047DBE" w:rsidRPr="00047DBE">
        <w:rPr>
          <w:bCs/>
          <w:color w:val="27CED7" w:themeColor="accent3"/>
        </w:rPr>
        <w:t>, 2014</w:t>
      </w:r>
      <w:r w:rsidR="00047DBE">
        <w:rPr>
          <w:bCs/>
        </w:rPr>
        <w:t>).</w:t>
      </w:r>
    </w:p>
    <w:p w14:paraId="5D6B1075" w14:textId="07C9D613" w:rsidR="007E1B1A" w:rsidRPr="00C5522D" w:rsidRDefault="009C3AFB" w:rsidP="007E1B1A">
      <w:pPr>
        <w:rPr>
          <w:bCs/>
          <w:lang w:val="en-US"/>
        </w:rPr>
      </w:pPr>
      <w:r w:rsidRPr="00C5522D">
        <w:rPr>
          <w:bCs/>
        </w:rPr>
        <w:t xml:space="preserve">Studies investigating both structural connectivity utilising </w:t>
      </w:r>
      <w:r w:rsidR="007E1B1A" w:rsidRPr="00C5522D">
        <w:rPr>
          <w:bCs/>
        </w:rPr>
        <w:t>DTI</w:t>
      </w:r>
      <w:r w:rsidRPr="00C5522D">
        <w:rPr>
          <w:bCs/>
        </w:rPr>
        <w:t>, as well as functional connectivity using functional MRI (fMRI)</w:t>
      </w:r>
      <w:r w:rsidR="007E1B1A" w:rsidRPr="00C5522D">
        <w:rPr>
          <w:bCs/>
        </w:rPr>
        <w:t xml:space="preserve"> confirmed that</w:t>
      </w:r>
      <w:r w:rsidR="007E1B1A">
        <w:rPr>
          <w:bCs/>
        </w:rPr>
        <w:t xml:space="preserve"> disconnections in the fronto-parietal network contribute to the development of chronic neglect and specifically, </w:t>
      </w:r>
      <w:r w:rsidR="00C5522D">
        <w:rPr>
          <w:bCs/>
        </w:rPr>
        <w:t xml:space="preserve">subcortical </w:t>
      </w:r>
      <w:r w:rsidR="007E1B1A">
        <w:rPr>
          <w:bCs/>
        </w:rPr>
        <w:t>damage to the SLF was identified to be the best predictor of neglect. Damage to the IFOF</w:t>
      </w:r>
      <w:r w:rsidR="00C5522D">
        <w:rPr>
          <w:bCs/>
        </w:rPr>
        <w:t>, AF,</w:t>
      </w:r>
      <w:r w:rsidR="007E1B1A">
        <w:rPr>
          <w:bCs/>
        </w:rPr>
        <w:t xml:space="preserve"> and dorsolateral thalamus </w:t>
      </w:r>
      <w:r w:rsidR="00C5522D">
        <w:rPr>
          <w:bCs/>
        </w:rPr>
        <w:t>were</w:t>
      </w:r>
      <w:r w:rsidR="007E1B1A">
        <w:rPr>
          <w:bCs/>
        </w:rPr>
        <w:t xml:space="preserve"> also found to contribute to neglect severity, though not as strongly and consistently as SLF disconnections</w:t>
      </w:r>
      <w:r>
        <w:rPr>
          <w:bCs/>
        </w:rPr>
        <w:t xml:space="preserve"> </w:t>
      </w:r>
      <w:r w:rsidRPr="00C5522D">
        <w:rPr>
          <w:bCs/>
          <w:lang w:val="en-US"/>
        </w:rPr>
        <w:t>(</w:t>
      </w:r>
      <w:r w:rsidR="00613B5D" w:rsidRPr="00613B5D">
        <w:rPr>
          <w:bCs/>
          <w:color w:val="27CED7" w:themeColor="accent3"/>
          <w:lang w:val="en-US"/>
        </w:rPr>
        <w:t>Bartolomeo et al., 2007</w:t>
      </w:r>
      <w:r w:rsidR="00613B5D">
        <w:rPr>
          <w:bCs/>
          <w:lang w:val="en-US"/>
        </w:rPr>
        <w:t xml:space="preserve">; </w:t>
      </w:r>
      <w:r w:rsidRPr="00C5522D">
        <w:rPr>
          <w:bCs/>
          <w:color w:val="27CED7" w:themeColor="accent3"/>
          <w:lang w:val="en-US"/>
        </w:rPr>
        <w:t xml:space="preserve">He et al., 2007; </w:t>
      </w:r>
      <w:proofErr w:type="spellStart"/>
      <w:r w:rsidRPr="00C5522D">
        <w:rPr>
          <w:bCs/>
          <w:color w:val="27CED7" w:themeColor="accent3"/>
          <w:lang w:val="en-US"/>
        </w:rPr>
        <w:t>Thiebaut</w:t>
      </w:r>
      <w:proofErr w:type="spellEnd"/>
      <w:r w:rsidRPr="00C5522D">
        <w:rPr>
          <w:bCs/>
          <w:color w:val="27CED7" w:themeColor="accent3"/>
          <w:lang w:val="en-US"/>
        </w:rPr>
        <w:t xml:space="preserve"> de </w:t>
      </w:r>
      <w:proofErr w:type="spellStart"/>
      <w:r w:rsidRPr="00C5522D">
        <w:rPr>
          <w:bCs/>
          <w:color w:val="27CED7" w:themeColor="accent3"/>
          <w:lang w:val="en-US"/>
        </w:rPr>
        <w:t>Schotten</w:t>
      </w:r>
      <w:proofErr w:type="spellEnd"/>
      <w:r w:rsidRPr="00C5522D">
        <w:rPr>
          <w:bCs/>
          <w:color w:val="27CED7" w:themeColor="accent3"/>
          <w:lang w:val="en-US"/>
        </w:rPr>
        <w:t xml:space="preserve"> et al., 2014; </w:t>
      </w:r>
      <w:r w:rsidR="00993756">
        <w:rPr>
          <w:bCs/>
          <w:color w:val="27CED7" w:themeColor="accent3"/>
          <w:lang w:val="en-US"/>
        </w:rPr>
        <w:t>Urbanski et al., 2010</w:t>
      </w:r>
      <w:r w:rsidRPr="00C5522D">
        <w:rPr>
          <w:bCs/>
          <w:color w:val="27CED7" w:themeColor="accent3"/>
          <w:lang w:val="en-US"/>
        </w:rPr>
        <w:t xml:space="preserve">; </w:t>
      </w:r>
      <w:proofErr w:type="spellStart"/>
      <w:r w:rsidR="00C5522D" w:rsidRPr="00C5522D">
        <w:rPr>
          <w:bCs/>
          <w:color w:val="27CED7" w:themeColor="accent3"/>
          <w:lang w:val="en-US"/>
        </w:rPr>
        <w:t>Vaessen</w:t>
      </w:r>
      <w:proofErr w:type="spellEnd"/>
      <w:r w:rsidR="00C5522D" w:rsidRPr="00C5522D">
        <w:rPr>
          <w:bCs/>
          <w:color w:val="27CED7" w:themeColor="accent3"/>
          <w:lang w:val="en-US"/>
        </w:rPr>
        <w:t xml:space="preserve"> et al., 2016).</w:t>
      </w:r>
    </w:p>
    <w:p w14:paraId="6F6334F6" w14:textId="50C276B3" w:rsidR="007E1B1A" w:rsidRDefault="00613B5D" w:rsidP="007E1B1A">
      <w:pPr>
        <w:rPr>
          <w:bCs/>
        </w:rPr>
      </w:pPr>
      <w:r w:rsidRPr="00613B5D">
        <w:rPr>
          <w:bCs/>
        </w:rPr>
        <w:t xml:space="preserve">In line with this, </w:t>
      </w:r>
      <w:r w:rsidR="007E1B1A">
        <w:rPr>
          <w:bCs/>
          <w:color w:val="27CED7" w:themeColor="accent3"/>
        </w:rPr>
        <w:t>Saxena et al. (2022)</w:t>
      </w:r>
      <w:r>
        <w:rPr>
          <w:bCs/>
          <w:color w:val="27CED7" w:themeColor="accent3"/>
        </w:rPr>
        <w:t xml:space="preserve"> </w:t>
      </w:r>
      <w:r>
        <w:rPr>
          <w:bCs/>
        </w:rPr>
        <w:t>analysed disconnections following acute stroke and</w:t>
      </w:r>
      <w:r w:rsidR="007E1B1A">
        <w:rPr>
          <w:bCs/>
        </w:rPr>
        <w:t xml:space="preserve"> found neglect to commonly emerge from intrahemispheric fronto</w:t>
      </w:r>
      <w:r>
        <w:rPr>
          <w:bCs/>
        </w:rPr>
        <w:t>-</w:t>
      </w:r>
      <w:r w:rsidR="007E1B1A">
        <w:rPr>
          <w:bCs/>
        </w:rPr>
        <w:t>parietal disconnections</w:t>
      </w:r>
      <w:r>
        <w:rPr>
          <w:bCs/>
        </w:rPr>
        <w:t>.</w:t>
      </w:r>
      <w:r w:rsidR="007E1B1A">
        <w:rPr>
          <w:bCs/>
        </w:rPr>
        <w:t xml:space="preserve"> </w:t>
      </w:r>
      <w:r>
        <w:rPr>
          <w:bCs/>
        </w:rPr>
        <w:t xml:space="preserve">Moreover, they found neglect arising from those disconnections </w:t>
      </w:r>
      <w:r w:rsidR="007E1B1A">
        <w:rPr>
          <w:bCs/>
        </w:rPr>
        <w:t xml:space="preserve">to manifest with greater severity than from focal lesions in any of the </w:t>
      </w:r>
      <w:r>
        <w:rPr>
          <w:bCs/>
        </w:rPr>
        <w:t xml:space="preserve">cortical </w:t>
      </w:r>
      <w:r w:rsidR="007E1B1A">
        <w:rPr>
          <w:bCs/>
        </w:rPr>
        <w:t>regions commonly associated with neglect, such as the right perisylvian network</w:t>
      </w:r>
      <w:r>
        <w:rPr>
          <w:bCs/>
        </w:rPr>
        <w:t xml:space="preserve">, which is in accordance with </w:t>
      </w:r>
      <w:proofErr w:type="spellStart"/>
      <w:r w:rsidRPr="00613B5D">
        <w:rPr>
          <w:bCs/>
          <w:color w:val="27CED7" w:themeColor="accent3"/>
        </w:rPr>
        <w:t>Corbetta’s</w:t>
      </w:r>
      <w:proofErr w:type="spellEnd"/>
      <w:r w:rsidRPr="00613B5D">
        <w:rPr>
          <w:bCs/>
          <w:color w:val="27CED7" w:themeColor="accent3"/>
        </w:rPr>
        <w:t xml:space="preserve"> (2014)</w:t>
      </w:r>
      <w:r>
        <w:rPr>
          <w:bCs/>
        </w:rPr>
        <w:t xml:space="preserve"> findings. </w:t>
      </w:r>
      <w:r w:rsidR="007E1B1A">
        <w:rPr>
          <w:bCs/>
        </w:rPr>
        <w:t>Further,</w:t>
      </w:r>
      <w:r w:rsidR="007E1B1A" w:rsidRPr="00613B5D">
        <w:rPr>
          <w:bCs/>
        </w:rPr>
        <w:t xml:space="preserve"> </w:t>
      </w:r>
      <w:r w:rsidRPr="00613B5D">
        <w:rPr>
          <w:bCs/>
          <w:color w:val="27CED7" w:themeColor="accent3"/>
        </w:rPr>
        <w:t>Saxena et al.</w:t>
      </w:r>
      <w:r w:rsidR="007E1B1A" w:rsidRPr="00613B5D">
        <w:rPr>
          <w:bCs/>
        </w:rPr>
        <w:t xml:space="preserve"> </w:t>
      </w:r>
      <w:r w:rsidR="007E1B1A">
        <w:rPr>
          <w:bCs/>
        </w:rPr>
        <w:t>detected a strong association of neglect severity with disconnections involving the (middle) temporal cortex, as well as disconnections involving the BG – specifically, the putamen</w:t>
      </w:r>
      <w:r w:rsidR="00355228">
        <w:rPr>
          <w:bCs/>
        </w:rPr>
        <w:t xml:space="preserve"> – which fits the results of </w:t>
      </w:r>
      <w:r w:rsidR="00355228" w:rsidRPr="00355228">
        <w:rPr>
          <w:bCs/>
          <w:color w:val="27CED7" w:themeColor="accent3"/>
        </w:rPr>
        <w:t xml:space="preserve">Karnath </w:t>
      </w:r>
      <w:r w:rsidR="008D3A67">
        <w:rPr>
          <w:bCs/>
          <w:color w:val="27CED7" w:themeColor="accent3"/>
        </w:rPr>
        <w:t xml:space="preserve">&amp; </w:t>
      </w:r>
      <w:proofErr w:type="spellStart"/>
      <w:r w:rsidR="008D3A67">
        <w:rPr>
          <w:bCs/>
          <w:color w:val="27CED7" w:themeColor="accent3"/>
        </w:rPr>
        <w:t>Niemeier’s</w:t>
      </w:r>
      <w:proofErr w:type="spellEnd"/>
      <w:r w:rsidR="008D3A67">
        <w:rPr>
          <w:bCs/>
          <w:color w:val="27CED7" w:themeColor="accent3"/>
        </w:rPr>
        <w:t xml:space="preserve"> </w:t>
      </w:r>
      <w:r w:rsidR="00355228" w:rsidRPr="00355228">
        <w:rPr>
          <w:bCs/>
          <w:color w:val="27CED7" w:themeColor="accent3"/>
        </w:rPr>
        <w:t>(2002)</w:t>
      </w:r>
      <w:r w:rsidR="00355228">
        <w:rPr>
          <w:bCs/>
        </w:rPr>
        <w:t xml:space="preserve"> lesion analysis study</w:t>
      </w:r>
      <w:r w:rsidR="007E1B1A">
        <w:rPr>
          <w:bCs/>
        </w:rPr>
        <w:t xml:space="preserve">. </w:t>
      </w:r>
    </w:p>
    <w:p w14:paraId="3020A807" w14:textId="43DBCCF6" w:rsidR="00951F8A" w:rsidRDefault="007E1B1A" w:rsidP="007E1B1A">
      <w:pPr>
        <w:rPr>
          <w:bCs/>
          <w:lang w:val="en-US"/>
        </w:rPr>
      </w:pPr>
      <w:r>
        <w:rPr>
          <w:bCs/>
          <w:lang w:val="en-US"/>
        </w:rPr>
        <w:t xml:space="preserve">While </w:t>
      </w:r>
      <w:proofErr w:type="gramStart"/>
      <w:r>
        <w:rPr>
          <w:bCs/>
          <w:lang w:val="en-US"/>
        </w:rPr>
        <w:t>the majority of</w:t>
      </w:r>
      <w:proofErr w:type="gramEnd"/>
      <w:r>
        <w:rPr>
          <w:bCs/>
          <w:lang w:val="en-US"/>
        </w:rPr>
        <w:t xml:space="preserve"> 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 xml:space="preserve">imilar associations in patients with PCA-infarction: In those patients, intrahemispheric disconnections of the WM tracts between the </w:t>
      </w:r>
      <w:proofErr w:type="spellStart"/>
      <w:r>
        <w:rPr>
          <w:bCs/>
          <w:lang w:val="en-US"/>
        </w:rPr>
        <w:t>parahippocampal</w:t>
      </w:r>
      <w:proofErr w:type="spellEnd"/>
      <w:r>
        <w:rPr>
          <w:bCs/>
          <w:lang w:val="en-US"/>
        </w:rPr>
        <w:t xml:space="preserve"> gyrus and the angular gyrus was significantly correlated with neglect severity, whereas damage to those individual regions was found to not be sufficient for manifesting neglect. Further, they found that</w:t>
      </w:r>
      <w:r w:rsidR="00951F8A">
        <w:rPr>
          <w:bCs/>
          <w:lang w:val="en-US"/>
        </w:rPr>
        <w:t xml:space="preserve"> </w:t>
      </w:r>
      <w:r w:rsidR="00CD3481">
        <w:rPr>
          <w:bCs/>
          <w:lang w:val="en-US"/>
        </w:rPr>
        <w:t>lesions</w:t>
      </w:r>
      <w:r w:rsidR="00951F8A">
        <w:rPr>
          <w:bCs/>
          <w:lang w:val="en-US"/>
        </w:rPr>
        <w:t xml:space="preserve"> to the splenium of the corpus callosum subsequently damaged interhemispheric WM </w:t>
      </w:r>
      <w:proofErr w:type="spellStart"/>
      <w:r w:rsidR="00CD3481">
        <w:rPr>
          <w:bCs/>
          <w:lang w:val="en-US"/>
        </w:rPr>
        <w:t>fibres</w:t>
      </w:r>
      <w:proofErr w:type="spellEnd"/>
      <w:r w:rsidR="00CD3481">
        <w:rPr>
          <w:bCs/>
          <w:lang w:val="en-US"/>
        </w:rPr>
        <w:t xml:space="preserve"> </w:t>
      </w:r>
      <w:r w:rsidR="00951F8A">
        <w:rPr>
          <w:bCs/>
          <w:lang w:val="en-US"/>
        </w:rPr>
        <w:t>and in turn, also increased neglect severity</w:t>
      </w:r>
      <w:r w:rsidR="00CD3481">
        <w:rPr>
          <w:bCs/>
          <w:lang w:val="en-US"/>
        </w:rPr>
        <w:t xml:space="preserve"> (see also </w:t>
      </w:r>
      <w:proofErr w:type="spellStart"/>
      <w:r w:rsidR="00CD3481" w:rsidRPr="00CD3481">
        <w:rPr>
          <w:bCs/>
          <w:color w:val="27CED7" w:themeColor="accent3"/>
          <w:lang w:val="en-US"/>
        </w:rPr>
        <w:t>Bozzal</w:t>
      </w:r>
      <w:r w:rsidR="008D3A67">
        <w:rPr>
          <w:bCs/>
          <w:color w:val="27CED7" w:themeColor="accent3"/>
          <w:lang w:val="en-US"/>
        </w:rPr>
        <w:t>i</w:t>
      </w:r>
      <w:proofErr w:type="spellEnd"/>
      <w:r w:rsidR="00CD3481" w:rsidRPr="00CD3481">
        <w:rPr>
          <w:bCs/>
          <w:color w:val="27CED7" w:themeColor="accent3"/>
          <w:lang w:val="en-US"/>
        </w:rPr>
        <w:t xml:space="preserve"> et al., 2012</w:t>
      </w:r>
      <w:r w:rsidR="00CD3481">
        <w:rPr>
          <w:bCs/>
          <w:lang w:val="en-US"/>
        </w:rPr>
        <w:t>)</w:t>
      </w:r>
      <w:r w:rsidR="00951F8A">
        <w:rPr>
          <w:bCs/>
          <w:lang w:val="en-US"/>
        </w:rPr>
        <w:t>.</w:t>
      </w:r>
    </w:p>
    <w:p w14:paraId="622A8637" w14:textId="59C7F679" w:rsidR="007E1B1A" w:rsidRDefault="007E1B1A" w:rsidP="007E1B1A">
      <w:pPr>
        <w:rPr>
          <w:bCs/>
        </w:rPr>
      </w:pPr>
      <w:proofErr w:type="spellStart"/>
      <w:r w:rsidRPr="00415BB7">
        <w:rPr>
          <w:bCs/>
          <w:color w:val="27CED7" w:themeColor="accent3"/>
        </w:rPr>
        <w:t>Griffis</w:t>
      </w:r>
      <w:proofErr w:type="spellEnd"/>
      <w:r w:rsidRPr="00415BB7">
        <w:rPr>
          <w:bCs/>
          <w:color w:val="27CED7" w:themeColor="accent3"/>
        </w:rPr>
        <w:t xml:space="preserve"> et al. (2019 &amp; 2021) </w:t>
      </w:r>
      <w:r>
        <w:rPr>
          <w:bCs/>
        </w:rPr>
        <w:t xml:space="preserve">developed a technique to assess brain network dysfunction after stroke based on an indirect measure of structural disconnections – without the need for acquiring DTI images (see </w:t>
      </w:r>
      <w:r>
        <w:rPr>
          <w:bCs/>
          <w:color w:val="27CED7" w:themeColor="accent3"/>
        </w:rPr>
        <w:t xml:space="preserve">Chapter </w:t>
      </w:r>
      <w:r w:rsidRPr="00834BB0">
        <w:rPr>
          <w:bCs/>
          <w:color w:val="27CED7" w:themeColor="accent3"/>
        </w:rPr>
        <w:t>3</w:t>
      </w:r>
      <w:r>
        <w:rPr>
          <w:bCs/>
          <w:color w:val="27CED7" w:themeColor="accent3"/>
        </w:rPr>
        <w:t>: Data Analysis</w:t>
      </w:r>
      <w:r w:rsidRPr="00834BB0">
        <w:rPr>
          <w:bCs/>
          <w:color w:val="27CED7" w:themeColor="accent3"/>
        </w:rPr>
        <w:t xml:space="preserve"> </w:t>
      </w:r>
      <w:r>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w:t>
      </w:r>
      <w:r w:rsidR="00B8394E">
        <w:rPr>
          <w:bCs/>
        </w:rPr>
        <w:t>results</w:t>
      </w:r>
      <w:r>
        <w:rPr>
          <w:bCs/>
        </w:rPr>
        <w:t xml:space="preserve"> by </w:t>
      </w:r>
      <w:r w:rsidRPr="00E752F8">
        <w:rPr>
          <w:bCs/>
          <w:color w:val="27CED7" w:themeColor="accent3"/>
        </w:rPr>
        <w:t xml:space="preserve">He et al. (2007) </w:t>
      </w:r>
      <w:r>
        <w:rPr>
          <w:bCs/>
        </w:rPr>
        <w:t>and support the notion that neglect may arise from long-range interference in the function of the attentional network.</w:t>
      </w:r>
    </w:p>
    <w:p w14:paraId="47A81146" w14:textId="2AA37188" w:rsidR="00DB7986" w:rsidRDefault="007E1B1A">
      <w:r>
        <w:t xml:space="preserve">While it still has not been fully resolved, why lesions in the WM increase neglect severity compared to lesions in the GM, </w:t>
      </w:r>
      <w:r w:rsidRPr="00F1464C">
        <w:rPr>
          <w:color w:val="27CED7" w:themeColor="accent3"/>
        </w:rPr>
        <w:t>Bartolomeo et al. (2007)</w:t>
      </w:r>
      <w:r>
        <w:t xml:space="preserve"> hypothesise that it likely is due to diaschisis – the neurophysiological changes that occur distant to a focal brain lesion </w:t>
      </w:r>
      <w:r w:rsidRPr="005828DC">
        <w:rPr>
          <w:color w:val="27CED7" w:themeColor="accent3"/>
        </w:rPr>
        <w:t xml:space="preserve">(Carrera &amp; </w:t>
      </w:r>
      <w:proofErr w:type="spellStart"/>
      <w:r w:rsidRPr="005828DC">
        <w:rPr>
          <w:color w:val="27CED7" w:themeColor="accent3"/>
        </w:rPr>
        <w:t>Tononi</w:t>
      </w:r>
      <w:proofErr w:type="spellEnd"/>
      <w:r w:rsidRPr="005828DC">
        <w:rPr>
          <w:color w:val="27CED7" w:themeColor="accent3"/>
        </w:rPr>
        <w:t>, 2014)</w:t>
      </w:r>
      <w:r>
        <w:t xml:space="preserve">. They argue that the same lesion volume may cause more dysfunction if it occurs in WM tracts compared to cortical GM, due to the disrupted connections to larger cortical areas. This could lead to altered functioning of several cortical areas or even a whole brain network, which is harder to functionally compensate for through neuroplasticity than in the case of focal GM lesions (c.f., </w:t>
      </w:r>
      <w:r w:rsidRPr="005828DC">
        <w:rPr>
          <w:color w:val="27CED7" w:themeColor="accent3"/>
        </w:rPr>
        <w:t xml:space="preserve">Catani &amp; </w:t>
      </w:r>
      <w:proofErr w:type="spellStart"/>
      <w:r w:rsidRPr="005828DC">
        <w:rPr>
          <w:color w:val="27CED7" w:themeColor="accent3"/>
        </w:rPr>
        <w:t>Ffytche</w:t>
      </w:r>
      <w:proofErr w:type="spellEnd"/>
      <w:r w:rsidRPr="005828DC">
        <w:rPr>
          <w:color w:val="27CED7" w:themeColor="accent3"/>
        </w:rPr>
        <w:t xml:space="preserve">, 2005; </w:t>
      </w:r>
      <w:proofErr w:type="spellStart"/>
      <w:r w:rsidRPr="005828DC">
        <w:rPr>
          <w:color w:val="27CED7" w:themeColor="accent3"/>
        </w:rPr>
        <w:t>Duffau</w:t>
      </w:r>
      <w:proofErr w:type="spellEnd"/>
      <w:r w:rsidRPr="005828DC">
        <w:rPr>
          <w:color w:val="27CED7" w:themeColor="accent3"/>
        </w:rPr>
        <w:t>, 2005</w:t>
      </w:r>
      <w:r>
        <w:t>).</w:t>
      </w:r>
    </w:p>
    <w:p w14:paraId="5B4735F6" w14:textId="01305561" w:rsidR="008D7A61" w:rsidRDefault="008D7A61">
      <w:r w:rsidRPr="008D7A61">
        <w:rPr>
          <w:highlight w:val="yellow"/>
        </w:rPr>
        <w:t>[ending]</w:t>
      </w:r>
    </w:p>
    <w:p w14:paraId="7C548882" w14:textId="3513CC0D" w:rsidR="001F2CE8" w:rsidRDefault="001F2CE8">
      <w:pPr>
        <w:spacing w:line="259" w:lineRule="auto"/>
        <w:jc w:val="left"/>
        <w:rPr>
          <w:b/>
        </w:rPr>
      </w:pPr>
      <w:r>
        <w:rPr>
          <w:b/>
        </w:rPr>
        <w:br w:type="page"/>
      </w:r>
    </w:p>
    <w:p w14:paraId="753C6276" w14:textId="5DE02E13" w:rsidR="00BD4E34" w:rsidRDefault="00BD4E34">
      <w:pPr>
        <w:rPr>
          <w:b/>
        </w:rPr>
      </w:pPr>
      <w:r w:rsidRPr="00BD4E34">
        <w:rPr>
          <w:b/>
        </w:rPr>
        <w:t>Motivation</w:t>
      </w:r>
    </w:p>
    <w:p w14:paraId="426C0D0D" w14:textId="735A00CD" w:rsidR="00FB5FC4" w:rsidRDefault="00BB5C3D">
      <w:r>
        <w:t>Sex differences in psychology, neuroanatomy and stroke pathophysiology have received a lot more attention in research than when those topics were first introduced. To the best of our knowledge, only sex differences in the</w:t>
      </w:r>
      <w:r w:rsidR="00FB5FC4">
        <w:t xml:space="preserve"> incidence</w:t>
      </w:r>
      <w:r>
        <w:t xml:space="preserve"> of neglect and performance in commonly used diagnostic</w:t>
      </w:r>
      <w:r w:rsidR="00BB5692">
        <w:t xml:space="preserve"> tests have been studied so far, whereas potential sex differences in the neural underpinnings of neglect have not received any attention in research thus far.</w:t>
      </w:r>
    </w:p>
    <w:p w14:paraId="6BA82B3F" w14:textId="3E701001" w:rsidR="00BB5692" w:rsidRDefault="00BB5692">
      <w:r w:rsidRPr="009333AA">
        <w:t>[</w:t>
      </w:r>
      <w:r w:rsidR="009333AA" w:rsidRPr="009333AA">
        <w:t>For example,</w:t>
      </w:r>
      <w:r w:rsidR="009333AA">
        <w:rPr>
          <w:color w:val="27CED7" w:themeColor="accent3"/>
        </w:rPr>
        <w:t xml:space="preserve"> </w:t>
      </w:r>
      <w:r w:rsidR="00FB5FC4" w:rsidRPr="00FB5FC4">
        <w:rPr>
          <w:color w:val="27CED7" w:themeColor="accent3"/>
        </w:rPr>
        <w:t>Kleinman et al. (2008)</w:t>
      </w:r>
      <w:r w:rsidR="00FB5FC4">
        <w:t xml:space="preserve"> analysed the demographic data</w:t>
      </w:r>
      <w:r w:rsidR="00D30804">
        <w:t xml:space="preserve"> of 312 right-hemispheric stroke patients (49.7% female)</w:t>
      </w:r>
      <w:r w:rsidR="00FB5FC4">
        <w:t>, as well as</w:t>
      </w:r>
      <w:r w:rsidR="00D30804">
        <w:t xml:space="preserve"> their</w:t>
      </w:r>
      <w:r w:rsidR="00FB5FC4">
        <w:t xml:space="preserve"> performance across various diagnostic tests. They found no significant differences between the sexes</w:t>
      </w:r>
      <w:r>
        <w:t>,</w:t>
      </w:r>
      <w:r w:rsidR="00FB5FC4">
        <w:t xml:space="preserve"> except for in age at stroke onset, with women being about 4 years older than men are. </w:t>
      </w:r>
      <w:r>
        <w:t xml:space="preserve">Further, they found no sex differences in neglect incidence when contrasting age-matched groups. </w:t>
      </w:r>
    </w:p>
    <w:p w14:paraId="1612B7F5" w14:textId="31A3EF5A" w:rsidR="00BB5C3D" w:rsidRDefault="00FB5FC4">
      <w:r>
        <w:t xml:space="preserve">Interestingly though, </w:t>
      </w:r>
      <w:proofErr w:type="spellStart"/>
      <w:r w:rsidR="00BB5692" w:rsidRPr="00BB5692">
        <w:rPr>
          <w:color w:val="27CED7" w:themeColor="accent3"/>
        </w:rPr>
        <w:t>Varnava</w:t>
      </w:r>
      <w:proofErr w:type="spellEnd"/>
      <w:r w:rsidR="00BB5692" w:rsidRPr="00BB5692">
        <w:rPr>
          <w:color w:val="27CED7" w:themeColor="accent3"/>
        </w:rPr>
        <w:t xml:space="preserve"> &amp; Halligan (2007)</w:t>
      </w:r>
      <w:r w:rsidR="00BB5692">
        <w:t xml:space="preserve"> found that the performance </w:t>
      </w:r>
      <w:r w:rsidR="008D7A61">
        <w:t>in</w:t>
      </w:r>
      <w:r w:rsidR="00BB5692">
        <w:t xml:space="preserve"> some diagnostic tests</w:t>
      </w:r>
      <w:r w:rsidR="008D7A61">
        <w:t>, such as the line bisection task,</w:t>
      </w:r>
      <w:r w:rsidR="00BB5692">
        <w:t xml:space="preserve"> is influenced by an interaction of sex and age: With increasing age, performance decreases in women, while no such trend exists in men.]</w:t>
      </w:r>
    </w:p>
    <w:p w14:paraId="792216CD" w14:textId="3973F7ED" w:rsidR="000170F3" w:rsidRDefault="000170F3">
      <w:r w:rsidRPr="009333AA">
        <w:rPr>
          <w:highlight w:val="yellow"/>
        </w:rPr>
        <w:t>However, we do not want to focus on sex differences in neglect severity as measured by performance in different diagnostic tests, but rather on the neurological underpinnings</w:t>
      </w:r>
      <w:r w:rsidR="009333AA" w:rsidRPr="009333AA">
        <w:rPr>
          <w:highlight w:val="yellow"/>
        </w:rPr>
        <w:t xml:space="preserve"> and their relation to neglect severity due to them exhibiting a higher clinical relevance.</w:t>
      </w:r>
      <w:r w:rsidR="009333AA">
        <w:t xml:space="preserve"> </w:t>
      </w:r>
    </w:p>
    <w:p w14:paraId="4B1A162C" w14:textId="77777777" w:rsidR="001C70C9" w:rsidRDefault="008D7A61">
      <w:r>
        <w:t xml:space="preserve">Both the classic localisationist view of neglect (i.e., that </w:t>
      </w:r>
      <w:r w:rsidR="001C70C9">
        <w:t>the</w:t>
      </w:r>
      <w:r>
        <w:t xml:space="preserve"> syndrome that may arise from a focal lesion to different cortical regions) and the newer connectionist view (i.e., that the syndrome arises (mainly) from disrupted network connectivity) offer explanatory value in our understanding of </w:t>
      </w:r>
      <w:r w:rsidR="00944FAC">
        <w:t>spatial</w:t>
      </w:r>
      <w:r>
        <w:t>-attentional processing and</w:t>
      </w:r>
      <w:r w:rsidR="00944FAC">
        <w:t xml:space="preserve"> the clinical implications</w:t>
      </w:r>
      <w:r w:rsidR="001C70C9">
        <w:t xml:space="preserve"> (</w:t>
      </w:r>
      <w:r w:rsidR="001C70C9" w:rsidRPr="001C70C9">
        <w:rPr>
          <w:highlight w:val="yellow"/>
        </w:rPr>
        <w:t>sources</w:t>
      </w:r>
      <w:r w:rsidR="001C70C9">
        <w:t>)</w:t>
      </w:r>
      <w:r w:rsidR="00944FAC">
        <w:t xml:space="preserve">. </w:t>
      </w:r>
    </w:p>
    <w:p w14:paraId="59111078" w14:textId="24BFCA46" w:rsidR="008D7A61" w:rsidRDefault="00944FAC">
      <w:r>
        <w:t xml:space="preserve">Therefore, we think it is important to examine both </w:t>
      </w:r>
      <w:r w:rsidRPr="00944FAC">
        <w:rPr>
          <w:highlight w:val="yellow"/>
        </w:rPr>
        <w:t>lesion data, as well as the disconnection data</w:t>
      </w:r>
      <w:r>
        <w:t xml:space="preserve"> that can be derived from it</w:t>
      </w:r>
      <w:r w:rsidR="001C70C9">
        <w:t xml:space="preserve"> for potential sex differences</w:t>
      </w:r>
      <w:r>
        <w:t xml:space="preserve">. </w:t>
      </w:r>
    </w:p>
    <w:p w14:paraId="5E607A31" w14:textId="5D87B783" w:rsidR="001C70C9" w:rsidRDefault="001C70C9">
      <w:r>
        <w:t>Firstly, we want to investigate if we can find any sex differences in the clinical and demographic data</w:t>
      </w:r>
      <w:r w:rsidR="009D340B">
        <w:t xml:space="preserve"> of our patient sample</w:t>
      </w:r>
      <w:r>
        <w:t xml:space="preserve">, which would be in in line with the previous research on sex differences in the pathophysiology in stroke (c.f., </w:t>
      </w:r>
      <w:proofErr w:type="spellStart"/>
      <w:r w:rsidRPr="009D340B">
        <w:rPr>
          <w:color w:val="27CED7" w:themeColor="accent3"/>
        </w:rPr>
        <w:t>Bonkhoff</w:t>
      </w:r>
      <w:proofErr w:type="spellEnd"/>
      <w:r w:rsidRPr="009D340B">
        <w:rPr>
          <w:color w:val="27CED7" w:themeColor="accent3"/>
        </w:rPr>
        <w:t xml:space="preserve"> et al., 2021; </w:t>
      </w:r>
      <w:proofErr w:type="spellStart"/>
      <w:r w:rsidR="009D340B" w:rsidRPr="009D340B">
        <w:rPr>
          <w:color w:val="27CED7" w:themeColor="accent3"/>
        </w:rPr>
        <w:t>Hammerbeck</w:t>
      </w:r>
      <w:proofErr w:type="spellEnd"/>
      <w:r w:rsidR="009D340B" w:rsidRPr="009D340B">
        <w:rPr>
          <w:color w:val="27CED7" w:themeColor="accent3"/>
        </w:rPr>
        <w:t xml:space="preserve"> et al., 2019; </w:t>
      </w:r>
      <w:r w:rsidR="009D340B" w:rsidRPr="009D340B">
        <w:rPr>
          <w:color w:val="27CED7" w:themeColor="accent3"/>
          <w:highlight w:val="yellow"/>
        </w:rPr>
        <w:t>more</w:t>
      </w:r>
      <w:r w:rsidR="009D340B">
        <w:t xml:space="preserve">). </w:t>
      </w:r>
    </w:p>
    <w:p w14:paraId="1C0D89CE" w14:textId="3A9816A6" w:rsidR="009D340B" w:rsidRDefault="009D340B">
      <w:r>
        <w:t>Secondly, we want to test if classical voxel-based lesion-behaviour can reveal any differences in the relation between focal lesions and neglect severity between men and women.</w:t>
      </w:r>
    </w:p>
    <w:p w14:paraId="77A9B405" w14:textId="1CB868AD" w:rsidR="009D340B" w:rsidRDefault="009D340B">
      <w:r>
        <w:t xml:space="preserve">Thirdly, </w:t>
      </w:r>
      <w:r w:rsidR="000170F3">
        <w:t xml:space="preserve">we want to investigate if the sex differences in hemispheric asymmetry and brain connectivity (as described e.g., by </w:t>
      </w:r>
      <w:proofErr w:type="spellStart"/>
      <w:r w:rsidR="000170F3" w:rsidRPr="000170F3">
        <w:rPr>
          <w:color w:val="27CED7" w:themeColor="accent3"/>
        </w:rPr>
        <w:t>Ingalhalikar</w:t>
      </w:r>
      <w:proofErr w:type="spellEnd"/>
      <w:r w:rsidR="000170F3" w:rsidRPr="000170F3">
        <w:rPr>
          <w:color w:val="27CED7" w:themeColor="accent3"/>
        </w:rPr>
        <w:t xml:space="preserve"> et al., 2013</w:t>
      </w:r>
      <w:r w:rsidR="000170F3">
        <w:t xml:space="preserve">; more) also result in differences in WM disconnectivity after stroke. To this end, we will use </w:t>
      </w:r>
      <w:proofErr w:type="spellStart"/>
      <w:r w:rsidR="000170F3">
        <w:t>Griffis</w:t>
      </w:r>
      <w:proofErr w:type="spellEnd"/>
      <w:r w:rsidR="000170F3">
        <w:t xml:space="preserve"> et al.’s (2021) indirect method of assessing different disconnectivity measures based on lesion data, rather than assessing them directly using DTI. </w:t>
      </w:r>
    </w:p>
    <w:p w14:paraId="3098DF02" w14:textId="77777777" w:rsidR="00F202D3" w:rsidRDefault="00F202D3"/>
    <w:bookmarkEnd w:id="0"/>
    <w:p w14:paraId="30239C44" w14:textId="108F8801" w:rsidR="00CE44E4" w:rsidRDefault="00CE44E4">
      <w:pPr>
        <w:spacing w:line="259" w:lineRule="auto"/>
        <w:jc w:val="left"/>
        <w:rPr>
          <w:b/>
        </w:rPr>
      </w:pPr>
      <w:r>
        <w:rPr>
          <w:b/>
        </w:rPr>
        <w:br w:type="page"/>
      </w:r>
    </w:p>
    <w:p w14:paraId="6D615757" w14:textId="7F027B3C" w:rsidR="00BD4E34" w:rsidRDefault="00CE44E4" w:rsidP="001F2CE8">
      <w:pPr>
        <w:rPr>
          <w:b/>
        </w:rPr>
      </w:pPr>
      <w:r>
        <w:rPr>
          <w:b/>
        </w:rPr>
        <w:t xml:space="preserve">References </w:t>
      </w:r>
    </w:p>
    <w:p w14:paraId="1D3E9FAA" w14:textId="59F798DA" w:rsidR="00CE44E4" w:rsidRDefault="00CE44E4" w:rsidP="001F2CE8">
      <w:pPr>
        <w:rPr>
          <w:b/>
        </w:rPr>
      </w:pPr>
      <w:r w:rsidRPr="00CE44E4">
        <w:rPr>
          <w:b/>
        </w:rPr>
        <w:sym w:font="Wingdings" w:char="F0E0"/>
      </w:r>
      <w:r>
        <w:rPr>
          <w:b/>
        </w:rPr>
        <w:t xml:space="preserve"> Healthy Brain &amp; General Cognition</w:t>
      </w:r>
    </w:p>
    <w:p w14:paraId="7A30123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982D85">
        <w:rPr>
          <w:rFonts w:ascii="Arial" w:hAnsi="Arial" w:cs="Arial"/>
          <w:lang w:val="en-US"/>
        </w:rPr>
        <w:t xml:space="preserve">Allen, J. S., Damasio, H., &amp; Grabowski, T. J. (2002). </w:t>
      </w:r>
      <w:r w:rsidRPr="00CE44E4">
        <w:rPr>
          <w:rFonts w:ascii="Arial" w:hAnsi="Arial" w:cs="Arial"/>
          <w:lang w:val="en-US"/>
        </w:rPr>
        <w:t xml:space="preserve">Normal neuroanatomical variation in the human brain: An MRI-volumetric study. </w:t>
      </w:r>
      <w:r w:rsidRPr="00CE44E4">
        <w:rPr>
          <w:rFonts w:ascii="Arial" w:hAnsi="Arial" w:cs="Arial"/>
          <w:i/>
          <w:iCs/>
          <w:lang w:val="en-US"/>
        </w:rPr>
        <w:t>American Journal of Physical Anthropology</w:t>
      </w:r>
      <w:r w:rsidRPr="00CE44E4">
        <w:rPr>
          <w:rFonts w:ascii="Arial" w:hAnsi="Arial" w:cs="Arial"/>
          <w:lang w:val="en-US"/>
        </w:rPr>
        <w:t xml:space="preserve">, </w:t>
      </w:r>
      <w:r w:rsidRPr="00CE44E4">
        <w:rPr>
          <w:rFonts w:ascii="Arial" w:hAnsi="Arial" w:cs="Arial"/>
          <w:i/>
          <w:iCs/>
          <w:lang w:val="en-US"/>
        </w:rPr>
        <w:t>118</w:t>
      </w:r>
      <w:r w:rsidRPr="00CE44E4">
        <w:rPr>
          <w:rFonts w:ascii="Arial" w:hAnsi="Arial" w:cs="Arial"/>
          <w:lang w:val="en-US"/>
        </w:rPr>
        <w:t>(4), 341–358. https://doi.org/10.1002/ajpa.10092</w:t>
      </w:r>
    </w:p>
    <w:p w14:paraId="2136B679" w14:textId="77AD7762"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Allen, J. S., Damasio, H., Grabowski, T. J., Bruss, J., &amp; Zhang, W. (2003). Sexual dimorphism and asymmetries in the gray–white composition of the human cerebrum.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18</w:t>
      </w:r>
      <w:r>
        <w:rPr>
          <w:rFonts w:ascii="Arial" w:hAnsi="Arial" w:cs="Arial"/>
        </w:rPr>
        <w:t xml:space="preserve">(4), 880–894. </w:t>
      </w:r>
      <w:hyperlink r:id="rId8" w:history="1">
        <w:r w:rsidR="004E073B" w:rsidRPr="00C6456F">
          <w:rPr>
            <w:rStyle w:val="Hyperlink"/>
            <w:rFonts w:ascii="Arial" w:hAnsi="Arial" w:cs="Arial"/>
          </w:rPr>
          <w:t>https://doi.org/10.1016/s1053-8119(03)00034-x</w:t>
        </w:r>
      </w:hyperlink>
    </w:p>
    <w:p w14:paraId="079A7798" w14:textId="1BDD9E15" w:rsidR="004E073B" w:rsidRDefault="004E073B" w:rsidP="004E073B">
      <w:pPr>
        <w:pStyle w:val="StandardWeb"/>
        <w:spacing w:before="0" w:beforeAutospacing="0" w:after="0" w:afterAutospacing="0" w:line="480" w:lineRule="auto"/>
        <w:ind w:left="720" w:hanging="720"/>
        <w:rPr>
          <w:rFonts w:ascii="Arial" w:hAnsi="Arial" w:cs="Arial"/>
        </w:rPr>
      </w:pPr>
      <w:proofErr w:type="spellStart"/>
      <w:r w:rsidRPr="004E073B">
        <w:rPr>
          <w:rFonts w:ascii="Arial" w:hAnsi="Arial" w:cs="Arial"/>
          <w:lang w:val="en-US"/>
        </w:rPr>
        <w:t>Bibawi</w:t>
      </w:r>
      <w:proofErr w:type="spellEnd"/>
      <w:r w:rsidRPr="004E073B">
        <w:rPr>
          <w:rFonts w:ascii="Arial" w:hAnsi="Arial" w:cs="Arial"/>
          <w:lang w:val="en-US"/>
        </w:rPr>
        <w:t xml:space="preserve">, D., Cherry, B., &amp; </w:t>
      </w:r>
      <w:proofErr w:type="spellStart"/>
      <w:r w:rsidRPr="004E073B">
        <w:rPr>
          <w:rFonts w:ascii="Arial" w:hAnsi="Arial" w:cs="Arial"/>
          <w:lang w:val="en-US"/>
        </w:rPr>
        <w:t>Hellige</w:t>
      </w:r>
      <w:proofErr w:type="spellEnd"/>
      <w:r w:rsidRPr="004E073B">
        <w:rPr>
          <w:rFonts w:ascii="Arial" w:hAnsi="Arial" w:cs="Arial"/>
          <w:lang w:val="en-US"/>
        </w:rPr>
        <w:t xml:space="preserve">, J. B. (1995). Fluctuations of perceptual asymmetry across time in women and men: Effects related to the menstrual cycle. </w:t>
      </w:r>
      <w:proofErr w:type="spellStart"/>
      <w:r>
        <w:rPr>
          <w:rFonts w:ascii="Arial" w:hAnsi="Arial" w:cs="Arial"/>
          <w:i/>
          <w:iCs/>
        </w:rPr>
        <w:t>Neuropsychologia</w:t>
      </w:r>
      <w:proofErr w:type="spellEnd"/>
      <w:r>
        <w:rPr>
          <w:rFonts w:ascii="Arial" w:hAnsi="Arial" w:cs="Arial"/>
        </w:rPr>
        <w:t xml:space="preserve">, </w:t>
      </w:r>
      <w:r>
        <w:rPr>
          <w:rFonts w:ascii="Arial" w:hAnsi="Arial" w:cs="Arial"/>
          <w:i/>
          <w:iCs/>
        </w:rPr>
        <w:t>33</w:t>
      </w:r>
      <w:r>
        <w:rPr>
          <w:rFonts w:ascii="Arial" w:hAnsi="Arial" w:cs="Arial"/>
        </w:rPr>
        <w:t>(1), 131–138. https://doi.org/10.1016/0028-3932(94)00103-v</w:t>
      </w:r>
    </w:p>
    <w:p w14:paraId="4B02FD5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Boespflug</w:t>
      </w:r>
      <w:proofErr w:type="spellEnd"/>
      <w:r>
        <w:rPr>
          <w:rFonts w:ascii="Arial" w:hAnsi="Arial" w:cs="Arial"/>
        </w:rPr>
        <w:t xml:space="preserve">, E. L., Storrs, J. M., Allendorfer, J. B., Lamy, M., Eliassen, J. C., &amp; Page, S. (2011). </w:t>
      </w:r>
      <w:r w:rsidRPr="00CE44E4">
        <w:rPr>
          <w:rFonts w:ascii="Arial" w:hAnsi="Arial" w:cs="Arial"/>
          <w:lang w:val="en-US"/>
        </w:rPr>
        <w:t xml:space="preserve">Mean diffusivity as a potential diffusion tensor biomarker of motor rehabilitation after electrical stimulation incorporating task specific exercise in stroke: a pilot study. </w:t>
      </w:r>
      <w:r w:rsidRPr="00CE44E4">
        <w:rPr>
          <w:rFonts w:ascii="Arial" w:hAnsi="Arial" w:cs="Arial"/>
          <w:i/>
          <w:iCs/>
          <w:lang w:val="en-US"/>
        </w:rPr>
        <w:t>Brain Imaging and Behavior</w:t>
      </w:r>
      <w:r w:rsidRPr="00CE44E4">
        <w:rPr>
          <w:rFonts w:ascii="Arial" w:hAnsi="Arial" w:cs="Arial"/>
          <w:lang w:val="en-US"/>
        </w:rPr>
        <w:t xml:space="preserve">, </w:t>
      </w:r>
      <w:r w:rsidRPr="00CE44E4">
        <w:rPr>
          <w:rFonts w:ascii="Arial" w:hAnsi="Arial" w:cs="Arial"/>
          <w:i/>
          <w:iCs/>
          <w:lang w:val="en-US"/>
        </w:rPr>
        <w:t>8</w:t>
      </w:r>
      <w:r w:rsidRPr="00CE44E4">
        <w:rPr>
          <w:rFonts w:ascii="Arial" w:hAnsi="Arial" w:cs="Arial"/>
          <w:lang w:val="en-US"/>
        </w:rPr>
        <w:t>(3), 359–369. https://doi.org/10.1007/s11682-011-9144-1</w:t>
      </w:r>
    </w:p>
    <w:p w14:paraId="4CBD29ED"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Broverman, I. K., Vogel, S. R., Broverman, D. M., Clarkson, F. E., &amp; Rosenkrantz, P. S. (1972). Sex-Role Stereotypes: A Current Appraisal. </w:t>
      </w:r>
      <w:r w:rsidRPr="00CE44E4">
        <w:rPr>
          <w:rFonts w:ascii="Arial" w:hAnsi="Arial" w:cs="Arial"/>
          <w:i/>
          <w:iCs/>
          <w:lang w:val="en-US"/>
        </w:rPr>
        <w:t>Journal of Social Issues</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(2), 59–78. https://doi.org/10.1111/j.1540-4560.1972.tb00018.x</w:t>
      </w:r>
    </w:p>
    <w:p w14:paraId="0FFE3B99" w14:textId="770F6A2E"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Choleris, E., Galea, L. A., Sohrabji, F., &amp; Frick, K. M. (2018). Sex differences in the brain: Implications for behavioral and biomedical research.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85</w:t>
      </w:r>
      <w:r w:rsidRPr="00CE44E4">
        <w:rPr>
          <w:rFonts w:ascii="Arial" w:hAnsi="Arial" w:cs="Arial"/>
          <w:lang w:val="en-US"/>
        </w:rPr>
        <w:t xml:space="preserve">, 126–145. </w:t>
      </w:r>
      <w:hyperlink r:id="rId9" w:history="1">
        <w:r w:rsidR="004E073B" w:rsidRPr="00C6456F">
          <w:rPr>
            <w:rStyle w:val="Hyperlink"/>
            <w:rFonts w:ascii="Arial" w:hAnsi="Arial" w:cs="Arial"/>
            <w:lang w:val="en-US"/>
          </w:rPr>
          <w:t>https://doi.org/10.1016/j.neubiorev.2017.07.005</w:t>
        </w:r>
      </w:hyperlink>
    </w:p>
    <w:p w14:paraId="2BD2136C" w14:textId="222D5A00" w:rsidR="004E073B" w:rsidRPr="00CE44E4" w:rsidRDefault="004E073B" w:rsidP="004E073B">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Corballis</w:t>
      </w:r>
      <w:proofErr w:type="spellEnd"/>
      <w:r>
        <w:rPr>
          <w:rFonts w:ascii="Arial" w:hAnsi="Arial" w:cs="Arial"/>
        </w:rPr>
        <w:t xml:space="preserve">, M. C., &amp; Häberling, I. S. (2017). </w:t>
      </w:r>
      <w:r w:rsidRPr="004E073B">
        <w:rPr>
          <w:rFonts w:ascii="Arial" w:hAnsi="Arial" w:cs="Arial"/>
          <w:lang w:val="en-US"/>
        </w:rPr>
        <w:t xml:space="preserve">The Many Sides of Hemispheric Asymmetry: A Selective Review and Outlook. </w:t>
      </w:r>
      <w:r w:rsidRPr="004E073B">
        <w:rPr>
          <w:rFonts w:ascii="Arial" w:hAnsi="Arial" w:cs="Arial"/>
          <w:i/>
          <w:iCs/>
          <w:lang w:val="en-US"/>
        </w:rPr>
        <w:t>Journal of the International Neuropsychological Society</w:t>
      </w:r>
      <w:r w:rsidRPr="004E073B">
        <w:rPr>
          <w:rFonts w:ascii="Arial" w:hAnsi="Arial" w:cs="Arial"/>
          <w:lang w:val="en-US"/>
        </w:rPr>
        <w:t xml:space="preserve">, </w:t>
      </w:r>
      <w:r w:rsidRPr="004E073B">
        <w:rPr>
          <w:rFonts w:ascii="Arial" w:hAnsi="Arial" w:cs="Arial"/>
          <w:i/>
          <w:iCs/>
          <w:lang w:val="en-US"/>
        </w:rPr>
        <w:t>23</w:t>
      </w:r>
      <w:r w:rsidRPr="004E073B">
        <w:rPr>
          <w:rFonts w:ascii="Arial" w:hAnsi="Arial" w:cs="Arial"/>
          <w:lang w:val="en-US"/>
        </w:rPr>
        <w:t>(9–10), 710–718. https://doi.org/10.1017/s1355617717000376</w:t>
      </w:r>
    </w:p>
    <w:p w14:paraId="27410F8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Cornel, T. (2014). Matters of Sex and Gender in F. J. Gall’s Organology: A Primary Approach. </w:t>
      </w:r>
      <w:r w:rsidRPr="00CE44E4">
        <w:rPr>
          <w:rFonts w:ascii="Arial" w:hAnsi="Arial" w:cs="Arial"/>
          <w:i/>
          <w:iCs/>
          <w:lang w:val="en-US"/>
        </w:rPr>
        <w:t>Journal of the History of the Neurosciences</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(4), 377–394. https://doi.org/10.1080/0964704x.2014.885097</w:t>
      </w:r>
    </w:p>
    <w:p w14:paraId="05FDC20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Cosgrove, K. P., Mazure, C. M., &amp; Staley, J. K. (2007). Evolving Knowledge of Sex Differences in Brain Structure, Function, and Chemistry. </w:t>
      </w:r>
      <w:r w:rsidRPr="00CE44E4">
        <w:rPr>
          <w:rFonts w:ascii="Arial" w:hAnsi="Arial" w:cs="Arial"/>
          <w:i/>
          <w:iCs/>
          <w:lang w:val="en-US"/>
        </w:rPr>
        <w:t>Biological Psychiatry</w:t>
      </w:r>
      <w:r w:rsidRPr="00CE44E4">
        <w:rPr>
          <w:rFonts w:ascii="Arial" w:hAnsi="Arial" w:cs="Arial"/>
          <w:lang w:val="en-US"/>
        </w:rPr>
        <w:t xml:space="preserve">, </w:t>
      </w:r>
      <w:r w:rsidRPr="00CE44E4">
        <w:rPr>
          <w:rFonts w:ascii="Arial" w:hAnsi="Arial" w:cs="Arial"/>
          <w:i/>
          <w:iCs/>
          <w:lang w:val="en-US"/>
        </w:rPr>
        <w:t>62</w:t>
      </w:r>
      <w:r w:rsidRPr="00CE44E4">
        <w:rPr>
          <w:rFonts w:ascii="Arial" w:hAnsi="Arial" w:cs="Arial"/>
          <w:lang w:val="en-US"/>
        </w:rPr>
        <w:t>(8), 847–855. https://doi.org/10.1016/j.biopsych.2007.03.001</w:t>
      </w:r>
    </w:p>
    <w:p w14:paraId="7309566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Dubb, A., Gur, R., Avants, B., &amp; Gee, J. (2003). Characterization of sexual dimorphism in the human corpus callosum.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20</w:t>
      </w:r>
      <w:r w:rsidRPr="00CE44E4">
        <w:rPr>
          <w:rFonts w:ascii="Arial" w:hAnsi="Arial" w:cs="Arial"/>
          <w:lang w:val="en-US"/>
        </w:rPr>
        <w:t>(1), 512–519. https://doi.org/10.1016/s1053-8119(03)00313-6</w:t>
      </w:r>
    </w:p>
    <w:p w14:paraId="48451279" w14:textId="3DB8C3F5"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Eliot, L., Ahmed, A., Khan, H., &amp; Patel, J. (2021). Dump the “dimorphism”: Comprehensive synthesis of human brain studies reveals few male-female differences beyond size.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125</w:t>
      </w:r>
      <w:r w:rsidRPr="00CE44E4">
        <w:rPr>
          <w:rFonts w:ascii="Arial" w:hAnsi="Arial" w:cs="Arial"/>
          <w:lang w:val="en-US"/>
        </w:rPr>
        <w:t xml:space="preserve">, 667–697. </w:t>
      </w:r>
      <w:hyperlink r:id="rId10" w:history="1">
        <w:r w:rsidR="009333AA" w:rsidRPr="00C6456F">
          <w:rPr>
            <w:rStyle w:val="Hyperlink"/>
            <w:rFonts w:ascii="Arial" w:hAnsi="Arial" w:cs="Arial"/>
            <w:lang w:val="en-US"/>
          </w:rPr>
          <w:t>https://doi.org/10.1016/j.neubiorev.2021.02.026</w:t>
        </w:r>
      </w:hyperlink>
    </w:p>
    <w:p w14:paraId="7DDCD782" w14:textId="3CB40266" w:rsidR="009333AA" w:rsidRPr="00CE44E4" w:rsidRDefault="009333AA" w:rsidP="00CE44E4">
      <w:pPr>
        <w:pStyle w:val="StandardWeb"/>
        <w:spacing w:before="0" w:beforeAutospacing="0" w:after="0" w:afterAutospacing="0" w:line="480" w:lineRule="auto"/>
        <w:ind w:left="720" w:hanging="720"/>
        <w:rPr>
          <w:rFonts w:ascii="Arial" w:hAnsi="Arial" w:cs="Arial"/>
          <w:lang w:val="en-US"/>
        </w:rPr>
      </w:pPr>
      <w:bookmarkStart w:id="1" w:name="_Hlk115527234"/>
      <w:r w:rsidRPr="004C59D1">
        <w:rPr>
          <w:rFonts w:ascii="Arial" w:hAnsi="Arial" w:cs="Arial"/>
          <w:highlight w:val="yellow"/>
          <w:lang w:val="en-US"/>
        </w:rPr>
        <w:t>F</w:t>
      </w:r>
      <w:r w:rsidRPr="004C59D1">
        <w:rPr>
          <w:rFonts w:ascii="Arial" w:hAnsi="Arial" w:cs="Arial"/>
          <w:highlight w:val="yellow"/>
          <w:lang w:val="en-US"/>
        </w:rPr>
        <w:t>ee</w:t>
      </w:r>
      <w:r w:rsidRPr="004C59D1">
        <w:rPr>
          <w:rFonts w:ascii="Arial" w:hAnsi="Arial" w:cs="Arial"/>
          <w:highlight w:val="yellow"/>
          <w:lang w:val="en-US"/>
        </w:rPr>
        <w:t xml:space="preserve">, E. (1979). </w:t>
      </w:r>
      <w:r w:rsidRPr="004C59D1">
        <w:rPr>
          <w:rFonts w:ascii="Arial" w:hAnsi="Arial" w:cs="Arial"/>
          <w:highlight w:val="yellow"/>
          <w:lang w:val="en-US"/>
        </w:rPr>
        <w:t>Nineteenth-Century Craniology: The Study of the Female Skull</w:t>
      </w:r>
      <w:r w:rsidRPr="004C59D1">
        <w:rPr>
          <w:rFonts w:ascii="Arial" w:hAnsi="Arial" w:cs="Arial"/>
          <w:highlight w:val="yellow"/>
          <w:lang w:val="en-US"/>
        </w:rPr>
        <w:t>. Bulletin of the History of Medicine, 53(3), 415–433. http://www.jstor.org/stable/44450930</w:t>
      </w:r>
    </w:p>
    <w:bookmarkEnd w:id="1"/>
    <w:p w14:paraId="1CE2907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Filipek, P. A., Richelme, C., Kennedy, D. N., &amp; Caviness, V. S. (1994). The Young Adult Human Brain: An MRI-based Morphometric Analysis.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4</w:t>
      </w:r>
      <w:r w:rsidRPr="00CE44E4">
        <w:rPr>
          <w:rFonts w:ascii="Arial" w:hAnsi="Arial" w:cs="Arial"/>
          <w:lang w:val="en-US"/>
        </w:rPr>
        <w:t>(4), 344–360. https://doi.org/10.1093/cercor/4.4.344</w:t>
      </w:r>
    </w:p>
    <w:p w14:paraId="3ACBE26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Giedd, J. N., Snell, J. W., Lange, N., Rajapakse, J. C., Casey, B. J., Kozuch, P. L., . . . Rapoport, J. L. (1996). Quantitative Magnetic Resonance Imaging of Human Brain Development: Ages 4–18.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6</w:t>
      </w:r>
      <w:r w:rsidRPr="00CE44E4">
        <w:rPr>
          <w:rFonts w:ascii="Arial" w:hAnsi="Arial" w:cs="Arial"/>
          <w:lang w:val="en-US"/>
        </w:rPr>
        <w:t>(4), 551–559. https://doi.org/10.1093/cercor/6.4.551</w:t>
      </w:r>
    </w:p>
    <w:p w14:paraId="3AB9F28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sidRPr="00BE2FFC">
        <w:rPr>
          <w:rFonts w:ascii="Arial" w:hAnsi="Arial" w:cs="Arial"/>
          <w:lang w:val="en-US"/>
        </w:rPr>
        <w:t>Giedd</w:t>
      </w:r>
      <w:proofErr w:type="spellEnd"/>
      <w:r w:rsidRPr="00BE2FFC">
        <w:rPr>
          <w:rFonts w:ascii="Arial" w:hAnsi="Arial" w:cs="Arial"/>
          <w:lang w:val="en-US"/>
        </w:rPr>
        <w:t xml:space="preserve">, J. N., </w:t>
      </w:r>
      <w:proofErr w:type="spellStart"/>
      <w:r w:rsidRPr="00BE2FFC">
        <w:rPr>
          <w:rFonts w:ascii="Arial" w:hAnsi="Arial" w:cs="Arial"/>
          <w:lang w:val="en-US"/>
        </w:rPr>
        <w:t>Vaituzis</w:t>
      </w:r>
      <w:proofErr w:type="spellEnd"/>
      <w:r w:rsidRPr="00BE2FFC">
        <w:rPr>
          <w:rFonts w:ascii="Arial" w:hAnsi="Arial" w:cs="Arial"/>
          <w:lang w:val="en-US"/>
        </w:rPr>
        <w:t xml:space="preserve">, C., Hamburger, S., Lange, N., Rajapakse, J. C., </w:t>
      </w:r>
      <w:proofErr w:type="spellStart"/>
      <w:r w:rsidRPr="00BE2FFC">
        <w:rPr>
          <w:rFonts w:ascii="Arial" w:hAnsi="Arial" w:cs="Arial"/>
          <w:lang w:val="en-US"/>
        </w:rPr>
        <w:t>Kaysen</w:t>
      </w:r>
      <w:proofErr w:type="spellEnd"/>
      <w:r w:rsidRPr="00BE2FFC">
        <w:rPr>
          <w:rFonts w:ascii="Arial" w:hAnsi="Arial" w:cs="Arial"/>
          <w:lang w:val="en-US"/>
        </w:rPr>
        <w:t xml:space="preserve">, D., . . . </w:t>
      </w:r>
      <w:r w:rsidRPr="00CE44E4">
        <w:rPr>
          <w:rFonts w:ascii="Arial" w:hAnsi="Arial" w:cs="Arial"/>
          <w:lang w:val="en-US"/>
        </w:rPr>
        <w:t xml:space="preserve">Rapoport, J. L. (1996). Quantitative MRI of the Temporal Lobe, Amygdala, and Hippocampus in Normal Human Development: Ages 4-18 Years. </w:t>
      </w:r>
      <w:r w:rsidRPr="00CE44E4">
        <w:rPr>
          <w:rFonts w:ascii="Arial" w:hAnsi="Arial" w:cs="Arial"/>
          <w:i/>
          <w:iCs/>
          <w:lang w:val="en-US"/>
        </w:rPr>
        <w:t>The Journal of Comparative Neurology</w:t>
      </w:r>
      <w:r w:rsidRPr="00CE44E4">
        <w:rPr>
          <w:rFonts w:ascii="Arial" w:hAnsi="Arial" w:cs="Arial"/>
          <w:lang w:val="en-US"/>
        </w:rPr>
        <w:t xml:space="preserve">, </w:t>
      </w:r>
      <w:r w:rsidRPr="00CE44E4">
        <w:rPr>
          <w:rFonts w:ascii="Arial" w:hAnsi="Arial" w:cs="Arial"/>
          <w:i/>
          <w:iCs/>
          <w:lang w:val="en-US"/>
        </w:rPr>
        <w:t>366</w:t>
      </w:r>
      <w:r w:rsidRPr="00CE44E4">
        <w:rPr>
          <w:rFonts w:ascii="Arial" w:hAnsi="Arial" w:cs="Arial"/>
          <w:lang w:val="en-US"/>
        </w:rPr>
        <w:t>(2), 223–230. Retrieved from https://pubmed.ncbi.nlm.nih.gov/8698883/</w:t>
      </w:r>
    </w:p>
    <w:p w14:paraId="0A99B5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Goldstein, J. M. (2001). Normal Sexual Dimorphism of the Adult Human Brain Assessed by In Vivo Magnetic Resonance Imaging.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(6), 490–497. https://doi.org/10.1093/cercor/11.6.490</w:t>
      </w:r>
    </w:p>
    <w:p w14:paraId="45D014A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Gong, G., Rosa-Neto, P., Carbonell, F., Chen, Z. J., He, Y., &amp; Evans, A. C. (2009). Age- and Gender-Related Differences in the Cortical Anatomical Network.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29</w:t>
      </w:r>
      <w:r w:rsidRPr="00CE44E4">
        <w:rPr>
          <w:rFonts w:ascii="Arial" w:hAnsi="Arial" w:cs="Arial"/>
          <w:lang w:val="en-US"/>
        </w:rPr>
        <w:t>(50), 15684–15693. https://doi.org/10.1523/jneurosci.2308-09.2009</w:t>
      </w:r>
    </w:p>
    <w:p w14:paraId="5AB4BF9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Gotts, S. J., Jo, H. J., Wallace, G. L., Saad, Z. S., Cox, R. W., &amp; Martin, A. (2013). Two distinct forms of functional lateralization in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110</w:t>
      </w:r>
      <w:r w:rsidRPr="00CE44E4">
        <w:rPr>
          <w:rFonts w:ascii="Arial" w:hAnsi="Arial" w:cs="Arial"/>
          <w:lang w:val="en-US"/>
        </w:rPr>
        <w:t>(36). https://doi.org/10.1073/pnas.1302581110</w:t>
      </w:r>
    </w:p>
    <w:p w14:paraId="63266F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Grabowska, A. (2016). Sex on the brain: Are gender-dependent structural and functional differences associated with behavior?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(1–2), 200–212. https://doi.org/10.1002/jnr.23953</w:t>
      </w:r>
    </w:p>
    <w:p w14:paraId="5481063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Gur, R. C., Turetsky, B. I., Matsui, M., Yan, M., Bilker, W., Hughett, P., &amp; Gur, R. E. (1994). Sex Differences in Brain Gray and White Matter in Healthy Young Adults: Correlations with Cognitive Performance.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(10), 4065–4072. Retrieved from https://www.jneurosci.org/content/19/10/4065</w:t>
      </w:r>
    </w:p>
    <w:p w14:paraId="118F73F5" w14:textId="77777777" w:rsidR="004E073B" w:rsidRPr="004E073B" w:rsidRDefault="004E073B" w:rsidP="004E073B">
      <w:pPr>
        <w:pStyle w:val="StandardWeb"/>
        <w:spacing w:before="0" w:beforeAutospacing="0" w:after="0" w:afterAutospacing="0" w:line="480" w:lineRule="auto"/>
        <w:ind w:left="720" w:hanging="720"/>
        <w:rPr>
          <w:rFonts w:ascii="Arial" w:hAnsi="Arial" w:cs="Arial"/>
          <w:lang w:val="en-US"/>
        </w:rPr>
      </w:pPr>
      <w:r w:rsidRPr="004E073B">
        <w:rPr>
          <w:rFonts w:ascii="Arial" w:hAnsi="Arial" w:cs="Arial"/>
          <w:lang w:val="en-US"/>
        </w:rPr>
        <w:t xml:space="preserve">Hausmann, M. (2002). Functional cerebral asymmetries during the menstrual cycle: a cross-sectional and longitudinal analysis. </w:t>
      </w:r>
      <w:proofErr w:type="spellStart"/>
      <w:r w:rsidRPr="004E073B">
        <w:rPr>
          <w:rFonts w:ascii="Arial" w:hAnsi="Arial" w:cs="Arial"/>
          <w:i/>
          <w:iCs/>
          <w:lang w:val="en-US"/>
        </w:rPr>
        <w:t>Neuropsychologia</w:t>
      </w:r>
      <w:proofErr w:type="spellEnd"/>
      <w:r w:rsidRPr="004E073B">
        <w:rPr>
          <w:rFonts w:ascii="Arial" w:hAnsi="Arial" w:cs="Arial"/>
          <w:lang w:val="en-US"/>
        </w:rPr>
        <w:t xml:space="preserve">, </w:t>
      </w:r>
      <w:r w:rsidRPr="004E073B">
        <w:rPr>
          <w:rFonts w:ascii="Arial" w:hAnsi="Arial" w:cs="Arial"/>
          <w:i/>
          <w:iCs/>
          <w:lang w:val="en-US"/>
        </w:rPr>
        <w:t>40</w:t>
      </w:r>
      <w:r w:rsidRPr="004E073B">
        <w:rPr>
          <w:rFonts w:ascii="Arial" w:hAnsi="Arial" w:cs="Arial"/>
          <w:lang w:val="en-US"/>
        </w:rPr>
        <w:t>(7), 808–816. https://doi.org/10.1016/s0028-3932(01)00179-8</w:t>
      </w:r>
    </w:p>
    <w:p w14:paraId="4997FCC4" w14:textId="592690D5" w:rsidR="004E073B" w:rsidRPr="004E073B" w:rsidRDefault="004E073B" w:rsidP="004E073B">
      <w:pPr>
        <w:pStyle w:val="StandardWeb"/>
        <w:spacing w:before="0" w:beforeAutospacing="0" w:after="0" w:afterAutospacing="0" w:line="480" w:lineRule="auto"/>
        <w:ind w:left="720" w:hanging="720"/>
        <w:rPr>
          <w:rFonts w:ascii="Arial" w:hAnsi="Arial" w:cs="Arial"/>
        </w:rPr>
      </w:pPr>
      <w:r w:rsidRPr="004E073B">
        <w:rPr>
          <w:rFonts w:ascii="Arial" w:hAnsi="Arial" w:cs="Arial"/>
          <w:lang w:val="en-US"/>
        </w:rPr>
        <w:t xml:space="preserve">Hausmann, M. (2005). Hemispheric asymmetry in spatial attention across the menstrual cycle. </w:t>
      </w:r>
      <w:proofErr w:type="spellStart"/>
      <w:r>
        <w:rPr>
          <w:rFonts w:ascii="Arial" w:hAnsi="Arial" w:cs="Arial"/>
          <w:i/>
          <w:iCs/>
        </w:rPr>
        <w:t>Neuropsychologia</w:t>
      </w:r>
      <w:proofErr w:type="spellEnd"/>
      <w:r>
        <w:rPr>
          <w:rFonts w:ascii="Arial" w:hAnsi="Arial" w:cs="Arial"/>
        </w:rPr>
        <w:t xml:space="preserve">, </w:t>
      </w:r>
      <w:r>
        <w:rPr>
          <w:rFonts w:ascii="Arial" w:hAnsi="Arial" w:cs="Arial"/>
          <w:i/>
          <w:iCs/>
        </w:rPr>
        <w:t>43</w:t>
      </w:r>
      <w:r>
        <w:rPr>
          <w:rFonts w:ascii="Arial" w:hAnsi="Arial" w:cs="Arial"/>
        </w:rPr>
        <w:t>(11), 1559–1567. https://doi.org/10.1016/j.neuropsychologia.2005.01.017</w:t>
      </w:r>
    </w:p>
    <w:p w14:paraId="74D88103" w14:textId="3DD76906"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Hausmann, M. (2016). Why sex hormones matter for neuroscience: A very short review on sex, sex hormones, and functional brain asymmetries.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 xml:space="preserve">(1–2), 40–49. </w:t>
      </w:r>
      <w:hyperlink r:id="rId11" w:history="1">
        <w:r w:rsidR="004E073B" w:rsidRPr="00C6456F">
          <w:rPr>
            <w:rStyle w:val="Hyperlink"/>
            <w:rFonts w:ascii="Arial" w:hAnsi="Arial" w:cs="Arial"/>
            <w:lang w:val="en-US"/>
          </w:rPr>
          <w:t>https://doi.org/10.1002/jnr.23857</w:t>
        </w:r>
      </w:hyperlink>
    </w:p>
    <w:p w14:paraId="122EDA07" w14:textId="77777777" w:rsidR="004E073B" w:rsidRDefault="004E073B" w:rsidP="004E073B">
      <w:pPr>
        <w:pStyle w:val="StandardWeb"/>
        <w:spacing w:before="0" w:beforeAutospacing="0" w:after="0" w:afterAutospacing="0" w:line="480" w:lineRule="auto"/>
        <w:ind w:left="720" w:hanging="720"/>
        <w:rPr>
          <w:rFonts w:ascii="Arial" w:hAnsi="Arial" w:cs="Arial"/>
        </w:rPr>
      </w:pPr>
      <w:r w:rsidRPr="004E073B">
        <w:rPr>
          <w:rFonts w:ascii="Arial" w:hAnsi="Arial" w:cs="Arial"/>
          <w:lang w:val="en-US"/>
        </w:rPr>
        <w:t xml:space="preserve">Hausmann, M., &amp; </w:t>
      </w:r>
      <w:proofErr w:type="spellStart"/>
      <w:r w:rsidRPr="004E073B">
        <w:rPr>
          <w:rFonts w:ascii="Arial" w:hAnsi="Arial" w:cs="Arial"/>
          <w:lang w:val="en-US"/>
        </w:rPr>
        <w:t>Güntürkün</w:t>
      </w:r>
      <w:proofErr w:type="spellEnd"/>
      <w:r w:rsidRPr="004E073B">
        <w:rPr>
          <w:rFonts w:ascii="Arial" w:hAnsi="Arial" w:cs="Arial"/>
          <w:lang w:val="en-US"/>
        </w:rPr>
        <w:t xml:space="preserve">, O. (2000). Steroid fluctuations modify functional cerebral asymmetries: the hypothesis of progesterone-mediated interhemispheric decoupling. </w:t>
      </w:r>
      <w:proofErr w:type="spellStart"/>
      <w:r>
        <w:rPr>
          <w:rFonts w:ascii="Arial" w:hAnsi="Arial" w:cs="Arial"/>
          <w:i/>
          <w:iCs/>
        </w:rPr>
        <w:t>Neuropsychologia</w:t>
      </w:r>
      <w:proofErr w:type="spellEnd"/>
      <w:r>
        <w:rPr>
          <w:rFonts w:ascii="Arial" w:hAnsi="Arial" w:cs="Arial"/>
        </w:rPr>
        <w:t xml:space="preserve">, </w:t>
      </w:r>
      <w:r>
        <w:rPr>
          <w:rFonts w:ascii="Arial" w:hAnsi="Arial" w:cs="Arial"/>
          <w:i/>
          <w:iCs/>
        </w:rPr>
        <w:t>38</w:t>
      </w:r>
      <w:r>
        <w:rPr>
          <w:rFonts w:ascii="Arial" w:hAnsi="Arial" w:cs="Arial"/>
        </w:rPr>
        <w:t>(10), 1362–1374. https://doi.org/10.1016/s0028-3932(00)00045-2</w:t>
      </w:r>
    </w:p>
    <w:p w14:paraId="0B2A491C" w14:textId="77777777" w:rsidR="004E073B" w:rsidRPr="00CE44E4" w:rsidRDefault="004E073B" w:rsidP="004E073B">
      <w:pPr>
        <w:pStyle w:val="StandardWeb"/>
        <w:spacing w:before="0" w:beforeAutospacing="0" w:after="0" w:afterAutospacing="0" w:line="480" w:lineRule="auto"/>
        <w:rPr>
          <w:rFonts w:ascii="Arial" w:hAnsi="Arial" w:cs="Arial"/>
          <w:lang w:val="en-US"/>
        </w:rPr>
      </w:pPr>
    </w:p>
    <w:p w14:paraId="3E282E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t>
      </w:r>
      <w:proofErr w:type="spellStart"/>
      <w:r>
        <w:rPr>
          <w:rFonts w:ascii="Arial" w:hAnsi="Arial" w:cs="Arial"/>
        </w:rPr>
        <w:t>Hugdahl</w:t>
      </w:r>
      <w:proofErr w:type="spellEnd"/>
      <w:r>
        <w:rPr>
          <w:rFonts w:ascii="Arial" w:hAnsi="Arial" w:cs="Arial"/>
        </w:rPr>
        <w:t xml:space="preserve">, K., &amp; Hausmann, M. (2018). </w:t>
      </w:r>
      <w:r w:rsidRPr="00CE44E4">
        <w:rPr>
          <w:rFonts w:ascii="Arial" w:hAnsi="Arial" w:cs="Arial"/>
          <w:lang w:val="en-US"/>
        </w:rPr>
        <w:t xml:space="preserve">Cognitive sex differences and hemispheric asymmetry: A critical review of 40 years of research. </w:t>
      </w:r>
      <w:r w:rsidRPr="00CE44E4">
        <w:rPr>
          <w:rFonts w:ascii="Arial" w:hAnsi="Arial" w:cs="Arial"/>
          <w:i/>
          <w:iCs/>
          <w:lang w:val="en-US"/>
        </w:rPr>
        <w:t>Laterality: Asymmetries of Body, Brain and Cognition</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(2), 204–252. https://doi.org/10.1080/1357650x.2018.1497044</w:t>
      </w:r>
    </w:p>
    <w:p w14:paraId="268828E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Westerhausen, R., </w:t>
      </w:r>
      <w:proofErr w:type="spellStart"/>
      <w:r>
        <w:rPr>
          <w:rFonts w:ascii="Arial" w:hAnsi="Arial" w:cs="Arial"/>
        </w:rPr>
        <w:t>Korsnes</w:t>
      </w:r>
      <w:proofErr w:type="spellEnd"/>
      <w:r>
        <w:rPr>
          <w:rFonts w:ascii="Arial" w:hAnsi="Arial" w:cs="Arial"/>
        </w:rPr>
        <w:t xml:space="preserve">, M. S., &amp; </w:t>
      </w:r>
      <w:proofErr w:type="spellStart"/>
      <w:r>
        <w:rPr>
          <w:rFonts w:ascii="Arial" w:hAnsi="Arial" w:cs="Arial"/>
        </w:rPr>
        <w:t>Hugdahl</w:t>
      </w:r>
      <w:proofErr w:type="spellEnd"/>
      <w:r>
        <w:rPr>
          <w:rFonts w:ascii="Arial" w:hAnsi="Arial" w:cs="Arial"/>
        </w:rPr>
        <w:t xml:space="preserve">, K. (2013). </w:t>
      </w:r>
      <w:r w:rsidRPr="00CE44E4">
        <w:rPr>
          <w:rFonts w:ascii="Arial" w:hAnsi="Arial" w:cs="Arial"/>
          <w:lang w:val="en-US"/>
        </w:rPr>
        <w:t xml:space="preserve">Sex differences in language asymmetry are age-dependent and small: A large-scale, consonant–vowel dichotic listening study with behavioral and fMRI data. </w:t>
      </w:r>
      <w:r w:rsidRPr="00CE44E4">
        <w:rPr>
          <w:rFonts w:ascii="Arial" w:hAnsi="Arial" w:cs="Arial"/>
          <w:i/>
          <w:iCs/>
          <w:lang w:val="en-US"/>
        </w:rPr>
        <w:t>Cortex</w:t>
      </w:r>
      <w:r w:rsidRPr="00CE44E4">
        <w:rPr>
          <w:rFonts w:ascii="Arial" w:hAnsi="Arial" w:cs="Arial"/>
          <w:lang w:val="en-US"/>
        </w:rPr>
        <w:t xml:space="preserve">, </w:t>
      </w:r>
      <w:r w:rsidRPr="00CE44E4">
        <w:rPr>
          <w:rFonts w:ascii="Arial" w:hAnsi="Arial" w:cs="Arial"/>
          <w:i/>
          <w:iCs/>
          <w:lang w:val="en-US"/>
        </w:rPr>
        <w:t>49</w:t>
      </w:r>
      <w:r w:rsidRPr="00CE44E4">
        <w:rPr>
          <w:rFonts w:ascii="Arial" w:hAnsi="Arial" w:cs="Arial"/>
          <w:lang w:val="en-US"/>
        </w:rPr>
        <w:t>(7), 1910–1921. https://doi.org/10.1016/j.cortex.2012.08.002</w:t>
      </w:r>
    </w:p>
    <w:p w14:paraId="50956AA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Inch, R., Hawryluk, J., Lyon, P. J., &amp; Perachio, N. (1999). Is There a Sex Difference in Human Laterality? III. An Exhaustive Survey of Tactile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(1), 17–28. https://doi.org/10.1076/jcen.21.1.17.944</w:t>
      </w:r>
    </w:p>
    <w:p w14:paraId="0F29488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Israelian, M., Inch, R., Jacek, C., &amp; Hiscock-kalil, C. (1995). Is there a sex difference in human laterality? II. An exhaustive survey of visual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(4), 590–610. https://doi.org/10.1080/01688639508405148</w:t>
      </w:r>
    </w:p>
    <w:p w14:paraId="3DCF73C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Perachio, N., &amp; Inch, R. (2001). Is There a Sex Difference in Human Laterality? IV. An Exhaustive Survey of Dual-Task Interference Studies </w:t>
      </w:r>
      <w:proofErr w:type="gramStart"/>
      <w:r w:rsidRPr="00CE44E4">
        <w:rPr>
          <w:rFonts w:ascii="Arial" w:hAnsi="Arial" w:cs="Arial"/>
          <w:lang w:val="en-US"/>
        </w:rPr>
        <w:t>From</w:t>
      </w:r>
      <w:proofErr w:type="gramEnd"/>
      <w:r w:rsidRPr="00CE44E4">
        <w:rPr>
          <w:rFonts w:ascii="Arial" w:hAnsi="Arial" w:cs="Arial"/>
          <w:lang w:val="en-US"/>
        </w:rPr>
        <w:t xml:space="preserve">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(2), 137–148. https://doi.org/10.1076/jcen.23.2.137.1206</w:t>
      </w:r>
    </w:p>
    <w:p w14:paraId="5A9956E2"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Hyde, J. S. (2005). The gender similarities hypothesis.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60</w:t>
      </w:r>
      <w:r>
        <w:rPr>
          <w:rFonts w:ascii="Arial" w:hAnsi="Arial" w:cs="Arial"/>
        </w:rPr>
        <w:t>(6), 581–592. https://doi.org/10.1037/0003-066x.60.6.581</w:t>
      </w:r>
    </w:p>
    <w:p w14:paraId="47A701C7" w14:textId="54FBA675"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Hyde, J. S. (2014). Gender Similarities and Differences. </w:t>
      </w:r>
      <w:r w:rsidRPr="00CE44E4">
        <w:rPr>
          <w:rFonts w:ascii="Arial" w:hAnsi="Arial" w:cs="Arial"/>
          <w:i/>
          <w:iCs/>
          <w:lang w:val="en-US"/>
        </w:rPr>
        <w:t>Annual Review of Psychology</w:t>
      </w:r>
      <w:r w:rsidRPr="00CE44E4">
        <w:rPr>
          <w:rFonts w:ascii="Arial" w:hAnsi="Arial" w:cs="Arial"/>
          <w:lang w:val="en-US"/>
        </w:rPr>
        <w:t xml:space="preserve">, </w:t>
      </w:r>
      <w:r w:rsidRPr="00CE44E4">
        <w:rPr>
          <w:rFonts w:ascii="Arial" w:hAnsi="Arial" w:cs="Arial"/>
          <w:i/>
          <w:iCs/>
          <w:lang w:val="en-US"/>
        </w:rPr>
        <w:t>65</w:t>
      </w:r>
      <w:r w:rsidRPr="00CE44E4">
        <w:rPr>
          <w:rFonts w:ascii="Arial" w:hAnsi="Arial" w:cs="Arial"/>
          <w:lang w:val="en-US"/>
        </w:rPr>
        <w:t xml:space="preserve">(1), 373–398. </w:t>
      </w:r>
      <w:hyperlink r:id="rId12" w:history="1">
        <w:r w:rsidR="004E073B" w:rsidRPr="00C6456F">
          <w:rPr>
            <w:rStyle w:val="Hyperlink"/>
            <w:rFonts w:ascii="Arial" w:hAnsi="Arial" w:cs="Arial"/>
            <w:lang w:val="en-US"/>
          </w:rPr>
          <w:t>https://doi.org/10.1146/annurev-psych-010213-115057</w:t>
        </w:r>
      </w:hyperlink>
    </w:p>
    <w:p w14:paraId="228C85F0" w14:textId="3C2939F1" w:rsidR="004E073B" w:rsidRPr="004E073B" w:rsidRDefault="004E073B" w:rsidP="004E073B">
      <w:pPr>
        <w:pStyle w:val="StandardWeb"/>
        <w:spacing w:before="0" w:beforeAutospacing="0" w:after="0" w:afterAutospacing="0" w:line="480" w:lineRule="auto"/>
        <w:ind w:left="720" w:hanging="720"/>
        <w:rPr>
          <w:rFonts w:ascii="Arial" w:hAnsi="Arial" w:cs="Arial"/>
        </w:rPr>
      </w:pPr>
      <w:r w:rsidRPr="004E073B">
        <w:rPr>
          <w:rFonts w:ascii="Arial" w:hAnsi="Arial" w:cs="Arial"/>
          <w:lang w:val="en-US"/>
        </w:rPr>
        <w:t xml:space="preserve">Hyde, J. S. (2016). Sex and cognition: gender and cognitive functions. </w:t>
      </w:r>
      <w:proofErr w:type="spellStart"/>
      <w:r>
        <w:rPr>
          <w:rFonts w:ascii="Arial" w:hAnsi="Arial" w:cs="Arial"/>
          <w:i/>
          <w:iCs/>
        </w:rPr>
        <w:t>Current</w:t>
      </w:r>
      <w:proofErr w:type="spellEnd"/>
      <w:r>
        <w:rPr>
          <w:rFonts w:ascii="Arial" w:hAnsi="Arial" w:cs="Arial"/>
          <w:i/>
          <w:iCs/>
        </w:rPr>
        <w:t xml:space="preserve"> Opinion in </w:t>
      </w:r>
      <w:proofErr w:type="spellStart"/>
      <w:r>
        <w:rPr>
          <w:rFonts w:ascii="Arial" w:hAnsi="Arial" w:cs="Arial"/>
          <w:i/>
          <w:iCs/>
        </w:rPr>
        <w:t>Neurobiology</w:t>
      </w:r>
      <w:proofErr w:type="spellEnd"/>
      <w:r>
        <w:rPr>
          <w:rFonts w:ascii="Arial" w:hAnsi="Arial" w:cs="Arial"/>
        </w:rPr>
        <w:t xml:space="preserve">, </w:t>
      </w:r>
      <w:r>
        <w:rPr>
          <w:rFonts w:ascii="Arial" w:hAnsi="Arial" w:cs="Arial"/>
          <w:i/>
          <w:iCs/>
        </w:rPr>
        <w:t>38</w:t>
      </w:r>
      <w:r>
        <w:rPr>
          <w:rFonts w:ascii="Arial" w:hAnsi="Arial" w:cs="Arial"/>
        </w:rPr>
        <w:t>, 53–56. https://doi.org/10.1016/j.conb.2016.02.007</w:t>
      </w:r>
    </w:p>
    <w:p w14:paraId="6CFC1BC9" w14:textId="2F5FA3B5" w:rsidR="00CE44E4" w:rsidRPr="004E073B" w:rsidRDefault="00CE44E4" w:rsidP="00CE44E4">
      <w:pPr>
        <w:pStyle w:val="StandardWeb"/>
        <w:spacing w:before="0" w:beforeAutospacing="0" w:after="0" w:afterAutospacing="0" w:line="480" w:lineRule="auto"/>
        <w:ind w:left="720" w:hanging="720"/>
        <w:rPr>
          <w:rFonts w:ascii="Arial" w:hAnsi="Arial" w:cs="Arial"/>
        </w:rPr>
      </w:pPr>
      <w:proofErr w:type="spellStart"/>
      <w:r>
        <w:rPr>
          <w:rFonts w:ascii="Arial" w:hAnsi="Arial" w:cs="Arial"/>
        </w:rPr>
        <w:t>Ingalhalikar</w:t>
      </w:r>
      <w:proofErr w:type="spellEnd"/>
      <w:r>
        <w:rPr>
          <w:rFonts w:ascii="Arial" w:hAnsi="Arial" w:cs="Arial"/>
        </w:rPr>
        <w:t xml:space="preserve">, M., Smith, A., Parker, D., </w:t>
      </w:r>
      <w:proofErr w:type="spellStart"/>
      <w:r>
        <w:rPr>
          <w:rFonts w:ascii="Arial" w:hAnsi="Arial" w:cs="Arial"/>
        </w:rPr>
        <w:t>Satterthwaite</w:t>
      </w:r>
      <w:proofErr w:type="spellEnd"/>
      <w:r>
        <w:rPr>
          <w:rFonts w:ascii="Arial" w:hAnsi="Arial" w:cs="Arial"/>
        </w:rPr>
        <w:t xml:space="preserve">, T. D., Elliott, M. A., </w:t>
      </w:r>
      <w:proofErr w:type="spellStart"/>
      <w:r>
        <w:rPr>
          <w:rFonts w:ascii="Arial" w:hAnsi="Arial" w:cs="Arial"/>
        </w:rPr>
        <w:t>Ruparel</w:t>
      </w:r>
      <w:proofErr w:type="spellEnd"/>
      <w:r>
        <w:rPr>
          <w:rFonts w:ascii="Arial" w:hAnsi="Arial" w:cs="Arial"/>
        </w:rPr>
        <w:t xml:space="preserve">, K., . . . </w:t>
      </w:r>
      <w:proofErr w:type="spellStart"/>
      <w:r>
        <w:rPr>
          <w:rFonts w:ascii="Arial" w:hAnsi="Arial" w:cs="Arial"/>
        </w:rPr>
        <w:t>Verma</w:t>
      </w:r>
      <w:proofErr w:type="spellEnd"/>
      <w:r>
        <w:rPr>
          <w:rFonts w:ascii="Arial" w:hAnsi="Arial" w:cs="Arial"/>
        </w:rPr>
        <w:t xml:space="preserve">, R. (2013). </w:t>
      </w:r>
      <w:r w:rsidRPr="00CE44E4">
        <w:rPr>
          <w:rFonts w:ascii="Arial" w:hAnsi="Arial" w:cs="Arial"/>
          <w:lang w:val="en-US"/>
        </w:rPr>
        <w:t xml:space="preserve">Sex differences in the structural connectome of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111</w:t>
      </w:r>
      <w:r w:rsidRPr="00CE44E4">
        <w:rPr>
          <w:rFonts w:ascii="Arial" w:hAnsi="Arial" w:cs="Arial"/>
          <w:lang w:val="en-US"/>
        </w:rPr>
        <w:t xml:space="preserve">(2), 823–828. </w:t>
      </w:r>
      <w:hyperlink r:id="rId13" w:history="1">
        <w:r w:rsidR="004E073B" w:rsidRPr="004E073B">
          <w:rPr>
            <w:rStyle w:val="Hyperlink"/>
            <w:rFonts w:ascii="Arial" w:hAnsi="Arial" w:cs="Arial"/>
          </w:rPr>
          <w:t>https://doi.org/10.1073/pnas.1316909110</w:t>
        </w:r>
      </w:hyperlink>
    </w:p>
    <w:p w14:paraId="7460FA38" w14:textId="7B3D30EE" w:rsidR="004E073B" w:rsidRPr="004E073B" w:rsidRDefault="004E073B" w:rsidP="004E073B">
      <w:pPr>
        <w:pStyle w:val="StandardWeb"/>
        <w:spacing w:before="0" w:beforeAutospacing="0" w:after="0" w:afterAutospacing="0" w:line="480" w:lineRule="auto"/>
        <w:ind w:left="720" w:hanging="720"/>
        <w:rPr>
          <w:rFonts w:ascii="Arial" w:hAnsi="Arial" w:cs="Arial"/>
        </w:rPr>
      </w:pPr>
      <w:r>
        <w:rPr>
          <w:rFonts w:ascii="Arial" w:hAnsi="Arial" w:cs="Arial"/>
        </w:rPr>
        <w:t xml:space="preserve">Jäncke, L., </w:t>
      </w:r>
      <w:proofErr w:type="spellStart"/>
      <w:r>
        <w:rPr>
          <w:rFonts w:ascii="Arial" w:hAnsi="Arial" w:cs="Arial"/>
        </w:rPr>
        <w:t>Mérillat</w:t>
      </w:r>
      <w:proofErr w:type="spellEnd"/>
      <w:r>
        <w:rPr>
          <w:rFonts w:ascii="Arial" w:hAnsi="Arial" w:cs="Arial"/>
        </w:rPr>
        <w:t xml:space="preserve">, S., Liem, F., &amp; Hänggi, J. (2014). </w:t>
      </w:r>
      <w:r w:rsidRPr="004E073B">
        <w:rPr>
          <w:rFonts w:ascii="Arial" w:hAnsi="Arial" w:cs="Arial"/>
          <w:lang w:val="en-US"/>
        </w:rPr>
        <w:t xml:space="preserve">Brain size, sex, and the aging brain. </w:t>
      </w:r>
      <w:r>
        <w:rPr>
          <w:rFonts w:ascii="Arial" w:hAnsi="Arial" w:cs="Arial"/>
          <w:i/>
          <w:iCs/>
        </w:rPr>
        <w:t xml:space="preserve">Human </w:t>
      </w:r>
      <w:proofErr w:type="gramStart"/>
      <w:r>
        <w:rPr>
          <w:rFonts w:ascii="Arial" w:hAnsi="Arial" w:cs="Arial"/>
          <w:i/>
          <w:iCs/>
        </w:rPr>
        <w:t>Brain Mapping</w:t>
      </w:r>
      <w:proofErr w:type="gramEnd"/>
      <w:r>
        <w:rPr>
          <w:rFonts w:ascii="Arial" w:hAnsi="Arial" w:cs="Arial"/>
        </w:rPr>
        <w:t xml:space="preserve">, </w:t>
      </w:r>
      <w:r>
        <w:rPr>
          <w:rFonts w:ascii="Arial" w:hAnsi="Arial" w:cs="Arial"/>
          <w:i/>
          <w:iCs/>
        </w:rPr>
        <w:t>36</w:t>
      </w:r>
      <w:r>
        <w:rPr>
          <w:rFonts w:ascii="Arial" w:hAnsi="Arial" w:cs="Arial"/>
        </w:rPr>
        <w:t>(1), 150–169. https://doi.org/10.1002/hbm.22619</w:t>
      </w:r>
    </w:p>
    <w:p w14:paraId="1EC2EED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Kanaan, R. A., Allin, M., Picchioni, M., Barker, G. J., Daly, E., Shergill, S. S., . . . McGuire, P. K. (2012). Gender Differences in White Matter Microstructure. </w:t>
      </w:r>
      <w:r w:rsidRPr="00CE44E4">
        <w:rPr>
          <w:rFonts w:ascii="Arial" w:hAnsi="Arial" w:cs="Arial"/>
          <w:i/>
          <w:iCs/>
          <w:lang w:val="en-US"/>
        </w:rPr>
        <w:t>PLoS ONE</w:t>
      </w:r>
      <w:r w:rsidRPr="00CE44E4">
        <w:rPr>
          <w:rFonts w:ascii="Arial" w:hAnsi="Arial" w:cs="Arial"/>
          <w:lang w:val="en-US"/>
        </w:rPr>
        <w:t xml:space="preserve">, </w:t>
      </w:r>
      <w:r w:rsidRPr="00CE44E4">
        <w:rPr>
          <w:rFonts w:ascii="Arial" w:hAnsi="Arial" w:cs="Arial"/>
          <w:i/>
          <w:iCs/>
          <w:lang w:val="en-US"/>
        </w:rPr>
        <w:t>7</w:t>
      </w:r>
      <w:r w:rsidRPr="00CE44E4">
        <w:rPr>
          <w:rFonts w:ascii="Arial" w:hAnsi="Arial" w:cs="Arial"/>
          <w:lang w:val="en-US"/>
        </w:rPr>
        <w:t>(6), e38272. https://doi.org/10.1371/journal.pone.0038272</w:t>
      </w:r>
    </w:p>
    <w:p w14:paraId="327EDB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Kimura, D., &amp; Hampson, E. (1994). Cognitive Pattern in Men and Women Is Influenced by Fluctuations in Sex Hormones. </w:t>
      </w:r>
      <w:r w:rsidRPr="00CE44E4">
        <w:rPr>
          <w:rFonts w:ascii="Arial" w:hAnsi="Arial" w:cs="Arial"/>
          <w:i/>
          <w:iCs/>
          <w:lang w:val="en-US"/>
        </w:rPr>
        <w:t>Current Directions in Psychological Science</w:t>
      </w:r>
      <w:r w:rsidRPr="00CE44E4">
        <w:rPr>
          <w:rFonts w:ascii="Arial" w:hAnsi="Arial" w:cs="Arial"/>
          <w:lang w:val="en-US"/>
        </w:rPr>
        <w:t xml:space="preserve">, </w:t>
      </w:r>
      <w:r w:rsidRPr="00CE44E4">
        <w:rPr>
          <w:rFonts w:ascii="Arial" w:hAnsi="Arial" w:cs="Arial"/>
          <w:i/>
          <w:iCs/>
          <w:lang w:val="en-US"/>
        </w:rPr>
        <w:t>3</w:t>
      </w:r>
      <w:r w:rsidRPr="00CE44E4">
        <w:rPr>
          <w:rFonts w:ascii="Arial" w:hAnsi="Arial" w:cs="Arial"/>
          <w:lang w:val="en-US"/>
        </w:rPr>
        <w:t>(2), 57–61. https://doi.org/10.1111/1467-8721.ep10769964</w:t>
      </w:r>
    </w:p>
    <w:p w14:paraId="47BC563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Kovalev, V. A., Kruggel, F., &amp; von Cramon, D. (2003). Gender and age effects in structural brain asymmetry as measured by MRI texture analysis.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(3), 895–905. https://doi.org/10.1016/s1053-8119(03)00140-x</w:t>
      </w:r>
    </w:p>
    <w:p w14:paraId="1F44C56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Leonard, C. M., Towler, S., Welcome, S., Halderman, L. K., Otto, R., Eckert, M. A., &amp; Chiarello, C. (2008). Size Matters: Cerebral Volume Influences Sex Differences in Neuroanatomy.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18</w:t>
      </w:r>
      <w:r w:rsidRPr="00CE44E4">
        <w:rPr>
          <w:rFonts w:ascii="Arial" w:hAnsi="Arial" w:cs="Arial"/>
          <w:lang w:val="en-US"/>
        </w:rPr>
        <w:t>(12), 2920–2931. https://doi.org/10.1093/cercor/bhn052</w:t>
      </w:r>
    </w:p>
    <w:p w14:paraId="2C554A65" w14:textId="758B0C80" w:rsid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Liu, H., </w:t>
      </w:r>
      <w:proofErr w:type="spellStart"/>
      <w:r>
        <w:rPr>
          <w:rFonts w:ascii="Arial" w:hAnsi="Arial" w:cs="Arial"/>
        </w:rPr>
        <w:t>Stufflebeam</w:t>
      </w:r>
      <w:proofErr w:type="spellEnd"/>
      <w:r>
        <w:rPr>
          <w:rFonts w:ascii="Arial" w:hAnsi="Arial" w:cs="Arial"/>
        </w:rPr>
        <w:t xml:space="preserve">, S. M., </w:t>
      </w:r>
      <w:proofErr w:type="spellStart"/>
      <w:r>
        <w:rPr>
          <w:rFonts w:ascii="Arial" w:hAnsi="Arial" w:cs="Arial"/>
        </w:rPr>
        <w:t>Sepulcre</w:t>
      </w:r>
      <w:proofErr w:type="spellEnd"/>
      <w:r>
        <w:rPr>
          <w:rFonts w:ascii="Arial" w:hAnsi="Arial" w:cs="Arial"/>
        </w:rPr>
        <w:t xml:space="preserve">, J., </w:t>
      </w:r>
      <w:proofErr w:type="spellStart"/>
      <w:r>
        <w:rPr>
          <w:rFonts w:ascii="Arial" w:hAnsi="Arial" w:cs="Arial"/>
        </w:rPr>
        <w:t>Hedden</w:t>
      </w:r>
      <w:proofErr w:type="spellEnd"/>
      <w:r>
        <w:rPr>
          <w:rFonts w:ascii="Arial" w:hAnsi="Arial" w:cs="Arial"/>
        </w:rPr>
        <w:t xml:space="preserve">, T., &amp; Buckner, R. L. (2009). </w:t>
      </w:r>
      <w:r w:rsidRPr="00CE44E4">
        <w:rPr>
          <w:rFonts w:ascii="Arial" w:hAnsi="Arial" w:cs="Arial"/>
          <w:lang w:val="en-US"/>
        </w:rPr>
        <w:t xml:space="preserve">Evidence from intrinsic activity that asymmetry of the human brain is controlled by multiple factors.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106</w:t>
      </w:r>
      <w:r w:rsidRPr="00CE44E4">
        <w:rPr>
          <w:rFonts w:ascii="Arial" w:hAnsi="Arial" w:cs="Arial"/>
          <w:lang w:val="en-US"/>
        </w:rPr>
        <w:t xml:space="preserve">(48), 20499–20503. </w:t>
      </w:r>
      <w:hyperlink r:id="rId14" w:history="1">
        <w:r w:rsidR="009333AA" w:rsidRPr="00C6456F">
          <w:rPr>
            <w:rStyle w:val="Hyperlink"/>
            <w:rFonts w:ascii="Arial" w:hAnsi="Arial" w:cs="Arial"/>
            <w:lang w:val="en-US"/>
          </w:rPr>
          <w:t>https://doi.org/10.1073/pnas.0908073106</w:t>
        </w:r>
      </w:hyperlink>
    </w:p>
    <w:p w14:paraId="27CDB9B8" w14:textId="77777777" w:rsidR="00702A15" w:rsidRPr="00702A15" w:rsidRDefault="00702A15" w:rsidP="00702A15">
      <w:pPr>
        <w:pStyle w:val="StandardWeb"/>
        <w:spacing w:before="0" w:beforeAutospacing="0" w:after="0" w:afterAutospacing="0" w:line="480" w:lineRule="auto"/>
        <w:ind w:left="720" w:hanging="720"/>
        <w:rPr>
          <w:rFonts w:ascii="Arial" w:hAnsi="Arial" w:cs="Arial"/>
          <w:lang w:val="en-US"/>
        </w:rPr>
      </w:pPr>
      <w:r w:rsidRPr="00702A15">
        <w:rPr>
          <w:rFonts w:ascii="Arial" w:hAnsi="Arial" w:cs="Arial"/>
          <w:lang w:val="en-US"/>
        </w:rPr>
        <w:t xml:space="preserve">Mead, L. A., &amp; Hampson, E. (1997). Turning Bias in Humans Is Influenced by Phase of the Menstrual Cycle. </w:t>
      </w:r>
      <w:r w:rsidRPr="00702A15">
        <w:rPr>
          <w:rFonts w:ascii="Arial" w:hAnsi="Arial" w:cs="Arial"/>
          <w:i/>
          <w:iCs/>
          <w:lang w:val="en-US"/>
        </w:rPr>
        <w:t>Hormones and Behavior</w:t>
      </w:r>
      <w:r w:rsidRPr="00702A15">
        <w:rPr>
          <w:rFonts w:ascii="Arial" w:hAnsi="Arial" w:cs="Arial"/>
          <w:lang w:val="en-US"/>
        </w:rPr>
        <w:t xml:space="preserve">, </w:t>
      </w:r>
      <w:r w:rsidRPr="00702A15">
        <w:rPr>
          <w:rFonts w:ascii="Arial" w:hAnsi="Arial" w:cs="Arial"/>
          <w:i/>
          <w:iCs/>
          <w:lang w:val="en-US"/>
        </w:rPr>
        <w:t>31</w:t>
      </w:r>
      <w:r w:rsidRPr="00702A15">
        <w:rPr>
          <w:rFonts w:ascii="Arial" w:hAnsi="Arial" w:cs="Arial"/>
          <w:lang w:val="en-US"/>
        </w:rPr>
        <w:t>(1), 65–74. https://doi.org/10.1006/hbeh.1997.1363</w:t>
      </w:r>
    </w:p>
    <w:p w14:paraId="1A5A9A31" w14:textId="77777777" w:rsidR="00702A15" w:rsidRDefault="00702A15" w:rsidP="00702A15">
      <w:pPr>
        <w:pStyle w:val="StandardWeb"/>
        <w:spacing w:before="0" w:beforeAutospacing="0" w:after="0" w:afterAutospacing="0" w:line="480" w:lineRule="auto"/>
        <w:ind w:left="720" w:hanging="720"/>
        <w:rPr>
          <w:rFonts w:ascii="Arial" w:hAnsi="Arial" w:cs="Arial"/>
        </w:rPr>
      </w:pPr>
      <w:proofErr w:type="spellStart"/>
      <w:r w:rsidRPr="00702A15">
        <w:rPr>
          <w:rFonts w:ascii="Arial" w:hAnsi="Arial" w:cs="Arial"/>
          <w:lang w:val="en-US"/>
        </w:rPr>
        <w:t>Ocklenburg</w:t>
      </w:r>
      <w:proofErr w:type="spellEnd"/>
      <w:r w:rsidRPr="00702A15">
        <w:rPr>
          <w:rFonts w:ascii="Arial" w:hAnsi="Arial" w:cs="Arial"/>
          <w:lang w:val="en-US"/>
        </w:rPr>
        <w:t xml:space="preserve">, S., &amp; </w:t>
      </w:r>
      <w:proofErr w:type="spellStart"/>
      <w:r w:rsidRPr="00702A15">
        <w:rPr>
          <w:rFonts w:ascii="Arial" w:hAnsi="Arial" w:cs="Arial"/>
          <w:lang w:val="en-US"/>
        </w:rPr>
        <w:t>Güntürkün</w:t>
      </w:r>
      <w:proofErr w:type="spellEnd"/>
      <w:r w:rsidRPr="00702A15">
        <w:rPr>
          <w:rFonts w:ascii="Arial" w:hAnsi="Arial" w:cs="Arial"/>
          <w:lang w:val="en-US"/>
        </w:rPr>
        <w:t xml:space="preserve">, O. (2012). Hemispheric Asymmetries: The Comparative View. </w:t>
      </w:r>
      <w:r>
        <w:rPr>
          <w:rFonts w:ascii="Arial" w:hAnsi="Arial" w:cs="Arial"/>
          <w:i/>
          <w:iCs/>
        </w:rPr>
        <w:t xml:space="preserve">Frontiers in </w:t>
      </w:r>
      <w:proofErr w:type="spellStart"/>
      <w:r>
        <w:rPr>
          <w:rFonts w:ascii="Arial" w:hAnsi="Arial" w:cs="Arial"/>
          <w:i/>
          <w:iCs/>
        </w:rPr>
        <w:t>Psychology</w:t>
      </w:r>
      <w:proofErr w:type="spellEnd"/>
      <w:r>
        <w:rPr>
          <w:rFonts w:ascii="Arial" w:hAnsi="Arial" w:cs="Arial"/>
        </w:rPr>
        <w:t xml:space="preserve">, </w:t>
      </w:r>
      <w:r>
        <w:rPr>
          <w:rFonts w:ascii="Arial" w:hAnsi="Arial" w:cs="Arial"/>
          <w:i/>
          <w:iCs/>
        </w:rPr>
        <w:t>3</w:t>
      </w:r>
      <w:r>
        <w:rPr>
          <w:rFonts w:ascii="Arial" w:hAnsi="Arial" w:cs="Arial"/>
        </w:rPr>
        <w:t>. https://doi.org/10.3389/fpsyg.2012.00005</w:t>
      </w:r>
    </w:p>
    <w:p w14:paraId="726B7605" w14:textId="77777777" w:rsidR="004E073B" w:rsidRDefault="004E073B" w:rsidP="00CE44E4">
      <w:pPr>
        <w:pStyle w:val="StandardWeb"/>
        <w:spacing w:before="0" w:beforeAutospacing="0" w:after="0" w:afterAutospacing="0" w:line="480" w:lineRule="auto"/>
        <w:ind w:left="720" w:hanging="720"/>
        <w:rPr>
          <w:rFonts w:ascii="Arial" w:hAnsi="Arial" w:cs="Arial"/>
          <w:lang w:val="en-US"/>
        </w:rPr>
      </w:pPr>
    </w:p>
    <w:p w14:paraId="0F8BA1B4" w14:textId="052B03FA" w:rsidR="009333AA" w:rsidRPr="00CE44E4" w:rsidRDefault="009333AA" w:rsidP="00CE44E4">
      <w:pPr>
        <w:pStyle w:val="StandardWeb"/>
        <w:spacing w:before="0" w:beforeAutospacing="0" w:after="0" w:afterAutospacing="0" w:line="480" w:lineRule="auto"/>
        <w:ind w:left="720" w:hanging="720"/>
        <w:rPr>
          <w:rFonts w:ascii="Arial" w:hAnsi="Arial" w:cs="Arial"/>
          <w:lang w:val="en-US"/>
        </w:rPr>
      </w:pPr>
      <w:bookmarkStart w:id="2" w:name="_Hlk115527277"/>
      <w:r w:rsidRPr="004C59D1">
        <w:rPr>
          <w:rFonts w:ascii="Arial" w:hAnsi="Arial" w:cs="Arial"/>
          <w:highlight w:val="yellow"/>
          <w:lang w:val="en-US"/>
        </w:rPr>
        <w:t xml:space="preserve">Popular Science Monthly/Volume 31/July 1887/Mental Differences of Men and Women. (2018). In </w:t>
      </w:r>
      <w:proofErr w:type="spellStart"/>
      <w:r w:rsidRPr="004C59D1">
        <w:rPr>
          <w:rFonts w:ascii="Arial" w:hAnsi="Arial" w:cs="Arial"/>
          <w:highlight w:val="yellow"/>
          <w:lang w:val="en-US"/>
        </w:rPr>
        <w:t>Wikisource</w:t>
      </w:r>
      <w:proofErr w:type="spellEnd"/>
      <w:r w:rsidRPr="004C59D1">
        <w:rPr>
          <w:rFonts w:ascii="Arial" w:hAnsi="Arial" w:cs="Arial"/>
          <w:highlight w:val="yellow"/>
          <w:lang w:val="en-US"/>
        </w:rPr>
        <w:t>. Retrieved 09:59, October 1, 2022, from https://en.wikisource.org/wiki/Popular_Science_Monthly/Volume_31/July_1887/Mental_Differences_of_Men_and_Women</w:t>
      </w:r>
    </w:p>
    <w:bookmarkEnd w:id="2"/>
    <w:p w14:paraId="5F13DFF4" w14:textId="2E12A23B"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Ritchie, S. J., Cox, S. R., Shen, X., Lombardo, M. V., Reus, L. M., Alloza, C., . . . Deary, I. J. (2018). Sex Differences in the Adult Human Brain: Evidence from 5216 UK Biobank Participants.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 xml:space="preserve">(8), 2959–2975. </w:t>
      </w:r>
      <w:hyperlink r:id="rId15" w:history="1">
        <w:r w:rsidR="00702A15" w:rsidRPr="00C6456F">
          <w:rPr>
            <w:rStyle w:val="Hyperlink"/>
            <w:rFonts w:ascii="Arial" w:hAnsi="Arial" w:cs="Arial"/>
            <w:lang w:val="en-US"/>
          </w:rPr>
          <w:t>https://doi.org/10.1093/cercor/bhy109</w:t>
        </w:r>
      </w:hyperlink>
    </w:p>
    <w:p w14:paraId="50DB90F5" w14:textId="65CE7BF4" w:rsidR="00702A15" w:rsidRPr="00702A15" w:rsidRDefault="00702A15" w:rsidP="00702A15">
      <w:pPr>
        <w:pStyle w:val="StandardWeb"/>
        <w:spacing w:before="0" w:beforeAutospacing="0" w:after="0" w:afterAutospacing="0" w:line="480" w:lineRule="auto"/>
        <w:ind w:left="720" w:hanging="720"/>
        <w:rPr>
          <w:rFonts w:ascii="Arial" w:hAnsi="Arial" w:cs="Arial"/>
        </w:rPr>
      </w:pPr>
      <w:proofErr w:type="spellStart"/>
      <w:r w:rsidRPr="00702A15">
        <w:rPr>
          <w:rFonts w:ascii="Arial" w:hAnsi="Arial" w:cs="Arial"/>
          <w:lang w:val="en-US"/>
        </w:rPr>
        <w:t>Rupprecht</w:t>
      </w:r>
      <w:proofErr w:type="spellEnd"/>
      <w:r w:rsidRPr="00702A15">
        <w:rPr>
          <w:rFonts w:ascii="Arial" w:hAnsi="Arial" w:cs="Arial"/>
          <w:lang w:val="en-US"/>
        </w:rPr>
        <w:t xml:space="preserve">, R. (2003). Neuroactive steroids: mechanisms of action and </w:t>
      </w:r>
      <w:proofErr w:type="spellStart"/>
      <w:r w:rsidRPr="00702A15">
        <w:rPr>
          <w:rFonts w:ascii="Arial" w:hAnsi="Arial" w:cs="Arial"/>
          <w:lang w:val="en-US"/>
        </w:rPr>
        <w:t>neuropsychopharmacological</w:t>
      </w:r>
      <w:proofErr w:type="spellEnd"/>
      <w:r w:rsidRPr="00702A15">
        <w:rPr>
          <w:rFonts w:ascii="Arial" w:hAnsi="Arial" w:cs="Arial"/>
          <w:lang w:val="en-US"/>
        </w:rPr>
        <w:t xml:space="preserve"> properties. </w:t>
      </w:r>
      <w:proofErr w:type="spellStart"/>
      <w:r>
        <w:rPr>
          <w:rFonts w:ascii="Arial" w:hAnsi="Arial" w:cs="Arial"/>
          <w:i/>
          <w:iCs/>
        </w:rPr>
        <w:t>Psychoneuroendocrinology</w:t>
      </w:r>
      <w:proofErr w:type="spellEnd"/>
      <w:r>
        <w:rPr>
          <w:rFonts w:ascii="Arial" w:hAnsi="Arial" w:cs="Arial"/>
        </w:rPr>
        <w:t xml:space="preserve">, </w:t>
      </w:r>
      <w:r>
        <w:rPr>
          <w:rFonts w:ascii="Arial" w:hAnsi="Arial" w:cs="Arial"/>
          <w:i/>
          <w:iCs/>
        </w:rPr>
        <w:t>28</w:t>
      </w:r>
      <w:r>
        <w:rPr>
          <w:rFonts w:ascii="Arial" w:hAnsi="Arial" w:cs="Arial"/>
        </w:rPr>
        <w:t>(2), 139–168. https://doi.org/10.1016/s0306-4530(02)00064-1</w:t>
      </w:r>
    </w:p>
    <w:p w14:paraId="188376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702A15">
        <w:rPr>
          <w:rFonts w:ascii="Arial" w:hAnsi="Arial" w:cs="Arial"/>
        </w:rPr>
        <w:t xml:space="preserve">Sacher, J., Neumann, J., Okon-Singer, H., </w:t>
      </w:r>
      <w:proofErr w:type="spellStart"/>
      <w:r w:rsidRPr="00702A15">
        <w:rPr>
          <w:rFonts w:ascii="Arial" w:hAnsi="Arial" w:cs="Arial"/>
        </w:rPr>
        <w:t>Gotowiec</w:t>
      </w:r>
      <w:proofErr w:type="spellEnd"/>
      <w:r w:rsidRPr="00702A15">
        <w:rPr>
          <w:rFonts w:ascii="Arial" w:hAnsi="Arial" w:cs="Arial"/>
        </w:rPr>
        <w:t xml:space="preserve">, S., &amp; </w:t>
      </w:r>
      <w:proofErr w:type="spellStart"/>
      <w:r w:rsidRPr="00702A15">
        <w:rPr>
          <w:rFonts w:ascii="Arial" w:hAnsi="Arial" w:cs="Arial"/>
        </w:rPr>
        <w:t>Villringer</w:t>
      </w:r>
      <w:proofErr w:type="spellEnd"/>
      <w:r w:rsidRPr="00702A15">
        <w:rPr>
          <w:rFonts w:ascii="Arial" w:hAnsi="Arial" w:cs="Arial"/>
        </w:rPr>
        <w:t xml:space="preserve">, A. (2013). </w:t>
      </w:r>
      <w:r w:rsidRPr="00CE44E4">
        <w:rPr>
          <w:rFonts w:ascii="Arial" w:hAnsi="Arial" w:cs="Arial"/>
          <w:lang w:val="en-US"/>
        </w:rPr>
        <w:t xml:space="preserve">Sexual dimorphism in the human brain: evidence from neuroimaging. </w:t>
      </w:r>
      <w:r w:rsidRPr="00CE44E4">
        <w:rPr>
          <w:rFonts w:ascii="Arial" w:hAnsi="Arial" w:cs="Arial"/>
          <w:i/>
          <w:iCs/>
          <w:lang w:val="en-US"/>
        </w:rPr>
        <w:t>Magnetic Resonance Imaging</w:t>
      </w:r>
      <w:r w:rsidRPr="00CE44E4">
        <w:rPr>
          <w:rFonts w:ascii="Arial" w:hAnsi="Arial" w:cs="Arial"/>
          <w:lang w:val="en-US"/>
        </w:rPr>
        <w:t xml:space="preserve">, </w:t>
      </w:r>
      <w:r w:rsidRPr="00CE44E4">
        <w:rPr>
          <w:rFonts w:ascii="Arial" w:hAnsi="Arial" w:cs="Arial"/>
          <w:i/>
          <w:iCs/>
          <w:lang w:val="en-US"/>
        </w:rPr>
        <w:t>31</w:t>
      </w:r>
      <w:r w:rsidRPr="00CE44E4">
        <w:rPr>
          <w:rFonts w:ascii="Arial" w:hAnsi="Arial" w:cs="Arial"/>
          <w:lang w:val="en-US"/>
        </w:rPr>
        <w:t>(3), 366–375. https://doi.org/10.1016/j.mri.2012.06.007</w:t>
      </w:r>
    </w:p>
    <w:p w14:paraId="066A899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Sherman, J. A. (1967). Problem of sex differences in space perception and aspects of intellectual functioning. </w:t>
      </w:r>
      <w:r w:rsidRPr="00CE44E4">
        <w:rPr>
          <w:rFonts w:ascii="Arial" w:hAnsi="Arial" w:cs="Arial"/>
          <w:i/>
          <w:iCs/>
          <w:lang w:val="en-US"/>
        </w:rPr>
        <w:t>Psychological Review</w:t>
      </w:r>
      <w:r w:rsidRPr="00CE44E4">
        <w:rPr>
          <w:rFonts w:ascii="Arial" w:hAnsi="Arial" w:cs="Arial"/>
          <w:lang w:val="en-US"/>
        </w:rPr>
        <w:t xml:space="preserve">, </w:t>
      </w:r>
      <w:r w:rsidRPr="00CE44E4">
        <w:rPr>
          <w:rFonts w:ascii="Arial" w:hAnsi="Arial" w:cs="Arial"/>
          <w:i/>
          <w:iCs/>
          <w:lang w:val="en-US"/>
        </w:rPr>
        <w:t>74</w:t>
      </w:r>
      <w:r w:rsidRPr="00CE44E4">
        <w:rPr>
          <w:rFonts w:ascii="Arial" w:hAnsi="Arial" w:cs="Arial"/>
          <w:lang w:val="en-US"/>
        </w:rPr>
        <w:t>(4), 290–299. https://doi.org/10.1037/h0024723</w:t>
      </w:r>
    </w:p>
    <w:p w14:paraId="402CC81C" w14:textId="687B0F0F" w:rsid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Shields, S. (1975). Functionalism, Darwinism, and the psychology of women. </w:t>
      </w:r>
      <w:r w:rsidRPr="00CE44E4">
        <w:rPr>
          <w:rFonts w:ascii="Arial" w:hAnsi="Arial" w:cs="Arial"/>
          <w:i/>
          <w:iCs/>
          <w:lang w:val="en-US"/>
        </w:rPr>
        <w:t>American Psychologist</w:t>
      </w:r>
      <w:r w:rsidRPr="00CE44E4">
        <w:rPr>
          <w:rFonts w:ascii="Arial" w:hAnsi="Arial" w:cs="Arial"/>
          <w:lang w:val="en-US"/>
        </w:rPr>
        <w:t xml:space="preserve">, </w:t>
      </w:r>
      <w:r w:rsidRPr="00CE44E4">
        <w:rPr>
          <w:rFonts w:ascii="Arial" w:hAnsi="Arial" w:cs="Arial"/>
          <w:i/>
          <w:iCs/>
          <w:lang w:val="en-US"/>
        </w:rPr>
        <w:t>30</w:t>
      </w:r>
      <w:r w:rsidRPr="00CE44E4">
        <w:rPr>
          <w:rFonts w:ascii="Arial" w:hAnsi="Arial" w:cs="Arial"/>
          <w:lang w:val="en-US"/>
        </w:rPr>
        <w:t xml:space="preserve">(7), 739–754. </w:t>
      </w:r>
      <w:hyperlink r:id="rId16" w:history="1">
        <w:r w:rsidR="00702A15" w:rsidRPr="00C6456F">
          <w:rPr>
            <w:rStyle w:val="Hyperlink"/>
            <w:rFonts w:ascii="Arial" w:hAnsi="Arial" w:cs="Arial"/>
            <w:lang w:val="en-US"/>
          </w:rPr>
          <w:t>https://doi.org/10.1037/h0076948</w:t>
        </w:r>
      </w:hyperlink>
    </w:p>
    <w:p w14:paraId="7728208A" w14:textId="702ACBA6" w:rsidR="00702A15" w:rsidRPr="00CE44E4" w:rsidRDefault="00702A15" w:rsidP="00702A15">
      <w:pPr>
        <w:pStyle w:val="StandardWeb"/>
        <w:spacing w:before="0" w:beforeAutospacing="0" w:after="0" w:afterAutospacing="0" w:line="480" w:lineRule="auto"/>
        <w:ind w:left="720" w:hanging="720"/>
        <w:rPr>
          <w:rFonts w:ascii="Arial" w:hAnsi="Arial" w:cs="Arial"/>
          <w:lang w:val="en-US"/>
        </w:rPr>
      </w:pPr>
      <w:r w:rsidRPr="00702A15">
        <w:rPr>
          <w:rFonts w:ascii="Arial" w:hAnsi="Arial" w:cs="Arial"/>
          <w:lang w:val="en-US"/>
        </w:rPr>
        <w:t xml:space="preserve">Sommer, I. E. C., Aleman, A., Bouma, A., &amp; Kahn, R. S. (2004). Do women really have more bilateral language representation than men? A meta-analysis of functional imaging studies. </w:t>
      </w:r>
      <w:r w:rsidRPr="00702A15">
        <w:rPr>
          <w:rFonts w:ascii="Arial" w:hAnsi="Arial" w:cs="Arial"/>
          <w:i/>
          <w:iCs/>
          <w:lang w:val="en-US"/>
        </w:rPr>
        <w:t>Brain</w:t>
      </w:r>
      <w:r w:rsidRPr="00702A15">
        <w:rPr>
          <w:rFonts w:ascii="Arial" w:hAnsi="Arial" w:cs="Arial"/>
          <w:lang w:val="en-US"/>
        </w:rPr>
        <w:t xml:space="preserve">, </w:t>
      </w:r>
      <w:r w:rsidRPr="00702A15">
        <w:rPr>
          <w:rFonts w:ascii="Arial" w:hAnsi="Arial" w:cs="Arial"/>
          <w:i/>
          <w:iCs/>
          <w:lang w:val="en-US"/>
        </w:rPr>
        <w:t>127</w:t>
      </w:r>
      <w:r w:rsidRPr="00702A15">
        <w:rPr>
          <w:rFonts w:ascii="Arial" w:hAnsi="Arial" w:cs="Arial"/>
          <w:lang w:val="en-US"/>
        </w:rPr>
        <w:t>(8), 1845–1852. https://doi.org/10.1093/brain/awh207</w:t>
      </w:r>
    </w:p>
    <w:p w14:paraId="1105AFBE"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Sowell, E. R., Peterson, B. S., Kan, E., Woods, R. P., Yoshii, J., Bansal, R., . . . Toga, A. W. (2006). Sex Differences in Cortical Thickness Mapped in 176 Healthy Individuals between 7 and 87 Years of Age.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(7), 1550–1560. https://doi.org/10.1093/cercor/bhl066</w:t>
      </w:r>
    </w:p>
    <w:p w14:paraId="2233D02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Swaab, D., &amp; Hofman, M. (1984). Sexual Differentiation of the Human Brain A Historical Perspective. </w:t>
      </w:r>
      <w:r w:rsidRPr="00CE44E4">
        <w:rPr>
          <w:rFonts w:ascii="Arial" w:hAnsi="Arial" w:cs="Arial"/>
          <w:i/>
          <w:iCs/>
          <w:lang w:val="en-US"/>
        </w:rPr>
        <w:t>Progress in Brain Research</w:t>
      </w:r>
      <w:r w:rsidRPr="00CE44E4">
        <w:rPr>
          <w:rFonts w:ascii="Arial" w:hAnsi="Arial" w:cs="Arial"/>
          <w:lang w:val="en-US"/>
        </w:rPr>
        <w:t>, 361–374. https://doi.org/10.1016/s0079-6123(08)64447-7</w:t>
      </w:r>
    </w:p>
    <w:p w14:paraId="38C48676"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8D7A61">
        <w:rPr>
          <w:rFonts w:ascii="Arial" w:hAnsi="Arial" w:cs="Arial"/>
        </w:rPr>
        <w:t xml:space="preserve">Tan, A., Ma, W., </w:t>
      </w:r>
      <w:proofErr w:type="spellStart"/>
      <w:r w:rsidRPr="008D7A61">
        <w:rPr>
          <w:rFonts w:ascii="Arial" w:hAnsi="Arial" w:cs="Arial"/>
        </w:rPr>
        <w:t>Vira</w:t>
      </w:r>
      <w:proofErr w:type="spellEnd"/>
      <w:r w:rsidRPr="008D7A61">
        <w:rPr>
          <w:rFonts w:ascii="Arial" w:hAnsi="Arial" w:cs="Arial"/>
        </w:rPr>
        <w:t xml:space="preserve">, A., </w:t>
      </w:r>
      <w:proofErr w:type="spellStart"/>
      <w:r w:rsidRPr="008D7A61">
        <w:rPr>
          <w:rFonts w:ascii="Arial" w:hAnsi="Arial" w:cs="Arial"/>
        </w:rPr>
        <w:t>Marwha</w:t>
      </w:r>
      <w:proofErr w:type="spellEnd"/>
      <w:r w:rsidRPr="008D7A61">
        <w:rPr>
          <w:rFonts w:ascii="Arial" w:hAnsi="Arial" w:cs="Arial"/>
        </w:rPr>
        <w:t xml:space="preserve">, D., &amp; Eliot, L. (2016). </w:t>
      </w:r>
      <w:r w:rsidRPr="00CE44E4">
        <w:rPr>
          <w:rFonts w:ascii="Arial" w:hAnsi="Arial" w:cs="Arial"/>
          <w:lang w:val="en-US"/>
        </w:rPr>
        <w:t xml:space="preserve">The human hippocampus is not </w:t>
      </w:r>
      <w:proofErr w:type="gramStart"/>
      <w:r w:rsidRPr="00CE44E4">
        <w:rPr>
          <w:rFonts w:ascii="Arial" w:hAnsi="Arial" w:cs="Arial"/>
          <w:lang w:val="en-US"/>
        </w:rPr>
        <w:t>sexually-dimorphic</w:t>
      </w:r>
      <w:proofErr w:type="gramEnd"/>
      <w:r w:rsidRPr="00CE44E4">
        <w:rPr>
          <w:rFonts w:ascii="Arial" w:hAnsi="Arial" w:cs="Arial"/>
          <w:lang w:val="en-US"/>
        </w:rPr>
        <w:t xml:space="preserve">: Meta-analysis of structural MRI volumes.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124</w:t>
      </w:r>
      <w:r>
        <w:rPr>
          <w:rFonts w:ascii="Arial" w:hAnsi="Arial" w:cs="Arial"/>
        </w:rPr>
        <w:t>, 350–366. https://doi.org/10.1016/j.neuroimage.2015.08.050</w:t>
      </w:r>
    </w:p>
    <w:p w14:paraId="66673C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Varnava</w:t>
      </w:r>
      <w:proofErr w:type="spellEnd"/>
      <w:r>
        <w:rPr>
          <w:rFonts w:ascii="Arial" w:hAnsi="Arial" w:cs="Arial"/>
        </w:rPr>
        <w:t xml:space="preserve">, A., &amp; </w:t>
      </w:r>
      <w:proofErr w:type="spellStart"/>
      <w:r>
        <w:rPr>
          <w:rFonts w:ascii="Arial" w:hAnsi="Arial" w:cs="Arial"/>
        </w:rPr>
        <w:t>Halligan</w:t>
      </w:r>
      <w:proofErr w:type="spellEnd"/>
      <w:r>
        <w:rPr>
          <w:rFonts w:ascii="Arial" w:hAnsi="Arial" w:cs="Arial"/>
        </w:rPr>
        <w:t xml:space="preserve">, P. W. (2007). </w:t>
      </w:r>
      <w:r w:rsidRPr="00CE44E4">
        <w:rPr>
          <w:rFonts w:ascii="Arial" w:hAnsi="Arial" w:cs="Arial"/>
          <w:lang w:val="en-US"/>
        </w:rPr>
        <w:t xml:space="preserve">Influence of Age and Sex on Line Bisection: A Study of Normal Performance with Implications for Visuospatial Neglect. </w:t>
      </w:r>
      <w:r w:rsidRPr="00CE44E4">
        <w:rPr>
          <w:rFonts w:ascii="Arial" w:hAnsi="Arial" w:cs="Arial"/>
          <w:i/>
          <w:iCs/>
          <w:lang w:val="en-US"/>
        </w:rPr>
        <w:t>Aging, Neuropsychology, and Cognition</w:t>
      </w:r>
      <w:r w:rsidRPr="00CE44E4">
        <w:rPr>
          <w:rFonts w:ascii="Arial" w:hAnsi="Arial" w:cs="Arial"/>
          <w:lang w:val="en-US"/>
        </w:rPr>
        <w:t xml:space="preserve">, </w:t>
      </w:r>
      <w:r w:rsidRPr="00CE44E4">
        <w:rPr>
          <w:rFonts w:ascii="Arial" w:hAnsi="Arial" w:cs="Arial"/>
          <w:i/>
          <w:iCs/>
          <w:lang w:val="en-US"/>
        </w:rPr>
        <w:t>14</w:t>
      </w:r>
      <w:r w:rsidRPr="00CE44E4">
        <w:rPr>
          <w:rFonts w:ascii="Arial" w:hAnsi="Arial" w:cs="Arial"/>
          <w:lang w:val="en-US"/>
        </w:rPr>
        <w:t>(6), 571–585. https://doi.org/10.1080/13825580600826454</w:t>
      </w:r>
    </w:p>
    <w:p w14:paraId="2179861E" w14:textId="77777777" w:rsidR="00CE44E4" w:rsidRPr="00982D85"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Voyer, D. (1996). On the Magnitude of Laterality Effects and Sex Differences in Functional Lateralities. </w:t>
      </w:r>
      <w:r w:rsidRPr="00982D85">
        <w:rPr>
          <w:rFonts w:ascii="Arial" w:hAnsi="Arial" w:cs="Arial"/>
          <w:i/>
          <w:iCs/>
          <w:lang w:val="en-US"/>
        </w:rPr>
        <w:t>Laterality</w:t>
      </w:r>
      <w:r w:rsidRPr="00982D85">
        <w:rPr>
          <w:rFonts w:ascii="Arial" w:hAnsi="Arial" w:cs="Arial"/>
          <w:lang w:val="en-US"/>
        </w:rPr>
        <w:t xml:space="preserve">, </w:t>
      </w:r>
      <w:r w:rsidRPr="00982D85">
        <w:rPr>
          <w:rFonts w:ascii="Arial" w:hAnsi="Arial" w:cs="Arial"/>
          <w:i/>
          <w:iCs/>
          <w:lang w:val="en-US"/>
        </w:rPr>
        <w:t>1</w:t>
      </w:r>
      <w:r w:rsidRPr="00982D85">
        <w:rPr>
          <w:rFonts w:ascii="Arial" w:hAnsi="Arial" w:cs="Arial"/>
          <w:lang w:val="en-US"/>
        </w:rPr>
        <w:t>(1), 51–84. https://doi.org/10.1080/713754209</w:t>
      </w:r>
    </w:p>
    <w:p w14:paraId="4E1AEA1D" w14:textId="7D93DB29" w:rsid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sidRPr="00CE44E4">
        <w:rPr>
          <w:rFonts w:ascii="Arial" w:hAnsi="Arial" w:cs="Arial"/>
          <w:lang w:val="en-US"/>
        </w:rPr>
        <w:t>Voyer</w:t>
      </w:r>
      <w:proofErr w:type="spellEnd"/>
      <w:r w:rsidRPr="00CE44E4">
        <w:rPr>
          <w:rFonts w:ascii="Arial" w:hAnsi="Arial" w:cs="Arial"/>
          <w:lang w:val="en-US"/>
        </w:rPr>
        <w:t xml:space="preserve">, D., Voyer, S. D., &amp; Saint-Aubin, J. (2016). Sex differences in visual-spatial working memory: A meta-analysis. </w:t>
      </w:r>
      <w:r w:rsidRPr="00CE44E4">
        <w:rPr>
          <w:rFonts w:ascii="Arial" w:hAnsi="Arial" w:cs="Arial"/>
          <w:i/>
          <w:iCs/>
          <w:lang w:val="en-US"/>
        </w:rPr>
        <w:t>Psychonomic Bulletin &amp;Amp; Review</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 xml:space="preserve">(2), 307–334. </w:t>
      </w:r>
      <w:hyperlink r:id="rId17" w:history="1">
        <w:r w:rsidR="00702A15" w:rsidRPr="00C6456F">
          <w:rPr>
            <w:rStyle w:val="Hyperlink"/>
            <w:rFonts w:ascii="Arial" w:hAnsi="Arial" w:cs="Arial"/>
            <w:lang w:val="en-US"/>
          </w:rPr>
          <w:t>https://doi.org/10.3758/s13423-016-1085-7</w:t>
        </w:r>
      </w:hyperlink>
    </w:p>
    <w:p w14:paraId="33EEC352" w14:textId="7963A3B2" w:rsidR="00702A15" w:rsidRPr="00702A15" w:rsidRDefault="00702A15" w:rsidP="00702A15">
      <w:pPr>
        <w:pStyle w:val="StandardWeb"/>
        <w:spacing w:before="0" w:beforeAutospacing="0" w:after="0" w:afterAutospacing="0" w:line="480" w:lineRule="auto"/>
        <w:ind w:left="720" w:hanging="720"/>
        <w:rPr>
          <w:rFonts w:ascii="Arial" w:hAnsi="Arial" w:cs="Arial"/>
        </w:rPr>
      </w:pPr>
      <w:r w:rsidRPr="00702A15">
        <w:rPr>
          <w:rFonts w:ascii="Arial" w:hAnsi="Arial" w:cs="Arial"/>
          <w:lang w:val="en-US"/>
        </w:rPr>
        <w:t xml:space="preserve">Wisniewski, A. (1998). </w:t>
      </w:r>
      <w:proofErr w:type="gramStart"/>
      <w:r w:rsidRPr="00702A15">
        <w:rPr>
          <w:rFonts w:ascii="Arial" w:hAnsi="Arial" w:cs="Arial"/>
          <w:lang w:val="en-US"/>
        </w:rPr>
        <w:t>Sexually-dimorphic</w:t>
      </w:r>
      <w:proofErr w:type="gramEnd"/>
      <w:r w:rsidRPr="00702A15">
        <w:rPr>
          <w:rFonts w:ascii="Arial" w:hAnsi="Arial" w:cs="Arial"/>
          <w:lang w:val="en-US"/>
        </w:rPr>
        <w:t xml:space="preserve"> patterns of cortical asymmetry, and the role for sex steroid hormones in determining cortical patterns of lateralization. </w:t>
      </w:r>
      <w:proofErr w:type="spellStart"/>
      <w:r>
        <w:rPr>
          <w:rFonts w:ascii="Arial" w:hAnsi="Arial" w:cs="Arial"/>
          <w:i/>
          <w:iCs/>
        </w:rPr>
        <w:t>Psychoneuroendocrinology</w:t>
      </w:r>
      <w:proofErr w:type="spellEnd"/>
      <w:r>
        <w:rPr>
          <w:rFonts w:ascii="Arial" w:hAnsi="Arial" w:cs="Arial"/>
        </w:rPr>
        <w:t xml:space="preserve">, </w:t>
      </w:r>
      <w:r>
        <w:rPr>
          <w:rFonts w:ascii="Arial" w:hAnsi="Arial" w:cs="Arial"/>
          <w:i/>
          <w:iCs/>
        </w:rPr>
        <w:t>23</w:t>
      </w:r>
      <w:r>
        <w:rPr>
          <w:rFonts w:ascii="Arial" w:hAnsi="Arial" w:cs="Arial"/>
        </w:rPr>
        <w:t>(5), 519–547. https://doi.org/10.1016/s0306-4530(98)00019-5</w:t>
      </w:r>
    </w:p>
    <w:p w14:paraId="799443B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Woolley, H. T. (1914). The psychology of sex. </w:t>
      </w:r>
      <w:r w:rsidRPr="00CE44E4">
        <w:rPr>
          <w:rFonts w:ascii="Arial" w:hAnsi="Arial" w:cs="Arial"/>
          <w:i/>
          <w:iCs/>
          <w:lang w:val="en-US"/>
        </w:rPr>
        <w:t>Psychological Bulletin</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(10), 353–379. https://doi.org/10.1037/h0070064</w:t>
      </w:r>
    </w:p>
    <w:p w14:paraId="47F75E0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Yan, C., Gong, G., Wang, J., Wang, D., Liu, D., Zhu, C., . . . </w:t>
      </w:r>
      <w:r w:rsidRPr="00CE44E4">
        <w:rPr>
          <w:rFonts w:ascii="Arial" w:hAnsi="Arial" w:cs="Arial"/>
          <w:lang w:val="en-US"/>
        </w:rPr>
        <w:t xml:space="preserve">He, Y. (2010). Sex- and Brain Size–Related Small-World Structural Cortical Networks in Young Adults: A DTI Tractography Study.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(2), 449–458. https://doi.org/10.1093/cercor/bhq111</w:t>
      </w:r>
    </w:p>
    <w:p w14:paraId="77DF57E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Zasler, N. D., &amp; Kaplan, P. E. (2016). Fractional Anisotropy. </w:t>
      </w:r>
      <w:r w:rsidRPr="00CE44E4">
        <w:rPr>
          <w:rFonts w:ascii="Arial" w:hAnsi="Arial" w:cs="Arial"/>
          <w:i/>
          <w:iCs/>
          <w:lang w:val="en-US"/>
        </w:rPr>
        <w:t>Encyclopedia of Clinical Neuropsychology</w:t>
      </w:r>
      <w:r w:rsidRPr="00CE44E4">
        <w:rPr>
          <w:rFonts w:ascii="Arial" w:hAnsi="Arial" w:cs="Arial"/>
          <w:lang w:val="en-US"/>
        </w:rPr>
        <w:t>, 1–1. https://doi.org/10.1007/978-3-319-56782-2_32-2</w:t>
      </w:r>
    </w:p>
    <w:p w14:paraId="4E3C5AEA"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Zell, E., Krizan, Z., &amp; Teeter, S. R. (2015). Evaluating gender similarities and differences using metasynthesis.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70</w:t>
      </w:r>
      <w:r>
        <w:rPr>
          <w:rFonts w:ascii="Arial" w:hAnsi="Arial" w:cs="Arial"/>
        </w:rPr>
        <w:t>(1), 10–20. https://doi.org/10.1037/a0038208</w:t>
      </w:r>
    </w:p>
    <w:p w14:paraId="0AAFD46A" w14:textId="77777777" w:rsidR="00CE44E4" w:rsidRPr="001F2CE8" w:rsidRDefault="00CE44E4" w:rsidP="001F2CE8">
      <w:pPr>
        <w:rPr>
          <w:b/>
        </w:rPr>
      </w:pPr>
    </w:p>
    <w:sectPr w:rsidR="00CE44E4" w:rsidRPr="001F2CE8"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EFF1" w14:textId="77777777" w:rsidR="004E4B28" w:rsidRDefault="004E4B28" w:rsidP="00E8478F">
      <w:pPr>
        <w:spacing w:after="0" w:line="240" w:lineRule="auto"/>
      </w:pPr>
      <w:r>
        <w:separator/>
      </w:r>
    </w:p>
  </w:endnote>
  <w:endnote w:type="continuationSeparator" w:id="0">
    <w:p w14:paraId="02A996A8" w14:textId="77777777" w:rsidR="004E4B28" w:rsidRDefault="004E4B28"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72CA" w14:textId="77777777" w:rsidR="004E4B28" w:rsidRDefault="004E4B28" w:rsidP="00E8478F">
      <w:pPr>
        <w:spacing w:after="0" w:line="240" w:lineRule="auto"/>
      </w:pPr>
      <w:r>
        <w:separator/>
      </w:r>
    </w:p>
  </w:footnote>
  <w:footnote w:type="continuationSeparator" w:id="0">
    <w:p w14:paraId="19BF7426" w14:textId="77777777" w:rsidR="004E4B28" w:rsidRDefault="004E4B28"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F6003C"/>
    <w:multiLevelType w:val="hybridMultilevel"/>
    <w:tmpl w:val="40FE9B08"/>
    <w:lvl w:ilvl="0" w:tplc="3230EBB0">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311E9B"/>
    <w:multiLevelType w:val="hybridMultilevel"/>
    <w:tmpl w:val="8C8AEC26"/>
    <w:lvl w:ilvl="0" w:tplc="FE6E80D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627CE8"/>
    <w:multiLevelType w:val="hybridMultilevel"/>
    <w:tmpl w:val="2D52009E"/>
    <w:lvl w:ilvl="0" w:tplc="A796A8B2">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A09BB"/>
    <w:multiLevelType w:val="hybridMultilevel"/>
    <w:tmpl w:val="901A9E04"/>
    <w:lvl w:ilvl="0" w:tplc="91A60A4E">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90294687">
    <w:abstractNumId w:val="6"/>
  </w:num>
  <w:num w:numId="2" w16cid:durableId="1897087740">
    <w:abstractNumId w:val="7"/>
  </w:num>
  <w:num w:numId="3" w16cid:durableId="445540208">
    <w:abstractNumId w:val="1"/>
  </w:num>
  <w:num w:numId="4" w16cid:durableId="1695765384">
    <w:abstractNumId w:val="2"/>
  </w:num>
  <w:num w:numId="5" w16cid:durableId="2007783106">
    <w:abstractNumId w:val="0"/>
  </w:num>
  <w:num w:numId="6" w16cid:durableId="265306761">
    <w:abstractNumId w:val="13"/>
  </w:num>
  <w:num w:numId="7" w16cid:durableId="606615911">
    <w:abstractNumId w:val="8"/>
  </w:num>
  <w:num w:numId="8" w16cid:durableId="799568024">
    <w:abstractNumId w:val="4"/>
  </w:num>
  <w:num w:numId="9" w16cid:durableId="1589190521">
    <w:abstractNumId w:val="9"/>
  </w:num>
  <w:num w:numId="10" w16cid:durableId="2099129535">
    <w:abstractNumId w:val="5"/>
  </w:num>
  <w:num w:numId="11" w16cid:durableId="1212840815">
    <w:abstractNumId w:val="10"/>
  </w:num>
  <w:num w:numId="12" w16cid:durableId="1919822117">
    <w:abstractNumId w:val="11"/>
  </w:num>
  <w:num w:numId="13" w16cid:durableId="1762221778">
    <w:abstractNumId w:val="12"/>
  </w:num>
  <w:num w:numId="14" w16cid:durableId="1035665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6C9A"/>
    <w:rsid w:val="000170F3"/>
    <w:rsid w:val="0002238E"/>
    <w:rsid w:val="000419B7"/>
    <w:rsid w:val="00043831"/>
    <w:rsid w:val="00046625"/>
    <w:rsid w:val="00047DBE"/>
    <w:rsid w:val="00071C88"/>
    <w:rsid w:val="0008485B"/>
    <w:rsid w:val="000C0736"/>
    <w:rsid w:val="000C1659"/>
    <w:rsid w:val="000C2D04"/>
    <w:rsid w:val="000C6F4F"/>
    <w:rsid w:val="000D122F"/>
    <w:rsid w:val="000D69E7"/>
    <w:rsid w:val="000D6D3B"/>
    <w:rsid w:val="000E422C"/>
    <w:rsid w:val="000F241C"/>
    <w:rsid w:val="000F5E97"/>
    <w:rsid w:val="0012280E"/>
    <w:rsid w:val="00163E3D"/>
    <w:rsid w:val="001646ED"/>
    <w:rsid w:val="00165352"/>
    <w:rsid w:val="00180565"/>
    <w:rsid w:val="00180B51"/>
    <w:rsid w:val="00182BAA"/>
    <w:rsid w:val="00191792"/>
    <w:rsid w:val="00192D9F"/>
    <w:rsid w:val="001A7504"/>
    <w:rsid w:val="001C45D3"/>
    <w:rsid w:val="001C70C9"/>
    <w:rsid w:val="001E1097"/>
    <w:rsid w:val="001F27BA"/>
    <w:rsid w:val="001F2CE8"/>
    <w:rsid w:val="00206738"/>
    <w:rsid w:val="002142FD"/>
    <w:rsid w:val="00226847"/>
    <w:rsid w:val="00232B4F"/>
    <w:rsid w:val="002339D9"/>
    <w:rsid w:val="00243C12"/>
    <w:rsid w:val="00255A25"/>
    <w:rsid w:val="00262D2F"/>
    <w:rsid w:val="0027059F"/>
    <w:rsid w:val="00276ADF"/>
    <w:rsid w:val="002838C8"/>
    <w:rsid w:val="002849BE"/>
    <w:rsid w:val="002A6799"/>
    <w:rsid w:val="002C0709"/>
    <w:rsid w:val="002D13BF"/>
    <w:rsid w:val="002D6BFB"/>
    <w:rsid w:val="002F1166"/>
    <w:rsid w:val="002F3A88"/>
    <w:rsid w:val="00301F91"/>
    <w:rsid w:val="00303578"/>
    <w:rsid w:val="00304160"/>
    <w:rsid w:val="003127C4"/>
    <w:rsid w:val="00314783"/>
    <w:rsid w:val="003179F5"/>
    <w:rsid w:val="00327019"/>
    <w:rsid w:val="00330342"/>
    <w:rsid w:val="003317E9"/>
    <w:rsid w:val="003360EF"/>
    <w:rsid w:val="003505AA"/>
    <w:rsid w:val="00350FC4"/>
    <w:rsid w:val="00355228"/>
    <w:rsid w:val="003753C2"/>
    <w:rsid w:val="0038522F"/>
    <w:rsid w:val="0039238E"/>
    <w:rsid w:val="003A15E4"/>
    <w:rsid w:val="003A4FE2"/>
    <w:rsid w:val="003C53BE"/>
    <w:rsid w:val="003D1CBA"/>
    <w:rsid w:val="003E5044"/>
    <w:rsid w:val="003F3588"/>
    <w:rsid w:val="003F37B2"/>
    <w:rsid w:val="00412247"/>
    <w:rsid w:val="0043475A"/>
    <w:rsid w:val="00444BBB"/>
    <w:rsid w:val="0045621C"/>
    <w:rsid w:val="004729BC"/>
    <w:rsid w:val="0047399A"/>
    <w:rsid w:val="00480CAE"/>
    <w:rsid w:val="004901C0"/>
    <w:rsid w:val="00495034"/>
    <w:rsid w:val="004977C0"/>
    <w:rsid w:val="004A07F1"/>
    <w:rsid w:val="004A4478"/>
    <w:rsid w:val="004A6AE1"/>
    <w:rsid w:val="004B164E"/>
    <w:rsid w:val="004C59D1"/>
    <w:rsid w:val="004D0CF4"/>
    <w:rsid w:val="004E073B"/>
    <w:rsid w:val="004E4B28"/>
    <w:rsid w:val="004E709C"/>
    <w:rsid w:val="004F2AE6"/>
    <w:rsid w:val="004F7CA3"/>
    <w:rsid w:val="005138FC"/>
    <w:rsid w:val="00534ABB"/>
    <w:rsid w:val="00542A58"/>
    <w:rsid w:val="0056656A"/>
    <w:rsid w:val="00567D79"/>
    <w:rsid w:val="005973D0"/>
    <w:rsid w:val="005A4BA4"/>
    <w:rsid w:val="005A5F19"/>
    <w:rsid w:val="005A7077"/>
    <w:rsid w:val="005B076E"/>
    <w:rsid w:val="005B6697"/>
    <w:rsid w:val="005C4FC1"/>
    <w:rsid w:val="005D47B4"/>
    <w:rsid w:val="005E748C"/>
    <w:rsid w:val="0060678F"/>
    <w:rsid w:val="00606822"/>
    <w:rsid w:val="00611127"/>
    <w:rsid w:val="00612B2C"/>
    <w:rsid w:val="00613B5D"/>
    <w:rsid w:val="0061421B"/>
    <w:rsid w:val="00622129"/>
    <w:rsid w:val="006257C4"/>
    <w:rsid w:val="00640246"/>
    <w:rsid w:val="00665C87"/>
    <w:rsid w:val="00677BE4"/>
    <w:rsid w:val="006863D2"/>
    <w:rsid w:val="00693087"/>
    <w:rsid w:val="006A39DA"/>
    <w:rsid w:val="006A6C9A"/>
    <w:rsid w:val="006B08EE"/>
    <w:rsid w:val="007020F8"/>
    <w:rsid w:val="00702A15"/>
    <w:rsid w:val="00704BA5"/>
    <w:rsid w:val="00727490"/>
    <w:rsid w:val="007276A1"/>
    <w:rsid w:val="007328BA"/>
    <w:rsid w:val="007407E0"/>
    <w:rsid w:val="0074433A"/>
    <w:rsid w:val="00753A9A"/>
    <w:rsid w:val="00783AE2"/>
    <w:rsid w:val="007878C1"/>
    <w:rsid w:val="00793CCC"/>
    <w:rsid w:val="007A4436"/>
    <w:rsid w:val="007B7B09"/>
    <w:rsid w:val="007C3C64"/>
    <w:rsid w:val="007C53BF"/>
    <w:rsid w:val="007E1B1A"/>
    <w:rsid w:val="007E3F19"/>
    <w:rsid w:val="007F35D9"/>
    <w:rsid w:val="007F64BB"/>
    <w:rsid w:val="007F7A3B"/>
    <w:rsid w:val="008069ED"/>
    <w:rsid w:val="00823654"/>
    <w:rsid w:val="00831656"/>
    <w:rsid w:val="00851881"/>
    <w:rsid w:val="00865727"/>
    <w:rsid w:val="0087045B"/>
    <w:rsid w:val="00871C9F"/>
    <w:rsid w:val="0087465D"/>
    <w:rsid w:val="008822F2"/>
    <w:rsid w:val="0088384E"/>
    <w:rsid w:val="00890BFB"/>
    <w:rsid w:val="00890D42"/>
    <w:rsid w:val="00893657"/>
    <w:rsid w:val="008938EE"/>
    <w:rsid w:val="008A07C1"/>
    <w:rsid w:val="008A531B"/>
    <w:rsid w:val="008B6E8E"/>
    <w:rsid w:val="008C0C82"/>
    <w:rsid w:val="008C1893"/>
    <w:rsid w:val="008C2516"/>
    <w:rsid w:val="008D2180"/>
    <w:rsid w:val="008D2FD9"/>
    <w:rsid w:val="008D3A67"/>
    <w:rsid w:val="008D6124"/>
    <w:rsid w:val="008D7A61"/>
    <w:rsid w:val="00912804"/>
    <w:rsid w:val="009333AA"/>
    <w:rsid w:val="00944FAC"/>
    <w:rsid w:val="00951F8A"/>
    <w:rsid w:val="00954D0A"/>
    <w:rsid w:val="00975818"/>
    <w:rsid w:val="00982D85"/>
    <w:rsid w:val="00993756"/>
    <w:rsid w:val="009A7159"/>
    <w:rsid w:val="009C3AFB"/>
    <w:rsid w:val="009C4520"/>
    <w:rsid w:val="009C54EF"/>
    <w:rsid w:val="009D340B"/>
    <w:rsid w:val="009F437C"/>
    <w:rsid w:val="009F64C2"/>
    <w:rsid w:val="00A03E38"/>
    <w:rsid w:val="00A21D5B"/>
    <w:rsid w:val="00A21DED"/>
    <w:rsid w:val="00A235C9"/>
    <w:rsid w:val="00A30F38"/>
    <w:rsid w:val="00A317A5"/>
    <w:rsid w:val="00A576D0"/>
    <w:rsid w:val="00A81470"/>
    <w:rsid w:val="00A922FA"/>
    <w:rsid w:val="00A932BE"/>
    <w:rsid w:val="00AA29A4"/>
    <w:rsid w:val="00AA3327"/>
    <w:rsid w:val="00AB239C"/>
    <w:rsid w:val="00AB5DFC"/>
    <w:rsid w:val="00AC3B02"/>
    <w:rsid w:val="00AC7C47"/>
    <w:rsid w:val="00AF36F4"/>
    <w:rsid w:val="00AF499A"/>
    <w:rsid w:val="00B04D86"/>
    <w:rsid w:val="00B15F24"/>
    <w:rsid w:val="00B248B6"/>
    <w:rsid w:val="00B30AE6"/>
    <w:rsid w:val="00B3544F"/>
    <w:rsid w:val="00B43100"/>
    <w:rsid w:val="00B4527E"/>
    <w:rsid w:val="00B51C86"/>
    <w:rsid w:val="00B56090"/>
    <w:rsid w:val="00B62325"/>
    <w:rsid w:val="00B8394E"/>
    <w:rsid w:val="00BA55C7"/>
    <w:rsid w:val="00BB0E8F"/>
    <w:rsid w:val="00BB36B5"/>
    <w:rsid w:val="00BB5692"/>
    <w:rsid w:val="00BB5C3D"/>
    <w:rsid w:val="00BD3124"/>
    <w:rsid w:val="00BD4E34"/>
    <w:rsid w:val="00BE2FFC"/>
    <w:rsid w:val="00BE31B9"/>
    <w:rsid w:val="00BF1641"/>
    <w:rsid w:val="00BF363C"/>
    <w:rsid w:val="00BF6665"/>
    <w:rsid w:val="00C0117B"/>
    <w:rsid w:val="00C166A6"/>
    <w:rsid w:val="00C451DD"/>
    <w:rsid w:val="00C46624"/>
    <w:rsid w:val="00C5522D"/>
    <w:rsid w:val="00C6631F"/>
    <w:rsid w:val="00C7179D"/>
    <w:rsid w:val="00C746EA"/>
    <w:rsid w:val="00C779F8"/>
    <w:rsid w:val="00C9490E"/>
    <w:rsid w:val="00CC6F7D"/>
    <w:rsid w:val="00CD3481"/>
    <w:rsid w:val="00CD3A20"/>
    <w:rsid w:val="00CD4F7F"/>
    <w:rsid w:val="00CE44E4"/>
    <w:rsid w:val="00CE778B"/>
    <w:rsid w:val="00D00880"/>
    <w:rsid w:val="00D05BBF"/>
    <w:rsid w:val="00D119CE"/>
    <w:rsid w:val="00D12CB3"/>
    <w:rsid w:val="00D202B5"/>
    <w:rsid w:val="00D30804"/>
    <w:rsid w:val="00D33FB7"/>
    <w:rsid w:val="00D450DB"/>
    <w:rsid w:val="00D56F8B"/>
    <w:rsid w:val="00D6396D"/>
    <w:rsid w:val="00D734A2"/>
    <w:rsid w:val="00D80274"/>
    <w:rsid w:val="00D87C31"/>
    <w:rsid w:val="00D97831"/>
    <w:rsid w:val="00DA005C"/>
    <w:rsid w:val="00DB7986"/>
    <w:rsid w:val="00DC108D"/>
    <w:rsid w:val="00DE0F6F"/>
    <w:rsid w:val="00E01E9D"/>
    <w:rsid w:val="00E30C95"/>
    <w:rsid w:val="00E333F2"/>
    <w:rsid w:val="00E46EAD"/>
    <w:rsid w:val="00E54E46"/>
    <w:rsid w:val="00E577C3"/>
    <w:rsid w:val="00E769CB"/>
    <w:rsid w:val="00E802B4"/>
    <w:rsid w:val="00E83F1A"/>
    <w:rsid w:val="00E8478F"/>
    <w:rsid w:val="00E928FB"/>
    <w:rsid w:val="00E92D16"/>
    <w:rsid w:val="00ED18E9"/>
    <w:rsid w:val="00ED3F49"/>
    <w:rsid w:val="00EE4AE2"/>
    <w:rsid w:val="00F14775"/>
    <w:rsid w:val="00F15279"/>
    <w:rsid w:val="00F16C2C"/>
    <w:rsid w:val="00F202D3"/>
    <w:rsid w:val="00F21D9F"/>
    <w:rsid w:val="00F2584E"/>
    <w:rsid w:val="00F31A89"/>
    <w:rsid w:val="00F321AB"/>
    <w:rsid w:val="00F3767C"/>
    <w:rsid w:val="00F41417"/>
    <w:rsid w:val="00F5067E"/>
    <w:rsid w:val="00F66396"/>
    <w:rsid w:val="00F74C38"/>
    <w:rsid w:val="00F82EFD"/>
    <w:rsid w:val="00F913FF"/>
    <w:rsid w:val="00FA1C3F"/>
    <w:rsid w:val="00FB1117"/>
    <w:rsid w:val="00FB5FC4"/>
    <w:rsid w:val="00FC7271"/>
    <w:rsid w:val="00FE3C6D"/>
    <w:rsid w:val="00FF4D4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 w:type="paragraph" w:styleId="StandardWeb">
    <w:name w:val="Normal (Web)"/>
    <w:basedOn w:val="Standard"/>
    <w:uiPriority w:val="99"/>
    <w:semiHidden/>
    <w:unhideWhenUsed/>
    <w:rsid w:val="00CE44E4"/>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93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843">
      <w:bodyDiv w:val="1"/>
      <w:marLeft w:val="0"/>
      <w:marRight w:val="0"/>
      <w:marTop w:val="0"/>
      <w:marBottom w:val="0"/>
      <w:divBdr>
        <w:top w:val="none" w:sz="0" w:space="0" w:color="auto"/>
        <w:left w:val="none" w:sz="0" w:space="0" w:color="auto"/>
        <w:bottom w:val="none" w:sz="0" w:space="0" w:color="auto"/>
        <w:right w:val="none" w:sz="0" w:space="0" w:color="auto"/>
      </w:divBdr>
    </w:div>
    <w:div w:id="495536937">
      <w:bodyDiv w:val="1"/>
      <w:marLeft w:val="0"/>
      <w:marRight w:val="0"/>
      <w:marTop w:val="0"/>
      <w:marBottom w:val="0"/>
      <w:divBdr>
        <w:top w:val="none" w:sz="0" w:space="0" w:color="auto"/>
        <w:left w:val="none" w:sz="0" w:space="0" w:color="auto"/>
        <w:bottom w:val="none" w:sz="0" w:space="0" w:color="auto"/>
        <w:right w:val="none" w:sz="0" w:space="0" w:color="auto"/>
      </w:divBdr>
    </w:div>
    <w:div w:id="519662458">
      <w:bodyDiv w:val="1"/>
      <w:marLeft w:val="0"/>
      <w:marRight w:val="0"/>
      <w:marTop w:val="0"/>
      <w:marBottom w:val="0"/>
      <w:divBdr>
        <w:top w:val="none" w:sz="0" w:space="0" w:color="auto"/>
        <w:left w:val="none" w:sz="0" w:space="0" w:color="auto"/>
        <w:bottom w:val="none" w:sz="0" w:space="0" w:color="auto"/>
        <w:right w:val="none" w:sz="0" w:space="0" w:color="auto"/>
      </w:divBdr>
    </w:div>
    <w:div w:id="575752085">
      <w:bodyDiv w:val="1"/>
      <w:marLeft w:val="0"/>
      <w:marRight w:val="0"/>
      <w:marTop w:val="0"/>
      <w:marBottom w:val="0"/>
      <w:divBdr>
        <w:top w:val="none" w:sz="0" w:space="0" w:color="auto"/>
        <w:left w:val="none" w:sz="0" w:space="0" w:color="auto"/>
        <w:bottom w:val="none" w:sz="0" w:space="0" w:color="auto"/>
        <w:right w:val="none" w:sz="0" w:space="0" w:color="auto"/>
      </w:divBdr>
    </w:div>
    <w:div w:id="624459297">
      <w:bodyDiv w:val="1"/>
      <w:marLeft w:val="0"/>
      <w:marRight w:val="0"/>
      <w:marTop w:val="0"/>
      <w:marBottom w:val="0"/>
      <w:divBdr>
        <w:top w:val="none" w:sz="0" w:space="0" w:color="auto"/>
        <w:left w:val="none" w:sz="0" w:space="0" w:color="auto"/>
        <w:bottom w:val="none" w:sz="0" w:space="0" w:color="auto"/>
        <w:right w:val="none" w:sz="0" w:space="0" w:color="auto"/>
      </w:divBdr>
    </w:div>
    <w:div w:id="642849748">
      <w:bodyDiv w:val="1"/>
      <w:marLeft w:val="0"/>
      <w:marRight w:val="0"/>
      <w:marTop w:val="0"/>
      <w:marBottom w:val="0"/>
      <w:divBdr>
        <w:top w:val="none" w:sz="0" w:space="0" w:color="auto"/>
        <w:left w:val="none" w:sz="0" w:space="0" w:color="auto"/>
        <w:bottom w:val="none" w:sz="0" w:space="0" w:color="auto"/>
        <w:right w:val="none" w:sz="0" w:space="0" w:color="auto"/>
      </w:divBdr>
    </w:div>
    <w:div w:id="713309040">
      <w:bodyDiv w:val="1"/>
      <w:marLeft w:val="0"/>
      <w:marRight w:val="0"/>
      <w:marTop w:val="0"/>
      <w:marBottom w:val="0"/>
      <w:divBdr>
        <w:top w:val="none" w:sz="0" w:space="0" w:color="auto"/>
        <w:left w:val="none" w:sz="0" w:space="0" w:color="auto"/>
        <w:bottom w:val="none" w:sz="0" w:space="0" w:color="auto"/>
        <w:right w:val="none" w:sz="0" w:space="0" w:color="auto"/>
      </w:divBdr>
    </w:div>
    <w:div w:id="715280027">
      <w:bodyDiv w:val="1"/>
      <w:marLeft w:val="0"/>
      <w:marRight w:val="0"/>
      <w:marTop w:val="0"/>
      <w:marBottom w:val="0"/>
      <w:divBdr>
        <w:top w:val="none" w:sz="0" w:space="0" w:color="auto"/>
        <w:left w:val="none" w:sz="0" w:space="0" w:color="auto"/>
        <w:bottom w:val="none" w:sz="0" w:space="0" w:color="auto"/>
        <w:right w:val="none" w:sz="0" w:space="0" w:color="auto"/>
      </w:divBdr>
    </w:div>
    <w:div w:id="956378010">
      <w:bodyDiv w:val="1"/>
      <w:marLeft w:val="0"/>
      <w:marRight w:val="0"/>
      <w:marTop w:val="0"/>
      <w:marBottom w:val="0"/>
      <w:divBdr>
        <w:top w:val="none" w:sz="0" w:space="0" w:color="auto"/>
        <w:left w:val="none" w:sz="0" w:space="0" w:color="auto"/>
        <w:bottom w:val="none" w:sz="0" w:space="0" w:color="auto"/>
        <w:right w:val="none" w:sz="0" w:space="0" w:color="auto"/>
      </w:divBdr>
    </w:div>
    <w:div w:id="1294017322">
      <w:bodyDiv w:val="1"/>
      <w:marLeft w:val="0"/>
      <w:marRight w:val="0"/>
      <w:marTop w:val="0"/>
      <w:marBottom w:val="0"/>
      <w:divBdr>
        <w:top w:val="none" w:sz="0" w:space="0" w:color="auto"/>
        <w:left w:val="none" w:sz="0" w:space="0" w:color="auto"/>
        <w:bottom w:val="none" w:sz="0" w:space="0" w:color="auto"/>
        <w:right w:val="none" w:sz="0" w:space="0" w:color="auto"/>
      </w:divBdr>
    </w:div>
    <w:div w:id="1386177419">
      <w:bodyDiv w:val="1"/>
      <w:marLeft w:val="0"/>
      <w:marRight w:val="0"/>
      <w:marTop w:val="0"/>
      <w:marBottom w:val="0"/>
      <w:divBdr>
        <w:top w:val="none" w:sz="0" w:space="0" w:color="auto"/>
        <w:left w:val="none" w:sz="0" w:space="0" w:color="auto"/>
        <w:bottom w:val="none" w:sz="0" w:space="0" w:color="auto"/>
        <w:right w:val="none" w:sz="0" w:space="0" w:color="auto"/>
      </w:divBdr>
    </w:div>
    <w:div w:id="1700282454">
      <w:bodyDiv w:val="1"/>
      <w:marLeft w:val="0"/>
      <w:marRight w:val="0"/>
      <w:marTop w:val="0"/>
      <w:marBottom w:val="0"/>
      <w:divBdr>
        <w:top w:val="none" w:sz="0" w:space="0" w:color="auto"/>
        <w:left w:val="none" w:sz="0" w:space="0" w:color="auto"/>
        <w:bottom w:val="none" w:sz="0" w:space="0" w:color="auto"/>
        <w:right w:val="none" w:sz="0" w:space="0" w:color="auto"/>
      </w:divBdr>
    </w:div>
    <w:div w:id="1722703020">
      <w:bodyDiv w:val="1"/>
      <w:marLeft w:val="0"/>
      <w:marRight w:val="0"/>
      <w:marTop w:val="0"/>
      <w:marBottom w:val="0"/>
      <w:divBdr>
        <w:top w:val="none" w:sz="0" w:space="0" w:color="auto"/>
        <w:left w:val="none" w:sz="0" w:space="0" w:color="auto"/>
        <w:bottom w:val="none" w:sz="0" w:space="0" w:color="auto"/>
        <w:right w:val="none" w:sz="0" w:space="0" w:color="auto"/>
      </w:divBdr>
    </w:div>
    <w:div w:id="1798405744">
      <w:bodyDiv w:val="1"/>
      <w:marLeft w:val="0"/>
      <w:marRight w:val="0"/>
      <w:marTop w:val="0"/>
      <w:marBottom w:val="0"/>
      <w:divBdr>
        <w:top w:val="none" w:sz="0" w:space="0" w:color="auto"/>
        <w:left w:val="none" w:sz="0" w:space="0" w:color="auto"/>
        <w:bottom w:val="none" w:sz="0" w:space="0" w:color="auto"/>
        <w:right w:val="none" w:sz="0" w:space="0" w:color="auto"/>
      </w:divBdr>
    </w:div>
    <w:div w:id="1911454958">
      <w:bodyDiv w:val="1"/>
      <w:marLeft w:val="0"/>
      <w:marRight w:val="0"/>
      <w:marTop w:val="0"/>
      <w:marBottom w:val="0"/>
      <w:divBdr>
        <w:top w:val="none" w:sz="0" w:space="0" w:color="auto"/>
        <w:left w:val="none" w:sz="0" w:space="0" w:color="auto"/>
        <w:bottom w:val="none" w:sz="0" w:space="0" w:color="auto"/>
        <w:right w:val="none" w:sz="0" w:space="0" w:color="auto"/>
      </w:divBdr>
    </w:div>
    <w:div w:id="201321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053-8119(03)00034-x" TargetMode="External"/><Relationship Id="rId13" Type="http://schemas.openxmlformats.org/officeDocument/2006/relationships/hyperlink" Target="https://doi.org/10.1073/pnas.13169091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6/annurev-psych-010213-115057" TargetMode="External"/><Relationship Id="rId17" Type="http://schemas.openxmlformats.org/officeDocument/2006/relationships/hyperlink" Target="https://doi.org/10.3758/s13423-016-1085-7" TargetMode="External"/><Relationship Id="rId2" Type="http://schemas.openxmlformats.org/officeDocument/2006/relationships/numbering" Target="numbering.xml"/><Relationship Id="rId16" Type="http://schemas.openxmlformats.org/officeDocument/2006/relationships/hyperlink" Target="https://doi.org/10.1037/h0076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jnr.23857" TargetMode="External"/><Relationship Id="rId5" Type="http://schemas.openxmlformats.org/officeDocument/2006/relationships/webSettings" Target="webSettings.xml"/><Relationship Id="rId15" Type="http://schemas.openxmlformats.org/officeDocument/2006/relationships/hyperlink" Target="https://doi.org/10.1093/cercor/bhy109" TargetMode="External"/><Relationship Id="rId10" Type="http://schemas.openxmlformats.org/officeDocument/2006/relationships/hyperlink" Target="https://doi.org/10.1016/j.neubiorev.2021.02.02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neubiorev.2017.07.005" TargetMode="External"/><Relationship Id="rId14" Type="http://schemas.openxmlformats.org/officeDocument/2006/relationships/hyperlink" Target="https://doi.org/10.1073/pnas.0908073106" TargetMode="Externa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E025-095F-4A3C-9F7A-3A9912A9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6604</Words>
  <Characters>41609</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91</cp:revision>
  <dcterms:created xsi:type="dcterms:W3CDTF">2022-09-12T09:16:00Z</dcterms:created>
  <dcterms:modified xsi:type="dcterms:W3CDTF">2022-10-01T12:41:00Z</dcterms:modified>
</cp:coreProperties>
</file>