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D1" w:rsidRDefault="007D38D1" w:rsidP="007D38D1">
      <w:pPr>
        <w:tabs>
          <w:tab w:val="right" w:pos="9072"/>
        </w:tabs>
      </w:pPr>
      <w:r>
        <w:rPr>
          <w:highlight w:val="yellow"/>
        </w:rPr>
        <w:t>*</w:t>
      </w:r>
      <w:r w:rsidRPr="00303578">
        <w:rPr>
          <w:highlight w:val="yellow"/>
        </w:rPr>
        <w:t xml:space="preserve">[While studies </w:t>
      </w:r>
      <w:proofErr w:type="spellStart"/>
      <w:r w:rsidRPr="00303578">
        <w:rPr>
          <w:highlight w:val="yellow"/>
        </w:rPr>
        <w:t>utilising</w:t>
      </w:r>
      <w:proofErr w:type="spellEnd"/>
      <w:r w:rsidRPr="00303578">
        <w:rPr>
          <w:highlight w:val="yellow"/>
        </w:rPr>
        <w:t xml:space="preserve"> animal models provided vast evidence that anatomical hemispheric asymmetries and FCAs are related (for reviews see </w:t>
      </w:r>
      <w:proofErr w:type="spellStart"/>
      <w:r w:rsidRPr="00303578">
        <w:rPr>
          <w:color w:val="A5A5A5" w:themeColor="accent3"/>
          <w:highlight w:val="yellow"/>
        </w:rPr>
        <w:t>Corballis</w:t>
      </w:r>
      <w:proofErr w:type="spellEnd"/>
      <w:r w:rsidRPr="00303578">
        <w:rPr>
          <w:color w:val="A5A5A5" w:themeColor="accent3"/>
          <w:highlight w:val="yellow"/>
        </w:rPr>
        <w:t xml:space="preserve"> &amp; </w:t>
      </w:r>
      <w:proofErr w:type="spellStart"/>
      <w:r w:rsidRPr="00303578">
        <w:rPr>
          <w:color w:val="A5A5A5" w:themeColor="accent3"/>
          <w:highlight w:val="yellow"/>
        </w:rPr>
        <w:t>Häberling</w:t>
      </w:r>
      <w:proofErr w:type="spellEnd"/>
      <w:r w:rsidRPr="00303578">
        <w:rPr>
          <w:color w:val="A5A5A5" w:themeColor="accent3"/>
          <w:highlight w:val="yellow"/>
        </w:rPr>
        <w:t xml:space="preserve">, 2017; </w:t>
      </w:r>
      <w:proofErr w:type="spellStart"/>
      <w:r w:rsidRPr="00303578">
        <w:rPr>
          <w:color w:val="A5A5A5" w:themeColor="accent3"/>
          <w:highlight w:val="yellow"/>
        </w:rPr>
        <w:t>Ocklenburg</w:t>
      </w:r>
      <w:proofErr w:type="spellEnd"/>
      <w:r w:rsidRPr="00303578">
        <w:rPr>
          <w:color w:val="A5A5A5" w:themeColor="accent3"/>
          <w:highlight w:val="yellow"/>
        </w:rPr>
        <w:t xml:space="preserve"> &amp; </w:t>
      </w:r>
      <w:proofErr w:type="spellStart"/>
      <w:r w:rsidRPr="00303578">
        <w:rPr>
          <w:color w:val="A5A5A5" w:themeColor="accent3"/>
          <w:highlight w:val="yellow"/>
        </w:rPr>
        <w:t>Güntürkün</w:t>
      </w:r>
      <w:proofErr w:type="spellEnd"/>
      <w:r w:rsidRPr="00303578">
        <w:rPr>
          <w:color w:val="A5A5A5" w:themeColor="accent3"/>
          <w:highlight w:val="yellow"/>
        </w:rPr>
        <w:t>, 2012</w:t>
      </w:r>
      <w:r w:rsidRPr="00303578">
        <w:rPr>
          <w:highlight w:val="yellow"/>
        </w:rPr>
        <w:t xml:space="preserve">), there is much less research on the direct relation of structural anatomical WM asymmetries and functional lateralization in humans. </w:t>
      </w:r>
      <w:r w:rsidRPr="00303578">
        <w:rPr>
          <w:color w:val="A5A5A5" w:themeColor="accent3"/>
          <w:highlight w:val="yellow"/>
        </w:rPr>
        <w:t>Schulte et al. (2010)</w:t>
      </w:r>
      <w:r w:rsidRPr="00303578">
        <w:rPr>
          <w:highlight w:val="yellow"/>
        </w:rPr>
        <w:t xml:space="preserve"> conducted one of the few studies that directly studied this relationship:</w:t>
      </w:r>
      <w:r w:rsidRPr="00303578">
        <w:rPr>
          <w:color w:val="A5A5A5" w:themeColor="accent3"/>
          <w:highlight w:val="yellow"/>
        </w:rPr>
        <w:t xml:space="preserve"> </w:t>
      </w:r>
      <w:r w:rsidRPr="00303578">
        <w:rPr>
          <w:highlight w:val="yellow"/>
        </w:rPr>
        <w:t xml:space="preserve">They used a combination of DTI and fMRI measurements and established that WM degradation in the corpus callosum due to alcoholism attenuates the normal pattern of FCAs, which impairs </w:t>
      </w:r>
      <w:proofErr w:type="spellStart"/>
      <w:r w:rsidRPr="00303578">
        <w:rPr>
          <w:highlight w:val="yellow"/>
        </w:rPr>
        <w:t>visuomotor</w:t>
      </w:r>
      <w:proofErr w:type="spellEnd"/>
      <w:r w:rsidRPr="00303578">
        <w:rPr>
          <w:highlight w:val="yellow"/>
        </w:rPr>
        <w:t xml:space="preserve"> integration. Besides this experimental study, meta-analyses such as by </w:t>
      </w:r>
      <w:proofErr w:type="spellStart"/>
      <w:r w:rsidRPr="00303578">
        <w:rPr>
          <w:color w:val="A5A5A5" w:themeColor="accent3"/>
          <w:highlight w:val="yellow"/>
        </w:rPr>
        <w:t>Hausmann</w:t>
      </w:r>
      <w:proofErr w:type="spellEnd"/>
      <w:r w:rsidRPr="00303578">
        <w:rPr>
          <w:color w:val="A5A5A5" w:themeColor="accent3"/>
          <w:highlight w:val="yellow"/>
        </w:rPr>
        <w:t xml:space="preserve"> (2016)</w:t>
      </w:r>
      <w:r w:rsidRPr="00303578">
        <w:rPr>
          <w:highlight w:val="yellow"/>
        </w:rPr>
        <w:t xml:space="preserve"> and </w:t>
      </w:r>
      <w:proofErr w:type="spellStart"/>
      <w:r w:rsidRPr="00303578">
        <w:rPr>
          <w:color w:val="A5A5A5" w:themeColor="accent3"/>
          <w:highlight w:val="yellow"/>
        </w:rPr>
        <w:t>Hirnstein</w:t>
      </w:r>
      <w:proofErr w:type="spellEnd"/>
      <w:r w:rsidRPr="00303578">
        <w:rPr>
          <w:color w:val="A5A5A5" w:themeColor="accent3"/>
          <w:highlight w:val="yellow"/>
        </w:rPr>
        <w:t xml:space="preserve"> et al. (2019)</w:t>
      </w:r>
      <w:r w:rsidRPr="00303578">
        <w:rPr>
          <w:highlight w:val="yellow"/>
        </w:rPr>
        <w:t xml:space="preserve"> have revealed that the results of studies investigating FCAs (e.g., </w:t>
      </w:r>
      <w:r w:rsidRPr="00303578">
        <w:rPr>
          <w:color w:val="A5A5A5" w:themeColor="accent3"/>
          <w:highlight w:val="yellow"/>
        </w:rPr>
        <w:t xml:space="preserve">Bless et al., 2015; </w:t>
      </w:r>
      <w:proofErr w:type="spellStart"/>
      <w:r w:rsidRPr="00303578">
        <w:rPr>
          <w:color w:val="A5A5A5" w:themeColor="accent3"/>
          <w:highlight w:val="yellow"/>
        </w:rPr>
        <w:t>Hirnstein</w:t>
      </w:r>
      <w:proofErr w:type="spellEnd"/>
      <w:r w:rsidRPr="00303578">
        <w:rPr>
          <w:color w:val="A5A5A5" w:themeColor="accent3"/>
          <w:highlight w:val="yellow"/>
        </w:rPr>
        <w:t xml:space="preserve"> et al., 2013</w:t>
      </w:r>
      <w:r w:rsidRPr="00303578">
        <w:rPr>
          <w:highlight w:val="yellow"/>
        </w:rPr>
        <w:t xml:space="preserve">) largely align with the results of studies demonstrating anatomical hemispheric asymmetries in language </w:t>
      </w:r>
      <w:proofErr w:type="spellStart"/>
      <w:r w:rsidRPr="00303578">
        <w:rPr>
          <w:highlight w:val="yellow"/>
        </w:rPr>
        <w:t>lateralisation</w:t>
      </w:r>
      <w:proofErr w:type="spellEnd"/>
      <w:r w:rsidRPr="00303578">
        <w:rPr>
          <w:highlight w:val="yellow"/>
        </w:rPr>
        <w:t xml:space="preserve"> (e.g., </w:t>
      </w:r>
      <w:proofErr w:type="spellStart"/>
      <w:r w:rsidRPr="00303578">
        <w:rPr>
          <w:color w:val="A5A5A5" w:themeColor="accent3"/>
          <w:highlight w:val="yellow"/>
        </w:rPr>
        <w:t>Guadelupe</w:t>
      </w:r>
      <w:proofErr w:type="spellEnd"/>
      <w:r w:rsidRPr="00303578">
        <w:rPr>
          <w:color w:val="A5A5A5" w:themeColor="accent3"/>
          <w:highlight w:val="yellow"/>
        </w:rPr>
        <w:t xml:space="preserve"> et al., 2015; Li et al., 2014</w:t>
      </w:r>
      <w:r w:rsidRPr="00303578">
        <w:rPr>
          <w:highlight w:val="yellow"/>
        </w:rPr>
        <w:t>).]</w:t>
      </w:r>
    </w:p>
    <w:p w:rsidR="007D38D1" w:rsidRPr="007D38D1" w:rsidRDefault="007D38D1">
      <w:pPr>
        <w:rPr>
          <w:b/>
        </w:rPr>
      </w:pPr>
      <w:bookmarkStart w:id="0" w:name="_GoBack"/>
      <w:bookmarkEnd w:id="0"/>
    </w:p>
    <w:p w:rsidR="007D38D1" w:rsidRPr="007D38D1" w:rsidRDefault="007D38D1">
      <w:pPr>
        <w:rPr>
          <w:b/>
        </w:rPr>
      </w:pPr>
    </w:p>
    <w:p w:rsidR="00E00301" w:rsidRPr="00B85F06" w:rsidRDefault="00B85F06">
      <w:pPr>
        <w:rPr>
          <w:b/>
          <w:lang w:val="de-DE"/>
        </w:rPr>
      </w:pPr>
      <w:r w:rsidRPr="00B85F06">
        <w:rPr>
          <w:b/>
          <w:lang w:val="de-DE"/>
        </w:rPr>
        <w:t>SSPLs:</w:t>
      </w:r>
    </w:p>
    <w:p w:rsidR="00B85F06" w:rsidRDefault="00B85F06" w:rsidP="00B85F06">
      <w:r>
        <w:t xml:space="preserve">The previously described analysis allows assessing the immediate impact a focal lesion has on direct connections between two given brain regions. However, it fails to account for indirect connections that </w:t>
      </w:r>
      <w:proofErr w:type="gramStart"/>
      <w:r>
        <w:t>are achieved</w:t>
      </w:r>
      <w:proofErr w:type="gramEnd"/>
      <w:r>
        <w:t xml:space="preserve"> via a number of direct connections between intermediary regions. For that reason, we also investigated the increase in ROI-to-ROI shortest structural path lengths (SSPLs). The SSPL score of a parcel pair expresses how many direct connections must be traversed to establish a structural pathway between them, with parcel pairs that share a direct connection having a score of </w:t>
      </w:r>
      <w:proofErr w:type="gramStart"/>
      <w:r>
        <w:t>1</w:t>
      </w:r>
      <w:proofErr w:type="gramEnd"/>
      <w:r>
        <w:t>. Focal lesions may therefore not only cause direct disconnections, but also indirect disconnections and an associated increase in SSPLs if now a “detour” via other intermediary parcels must be used to maintain the connection (</w:t>
      </w:r>
      <w:proofErr w:type="spellStart"/>
      <w:r>
        <w:fldChar w:fldCharType="begin"/>
      </w:r>
      <w:r>
        <w:instrText xml:space="preserve"> HYPERLINK \l "griffis2020" </w:instrText>
      </w:r>
      <w:r>
        <w:fldChar w:fldCharType="separate"/>
      </w:r>
      <w:r w:rsidRPr="003079A1">
        <w:rPr>
          <w:rStyle w:val="Hyperlink"/>
          <w:rFonts w:ascii="Ebrima" w:hAnsi="Ebrima"/>
        </w:rPr>
        <w:t>Griffis</w:t>
      </w:r>
      <w:proofErr w:type="spellEnd"/>
      <w:r w:rsidRPr="003079A1">
        <w:rPr>
          <w:rStyle w:val="Hyperlink"/>
          <w:rFonts w:ascii="Ebrima" w:hAnsi="Ebrima"/>
        </w:rPr>
        <w:t xml:space="preserve"> et al., 2020</w:t>
      </w:r>
      <w:r>
        <w:rPr>
          <w:rStyle w:val="Hyperlink"/>
          <w:rFonts w:ascii="Ebrima" w:hAnsi="Ebrima"/>
        </w:rPr>
        <w:fldChar w:fldCharType="end"/>
      </w:r>
      <w:r>
        <w:t xml:space="preserve"> &amp; </w:t>
      </w:r>
      <w:hyperlink w:anchor="griffis2021LQT" w:history="1">
        <w:r w:rsidRPr="003079A1">
          <w:rPr>
            <w:rStyle w:val="Hyperlink"/>
            <w:rFonts w:ascii="Ebrima" w:hAnsi="Ebrima"/>
          </w:rPr>
          <w:t>2021</w:t>
        </w:r>
      </w:hyperlink>
      <w:r>
        <w:t xml:space="preserve">). </w:t>
      </w:r>
      <w:r w:rsidRPr="00055D2E">
        <w:rPr>
          <w:color w:val="FF0000"/>
        </w:rPr>
        <w:t>(</w:t>
      </w:r>
      <w:proofErr w:type="gramStart"/>
      <w:r w:rsidRPr="00055D2E">
        <w:rPr>
          <w:color w:val="FF0000"/>
        </w:rPr>
        <w:t>is</w:t>
      </w:r>
      <w:proofErr w:type="gramEnd"/>
      <w:r w:rsidRPr="00055D2E">
        <w:rPr>
          <w:color w:val="FF0000"/>
        </w:rPr>
        <w:t xml:space="preserve"> this even needed?)</w:t>
      </w:r>
    </w:p>
    <w:p w:rsidR="00B85F06" w:rsidRPr="00B85F06" w:rsidRDefault="00B85F06">
      <w:pPr>
        <w:rPr>
          <w:lang w:val="de-DE"/>
        </w:rPr>
      </w:pPr>
    </w:p>
    <w:sectPr w:rsidR="00B85F06" w:rsidRPr="00B8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06"/>
    <w:rsid w:val="007D38D1"/>
    <w:rsid w:val="00B85F06"/>
    <w:rsid w:val="00E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8598"/>
  <w15:chartTrackingRefBased/>
  <w15:docId w15:val="{707EBA0F-7A59-468B-9E87-C2B340B1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5F06"/>
    <w:rPr>
      <w:rFonts w:ascii="Avenir Next LT Pro Light" w:hAnsi="Avenir Next LT Pro Light"/>
      <w:color w:val="5F5F5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Demo Organization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Sperber</dc:creator>
  <cp:keywords/>
  <dc:description/>
  <cp:lastModifiedBy>Sperber</cp:lastModifiedBy>
  <cp:revision>2</cp:revision>
  <dcterms:created xsi:type="dcterms:W3CDTF">2022-08-23T07:55:00Z</dcterms:created>
  <dcterms:modified xsi:type="dcterms:W3CDTF">2022-09-29T14:32:00Z</dcterms:modified>
</cp:coreProperties>
</file>