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77777777" w:rsidR="00FC151A" w:rsidRPr="00FC151A" w:rsidRDefault="002A492C" w:rsidP="002A492C">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E5931F6" w:rsidR="0020779B" w:rsidRPr="00FC151A" w:rsidRDefault="0020779B" w:rsidP="0020779B">
      <w:pPr>
        <w:pBdr>
          <w:top w:val="single" w:sz="6" w:space="1" w:color="auto"/>
          <w:bottom w:val="single" w:sz="6" w:space="1" w:color="auto"/>
        </w:pBdr>
        <w:jc w:val="center"/>
        <w:rPr>
          <w:rFonts w:cs="Arial"/>
          <w:bCs/>
          <w:sz w:val="28"/>
          <w:szCs w:val="28"/>
        </w:rPr>
      </w:pPr>
      <w:r w:rsidRPr="00FC151A">
        <w:rPr>
          <w:rFonts w:cs="Arial"/>
          <w:bCs/>
          <w:sz w:val="28"/>
          <w:szCs w:val="28"/>
        </w:rPr>
        <w:t>“Sex Differences in Acute Visuospatial Neglect – An Exploratory Study Investigating Differences in Lesion Patterns and Disconnectome”</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36B12692" w14:textId="529E8F23" w:rsidR="002A492C" w:rsidRPr="00FC151A" w:rsidRDefault="002A492C" w:rsidP="002A492C">
      <w:pPr>
        <w:jc w:val="center"/>
        <w:rPr>
          <w:sz w:val="24"/>
          <w:szCs w:val="24"/>
        </w:rPr>
      </w:pPr>
      <w:r w:rsidRPr="00FC151A">
        <w:rPr>
          <w:sz w:val="24"/>
          <w:szCs w:val="24"/>
        </w:rPr>
        <w:t>Faculty of Science</w:t>
      </w:r>
      <w:r w:rsidRPr="00FC151A">
        <w:rPr>
          <w:sz w:val="24"/>
          <w:szCs w:val="24"/>
        </w:rPr>
        <w:br/>
        <w:t>Faculty of Medicine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r w:rsidRPr="00BC4A5A">
        <w:rPr>
          <w:sz w:val="24"/>
          <w:szCs w:val="24"/>
          <w:lang w:val="de-DE"/>
        </w:rPr>
        <w:t xml:space="preserve">Presented by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r w:rsidRPr="00BC4A5A">
        <w:rPr>
          <w:sz w:val="24"/>
          <w:szCs w:val="24"/>
          <w:lang w:val="de-DE"/>
        </w:rPr>
        <w:t>born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47BA1715" w:rsidR="00F37C63" w:rsidRPr="00FC151A" w:rsidRDefault="00F37C63" w:rsidP="002A492C">
      <w:pPr>
        <w:jc w:val="center"/>
        <w:rPr>
          <w:sz w:val="24"/>
          <w:szCs w:val="24"/>
        </w:rPr>
      </w:pPr>
      <w:r w:rsidRPr="00FC151A">
        <w:rPr>
          <w:sz w:val="24"/>
          <w:szCs w:val="24"/>
        </w:rPr>
        <w:t>Tübingen, [DATE OF SUBMISSION]</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54ADCC94" w:rsidR="00211340" w:rsidRPr="00B635A7" w:rsidRDefault="00C7619D" w:rsidP="00C7619D">
      <w:pPr>
        <w:ind w:left="2160"/>
        <w:rPr>
          <w:lang w:val="en-US"/>
        </w:rPr>
      </w:pPr>
      <w:r>
        <w:t xml:space="preserve">Department of Innovative Neuroimaging </w:t>
      </w:r>
      <w:r w:rsidR="00A40F89">
        <w:tab/>
      </w:r>
      <w:r>
        <w:br/>
      </w:r>
      <w:r w:rsidR="00F94A8F">
        <w:t>Center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lastRenderedPageBreak/>
        <w:br w:type="page"/>
      </w:r>
    </w:p>
    <w:p w14:paraId="424ECEC8" w14:textId="77777777" w:rsidR="00164442" w:rsidRDefault="00ED13AD" w:rsidP="00834B09">
      <w:r>
        <w:lastRenderedPageBreak/>
        <w:t>Table of Contents</w:t>
      </w:r>
    </w:p>
    <w:sdt>
      <w:sdtPr>
        <w:rPr>
          <w:rFonts w:ascii="Ebrima" w:eastAsiaTheme="minorEastAsia" w:hAnsi="Ebrima" w:cstheme="minorBidi"/>
          <w:b w:val="0"/>
          <w:bCs w:val="0"/>
          <w:caps w:val="0"/>
          <w:spacing w:val="0"/>
          <w:sz w:val="22"/>
          <w:szCs w:val="22"/>
          <w:lang w:val="de-DE"/>
        </w:rPr>
        <w:id w:val="-1820726803"/>
        <w:docPartObj>
          <w:docPartGallery w:val="Table of Contents"/>
          <w:docPartUnique/>
        </w:docPartObj>
      </w:sdtPr>
      <w:sdtEndPr>
        <w:rPr>
          <w:lang w:val="en-GB"/>
        </w:rPr>
      </w:sdtEndPr>
      <w:sdtContent>
        <w:p w14:paraId="22D9B039" w14:textId="110D23C0" w:rsidR="00164442" w:rsidRDefault="00164442">
          <w:pPr>
            <w:pStyle w:val="Inhaltsverzeichnisberschrift"/>
          </w:pPr>
          <w:r w:rsidRPr="00391FEC">
            <w:rPr>
              <w:lang w:val="en-US"/>
            </w:rPr>
            <w:t>Inhalt</w:t>
          </w:r>
        </w:p>
        <w:p w14:paraId="2AC71F53" w14:textId="19F163CC" w:rsidR="00EE167C" w:rsidRDefault="00164442">
          <w:pPr>
            <w:pStyle w:val="Verzeichnis2"/>
            <w:tabs>
              <w:tab w:val="left" w:pos="660"/>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08612540" w:history="1">
            <w:r w:rsidR="00EE167C" w:rsidRPr="00596532">
              <w:rPr>
                <w:rStyle w:val="Hyperlink"/>
                <w:noProof/>
              </w:rPr>
              <w:t>1.</w:t>
            </w:r>
            <w:r w:rsidR="00EE167C">
              <w:rPr>
                <w:rFonts w:asciiTheme="minorHAnsi" w:hAnsiTheme="minorHAnsi"/>
                <w:noProof/>
                <w:lang w:val="de-DE" w:eastAsia="de-DE"/>
              </w:rPr>
              <w:tab/>
            </w:r>
            <w:r w:rsidR="00EE167C" w:rsidRPr="00596532">
              <w:rPr>
                <w:rStyle w:val="Hyperlink"/>
                <w:noProof/>
              </w:rPr>
              <w:t>Introduction: Sex Differences in Neuropsychology</w:t>
            </w:r>
            <w:r w:rsidR="00EE167C">
              <w:rPr>
                <w:noProof/>
                <w:webHidden/>
              </w:rPr>
              <w:tab/>
            </w:r>
            <w:r w:rsidR="00EE167C">
              <w:rPr>
                <w:noProof/>
                <w:webHidden/>
              </w:rPr>
              <w:fldChar w:fldCharType="begin"/>
            </w:r>
            <w:r w:rsidR="00EE167C">
              <w:rPr>
                <w:noProof/>
                <w:webHidden/>
              </w:rPr>
              <w:instrText xml:space="preserve"> PAGEREF _Toc108612540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4096BCD" w14:textId="2E4E438E" w:rsidR="00EE167C" w:rsidRDefault="00BC4A5A">
          <w:pPr>
            <w:pStyle w:val="Verzeichnis3"/>
            <w:tabs>
              <w:tab w:val="left" w:pos="1100"/>
              <w:tab w:val="right" w:leader="dot" w:pos="9062"/>
            </w:tabs>
            <w:rPr>
              <w:rFonts w:asciiTheme="minorHAnsi" w:hAnsiTheme="minorHAnsi"/>
              <w:noProof/>
              <w:lang w:val="de-DE" w:eastAsia="de-DE"/>
            </w:rPr>
          </w:pPr>
          <w:hyperlink w:anchor="_Toc108612541" w:history="1">
            <w:r w:rsidR="00EE167C" w:rsidRPr="00596532">
              <w:rPr>
                <w:rStyle w:val="Hyperlink"/>
                <w:noProof/>
              </w:rPr>
              <w:t>1.1.</w:t>
            </w:r>
            <w:r w:rsidR="00EE167C">
              <w:rPr>
                <w:rFonts w:asciiTheme="minorHAnsi" w:hAnsiTheme="minorHAnsi"/>
                <w:noProof/>
                <w:lang w:val="de-DE" w:eastAsia="de-DE"/>
              </w:rPr>
              <w:tab/>
            </w:r>
            <w:r w:rsidR="00EE167C" w:rsidRPr="00596532">
              <w:rPr>
                <w:rStyle w:val="Hyperlink"/>
                <w:noProof/>
              </w:rPr>
              <w:t>Sex Differences in General Cognition</w:t>
            </w:r>
            <w:r w:rsidR="00EE167C">
              <w:rPr>
                <w:noProof/>
                <w:webHidden/>
              </w:rPr>
              <w:tab/>
            </w:r>
            <w:r w:rsidR="00EE167C">
              <w:rPr>
                <w:noProof/>
                <w:webHidden/>
              </w:rPr>
              <w:fldChar w:fldCharType="begin"/>
            </w:r>
            <w:r w:rsidR="00EE167C">
              <w:rPr>
                <w:noProof/>
                <w:webHidden/>
              </w:rPr>
              <w:instrText xml:space="preserve"> PAGEREF _Toc108612541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6879573C" w14:textId="76DA08AC" w:rsidR="00EE167C" w:rsidRDefault="00BC4A5A">
          <w:pPr>
            <w:pStyle w:val="Verzeichnis3"/>
            <w:tabs>
              <w:tab w:val="left" w:pos="1100"/>
              <w:tab w:val="right" w:leader="dot" w:pos="9062"/>
            </w:tabs>
            <w:rPr>
              <w:rFonts w:asciiTheme="minorHAnsi" w:hAnsiTheme="minorHAnsi"/>
              <w:noProof/>
              <w:lang w:val="de-DE" w:eastAsia="de-DE"/>
            </w:rPr>
          </w:pPr>
          <w:hyperlink w:anchor="_Toc108612542" w:history="1">
            <w:r w:rsidR="00EE167C" w:rsidRPr="00596532">
              <w:rPr>
                <w:rStyle w:val="Hyperlink"/>
                <w:noProof/>
              </w:rPr>
              <w:t>1.2.</w:t>
            </w:r>
            <w:r w:rsidR="00EE167C">
              <w:rPr>
                <w:rFonts w:asciiTheme="minorHAnsi" w:hAnsiTheme="minorHAnsi"/>
                <w:noProof/>
                <w:lang w:val="de-DE" w:eastAsia="de-DE"/>
              </w:rPr>
              <w:tab/>
            </w:r>
            <w:r w:rsidR="00EE167C" w:rsidRPr="00596532">
              <w:rPr>
                <w:rStyle w:val="Hyperlink"/>
                <w:noProof/>
              </w:rPr>
              <w:t>Sex Differences in Healthy Brain</w:t>
            </w:r>
            <w:r w:rsidR="00EE167C">
              <w:rPr>
                <w:noProof/>
                <w:webHidden/>
              </w:rPr>
              <w:tab/>
            </w:r>
            <w:r w:rsidR="00EE167C">
              <w:rPr>
                <w:noProof/>
                <w:webHidden/>
              </w:rPr>
              <w:fldChar w:fldCharType="begin"/>
            </w:r>
            <w:r w:rsidR="00EE167C">
              <w:rPr>
                <w:noProof/>
                <w:webHidden/>
              </w:rPr>
              <w:instrText xml:space="preserve"> PAGEREF _Toc108612542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121488BE" w14:textId="65097944" w:rsidR="00EE167C" w:rsidRDefault="00BC4A5A">
          <w:pPr>
            <w:pStyle w:val="Verzeichnis3"/>
            <w:tabs>
              <w:tab w:val="left" w:pos="1100"/>
              <w:tab w:val="right" w:leader="dot" w:pos="9062"/>
            </w:tabs>
            <w:rPr>
              <w:rFonts w:asciiTheme="minorHAnsi" w:hAnsiTheme="minorHAnsi"/>
              <w:noProof/>
              <w:lang w:val="de-DE" w:eastAsia="de-DE"/>
            </w:rPr>
          </w:pPr>
          <w:hyperlink w:anchor="_Toc108612543" w:history="1">
            <w:r w:rsidR="00EE167C" w:rsidRPr="00596532">
              <w:rPr>
                <w:rStyle w:val="Hyperlink"/>
                <w:noProof/>
                <w:lang w:val="de-DE"/>
              </w:rPr>
              <w:t>1.3.</w:t>
            </w:r>
            <w:r w:rsidR="00EE167C">
              <w:rPr>
                <w:rFonts w:asciiTheme="minorHAnsi" w:hAnsiTheme="minorHAnsi"/>
                <w:noProof/>
                <w:lang w:val="de-DE" w:eastAsia="de-DE"/>
              </w:rPr>
              <w:tab/>
            </w:r>
            <w:r w:rsidR="00EE167C" w:rsidRPr="00596532">
              <w:rPr>
                <w:rStyle w:val="Hyperlink"/>
                <w:noProof/>
              </w:rPr>
              <w:t xml:space="preserve">Sex Differences in </w:t>
            </w:r>
            <w:r w:rsidR="00EE167C" w:rsidRPr="00596532">
              <w:rPr>
                <w:rStyle w:val="Hyperlink"/>
                <w:noProof/>
                <w:lang w:val="de-DE"/>
              </w:rPr>
              <w:t>Stroke</w:t>
            </w:r>
            <w:r w:rsidR="00EE167C">
              <w:rPr>
                <w:noProof/>
                <w:webHidden/>
              </w:rPr>
              <w:tab/>
            </w:r>
            <w:r w:rsidR="00EE167C">
              <w:rPr>
                <w:noProof/>
                <w:webHidden/>
              </w:rPr>
              <w:fldChar w:fldCharType="begin"/>
            </w:r>
            <w:r w:rsidR="00EE167C">
              <w:rPr>
                <w:noProof/>
                <w:webHidden/>
              </w:rPr>
              <w:instrText xml:space="preserve"> PAGEREF _Toc108612543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8CEA2BC" w14:textId="65AA8870" w:rsidR="00EE167C" w:rsidRDefault="00BC4A5A">
          <w:pPr>
            <w:pStyle w:val="Verzeichnis3"/>
            <w:tabs>
              <w:tab w:val="left" w:pos="1100"/>
              <w:tab w:val="right" w:leader="dot" w:pos="9062"/>
            </w:tabs>
            <w:rPr>
              <w:rFonts w:asciiTheme="minorHAnsi" w:hAnsiTheme="minorHAnsi"/>
              <w:noProof/>
              <w:lang w:val="de-DE" w:eastAsia="de-DE"/>
            </w:rPr>
          </w:pPr>
          <w:hyperlink w:anchor="_Toc108612544" w:history="1">
            <w:r w:rsidR="00EE167C" w:rsidRPr="00596532">
              <w:rPr>
                <w:rStyle w:val="Hyperlink"/>
                <w:noProof/>
              </w:rPr>
              <w:t>1.4.</w:t>
            </w:r>
            <w:r w:rsidR="00EE167C">
              <w:rPr>
                <w:rFonts w:asciiTheme="minorHAnsi" w:hAnsiTheme="minorHAnsi"/>
                <w:noProof/>
                <w:lang w:val="de-DE" w:eastAsia="de-DE"/>
              </w:rPr>
              <w:tab/>
            </w:r>
            <w:r w:rsidR="00EE167C" w:rsidRPr="00596532">
              <w:rPr>
                <w:rStyle w:val="Hyperlink"/>
                <w:noProof/>
              </w:rPr>
              <w:t>Visuospatial Neglect</w:t>
            </w:r>
            <w:r w:rsidR="00EE167C">
              <w:rPr>
                <w:noProof/>
                <w:webHidden/>
              </w:rPr>
              <w:tab/>
            </w:r>
            <w:r w:rsidR="00EE167C">
              <w:rPr>
                <w:noProof/>
                <w:webHidden/>
              </w:rPr>
              <w:fldChar w:fldCharType="begin"/>
            </w:r>
            <w:r w:rsidR="00EE167C">
              <w:rPr>
                <w:noProof/>
                <w:webHidden/>
              </w:rPr>
              <w:instrText xml:space="preserve"> PAGEREF _Toc108612544 \h </w:instrText>
            </w:r>
            <w:r w:rsidR="00EE167C">
              <w:rPr>
                <w:noProof/>
                <w:webHidden/>
              </w:rPr>
            </w:r>
            <w:r w:rsidR="00EE167C">
              <w:rPr>
                <w:noProof/>
                <w:webHidden/>
              </w:rPr>
              <w:fldChar w:fldCharType="separate"/>
            </w:r>
            <w:r w:rsidR="00EE167C">
              <w:rPr>
                <w:noProof/>
                <w:webHidden/>
              </w:rPr>
              <w:t>8</w:t>
            </w:r>
            <w:r w:rsidR="00EE167C">
              <w:rPr>
                <w:noProof/>
                <w:webHidden/>
              </w:rPr>
              <w:fldChar w:fldCharType="end"/>
            </w:r>
          </w:hyperlink>
        </w:p>
        <w:p w14:paraId="6A45EB99" w14:textId="2117ADD2" w:rsidR="00EE167C" w:rsidRDefault="00BC4A5A">
          <w:pPr>
            <w:pStyle w:val="Verzeichnis2"/>
            <w:tabs>
              <w:tab w:val="left" w:pos="660"/>
              <w:tab w:val="right" w:leader="dot" w:pos="9062"/>
            </w:tabs>
            <w:rPr>
              <w:rFonts w:asciiTheme="minorHAnsi" w:hAnsiTheme="minorHAnsi"/>
              <w:noProof/>
              <w:lang w:val="de-DE" w:eastAsia="de-DE"/>
            </w:rPr>
          </w:pPr>
          <w:hyperlink w:anchor="_Toc108612545" w:history="1">
            <w:r w:rsidR="00EE167C" w:rsidRPr="00596532">
              <w:rPr>
                <w:rStyle w:val="Hyperlink"/>
                <w:noProof/>
              </w:rPr>
              <w:t>2.</w:t>
            </w:r>
            <w:r w:rsidR="00EE167C">
              <w:rPr>
                <w:rFonts w:asciiTheme="minorHAnsi" w:hAnsiTheme="minorHAnsi"/>
                <w:noProof/>
                <w:lang w:val="de-DE" w:eastAsia="de-DE"/>
              </w:rPr>
              <w:tab/>
            </w:r>
            <w:r w:rsidR="00EE167C" w:rsidRPr="00596532">
              <w:rPr>
                <w:rStyle w:val="Hyperlink"/>
                <w:noProof/>
              </w:rPr>
              <w:t>Material &amp; Methods</w:t>
            </w:r>
            <w:r w:rsidR="00EE167C">
              <w:rPr>
                <w:noProof/>
                <w:webHidden/>
              </w:rPr>
              <w:tab/>
            </w:r>
            <w:r w:rsidR="00EE167C">
              <w:rPr>
                <w:noProof/>
                <w:webHidden/>
              </w:rPr>
              <w:fldChar w:fldCharType="begin"/>
            </w:r>
            <w:r w:rsidR="00EE167C">
              <w:rPr>
                <w:noProof/>
                <w:webHidden/>
              </w:rPr>
              <w:instrText xml:space="preserve"> PAGEREF _Toc108612545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176C3C9A" w14:textId="03EA6834" w:rsidR="00EE167C" w:rsidRDefault="00BC4A5A">
          <w:pPr>
            <w:pStyle w:val="Verzeichnis3"/>
            <w:tabs>
              <w:tab w:val="left" w:pos="1100"/>
              <w:tab w:val="right" w:leader="dot" w:pos="9062"/>
            </w:tabs>
            <w:rPr>
              <w:rFonts w:asciiTheme="minorHAnsi" w:hAnsiTheme="minorHAnsi"/>
              <w:noProof/>
              <w:lang w:val="de-DE" w:eastAsia="de-DE"/>
            </w:rPr>
          </w:pPr>
          <w:hyperlink w:anchor="_Toc108612546" w:history="1">
            <w:r w:rsidR="00EE167C" w:rsidRPr="00596532">
              <w:rPr>
                <w:rStyle w:val="Hyperlink"/>
                <w:noProof/>
              </w:rPr>
              <w:t>2.1.</w:t>
            </w:r>
            <w:r w:rsidR="00EE167C">
              <w:rPr>
                <w:rFonts w:asciiTheme="minorHAnsi" w:hAnsiTheme="minorHAnsi"/>
                <w:noProof/>
                <w:lang w:val="de-DE" w:eastAsia="de-DE"/>
              </w:rPr>
              <w:tab/>
            </w:r>
            <w:r w:rsidR="00EE167C" w:rsidRPr="00596532">
              <w:rPr>
                <w:rStyle w:val="Hyperlink"/>
                <w:noProof/>
              </w:rPr>
              <w:t>Patient Sample</w:t>
            </w:r>
            <w:r w:rsidR="00EE167C">
              <w:rPr>
                <w:noProof/>
                <w:webHidden/>
              </w:rPr>
              <w:tab/>
            </w:r>
            <w:r w:rsidR="00EE167C">
              <w:rPr>
                <w:noProof/>
                <w:webHidden/>
              </w:rPr>
              <w:fldChar w:fldCharType="begin"/>
            </w:r>
            <w:r w:rsidR="00EE167C">
              <w:rPr>
                <w:noProof/>
                <w:webHidden/>
              </w:rPr>
              <w:instrText xml:space="preserve"> PAGEREF _Toc108612546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2E5DA8A1" w14:textId="01C46751" w:rsidR="00EE167C" w:rsidRDefault="00BC4A5A">
          <w:pPr>
            <w:pStyle w:val="Verzeichnis3"/>
            <w:tabs>
              <w:tab w:val="left" w:pos="1100"/>
              <w:tab w:val="right" w:leader="dot" w:pos="9062"/>
            </w:tabs>
            <w:rPr>
              <w:rFonts w:asciiTheme="minorHAnsi" w:hAnsiTheme="minorHAnsi"/>
              <w:noProof/>
              <w:lang w:val="de-DE" w:eastAsia="de-DE"/>
            </w:rPr>
          </w:pPr>
          <w:hyperlink w:anchor="_Toc108612547" w:history="1">
            <w:r w:rsidR="00EE167C" w:rsidRPr="00596532">
              <w:rPr>
                <w:rStyle w:val="Hyperlink"/>
                <w:noProof/>
              </w:rPr>
              <w:t>2.2.</w:t>
            </w:r>
            <w:r w:rsidR="00EE167C">
              <w:rPr>
                <w:rFonts w:asciiTheme="minorHAnsi" w:hAnsiTheme="minorHAnsi"/>
                <w:noProof/>
                <w:lang w:val="de-DE" w:eastAsia="de-DE"/>
              </w:rPr>
              <w:tab/>
            </w:r>
            <w:r w:rsidR="00EE167C" w:rsidRPr="00596532">
              <w:rPr>
                <w:rStyle w:val="Hyperlink"/>
                <w:noProof/>
                <w:lang w:val="de-DE"/>
              </w:rPr>
              <w:t>Behavioural Data</w:t>
            </w:r>
            <w:r w:rsidR="00EE167C">
              <w:rPr>
                <w:noProof/>
                <w:webHidden/>
              </w:rPr>
              <w:tab/>
            </w:r>
            <w:r w:rsidR="00EE167C">
              <w:rPr>
                <w:noProof/>
                <w:webHidden/>
              </w:rPr>
              <w:fldChar w:fldCharType="begin"/>
            </w:r>
            <w:r w:rsidR="00EE167C">
              <w:rPr>
                <w:noProof/>
                <w:webHidden/>
              </w:rPr>
              <w:instrText xml:space="preserve"> PAGEREF _Toc108612547 \h </w:instrText>
            </w:r>
            <w:r w:rsidR="00EE167C">
              <w:rPr>
                <w:noProof/>
                <w:webHidden/>
              </w:rPr>
            </w:r>
            <w:r w:rsidR="00EE167C">
              <w:rPr>
                <w:noProof/>
                <w:webHidden/>
              </w:rPr>
              <w:fldChar w:fldCharType="separate"/>
            </w:r>
            <w:r w:rsidR="00EE167C">
              <w:rPr>
                <w:noProof/>
                <w:webHidden/>
              </w:rPr>
              <w:t>11</w:t>
            </w:r>
            <w:r w:rsidR="00EE167C">
              <w:rPr>
                <w:noProof/>
                <w:webHidden/>
              </w:rPr>
              <w:fldChar w:fldCharType="end"/>
            </w:r>
          </w:hyperlink>
        </w:p>
        <w:p w14:paraId="5A1AE34E" w14:textId="425A1A6B" w:rsidR="00EE167C" w:rsidRDefault="00BC4A5A">
          <w:pPr>
            <w:pStyle w:val="Verzeichnis3"/>
            <w:tabs>
              <w:tab w:val="left" w:pos="1100"/>
              <w:tab w:val="right" w:leader="dot" w:pos="9062"/>
            </w:tabs>
            <w:rPr>
              <w:rFonts w:asciiTheme="minorHAnsi" w:hAnsiTheme="minorHAnsi"/>
              <w:noProof/>
              <w:lang w:val="de-DE" w:eastAsia="de-DE"/>
            </w:rPr>
          </w:pPr>
          <w:hyperlink w:anchor="_Toc108612548" w:history="1">
            <w:r w:rsidR="00EE167C" w:rsidRPr="00596532">
              <w:rPr>
                <w:rStyle w:val="Hyperlink"/>
                <w:noProof/>
              </w:rPr>
              <w:t>2.3.</w:t>
            </w:r>
            <w:r w:rsidR="00EE167C">
              <w:rPr>
                <w:rFonts w:asciiTheme="minorHAnsi" w:hAnsiTheme="minorHAnsi"/>
                <w:noProof/>
                <w:lang w:val="de-DE" w:eastAsia="de-DE"/>
              </w:rPr>
              <w:tab/>
            </w:r>
            <w:r w:rsidR="00EE167C" w:rsidRPr="00596532">
              <w:rPr>
                <w:rStyle w:val="Hyperlink"/>
                <w:noProof/>
              </w:rPr>
              <w:t>Neuroimaging Data</w:t>
            </w:r>
            <w:r w:rsidR="00EE167C">
              <w:rPr>
                <w:noProof/>
                <w:webHidden/>
              </w:rPr>
              <w:tab/>
            </w:r>
            <w:r w:rsidR="00EE167C">
              <w:rPr>
                <w:noProof/>
                <w:webHidden/>
              </w:rPr>
              <w:fldChar w:fldCharType="begin"/>
            </w:r>
            <w:r w:rsidR="00EE167C">
              <w:rPr>
                <w:noProof/>
                <w:webHidden/>
              </w:rPr>
              <w:instrText xml:space="preserve"> PAGEREF _Toc108612548 \h </w:instrText>
            </w:r>
            <w:r w:rsidR="00EE167C">
              <w:rPr>
                <w:noProof/>
                <w:webHidden/>
              </w:rPr>
            </w:r>
            <w:r w:rsidR="00EE167C">
              <w:rPr>
                <w:noProof/>
                <w:webHidden/>
              </w:rPr>
              <w:fldChar w:fldCharType="separate"/>
            </w:r>
            <w:r w:rsidR="00EE167C">
              <w:rPr>
                <w:noProof/>
                <w:webHidden/>
              </w:rPr>
              <w:t>12</w:t>
            </w:r>
            <w:r w:rsidR="00EE167C">
              <w:rPr>
                <w:noProof/>
                <w:webHidden/>
              </w:rPr>
              <w:fldChar w:fldCharType="end"/>
            </w:r>
          </w:hyperlink>
        </w:p>
        <w:p w14:paraId="548F17BA" w14:textId="282A4B96" w:rsidR="00EE167C" w:rsidRDefault="00BC4A5A">
          <w:pPr>
            <w:pStyle w:val="Verzeichnis3"/>
            <w:tabs>
              <w:tab w:val="left" w:pos="880"/>
              <w:tab w:val="right" w:leader="dot" w:pos="9062"/>
            </w:tabs>
            <w:rPr>
              <w:rFonts w:asciiTheme="minorHAnsi" w:hAnsiTheme="minorHAnsi"/>
              <w:noProof/>
              <w:lang w:val="de-DE" w:eastAsia="de-DE"/>
            </w:rPr>
          </w:pPr>
          <w:hyperlink w:anchor="_Toc108612549" w:history="1">
            <w:r w:rsidR="00EE167C" w:rsidRPr="00596532">
              <w:rPr>
                <w:rStyle w:val="Hyperlink"/>
                <w:noProof/>
              </w:rPr>
              <w:t>3.</w:t>
            </w:r>
            <w:r w:rsidR="00EE167C">
              <w:rPr>
                <w:rFonts w:asciiTheme="minorHAnsi" w:hAnsiTheme="minorHAnsi"/>
                <w:noProof/>
                <w:lang w:val="de-DE" w:eastAsia="de-DE"/>
              </w:rPr>
              <w:tab/>
            </w:r>
            <w:r w:rsidR="00EE167C" w:rsidRPr="00596532">
              <w:rPr>
                <w:rStyle w:val="Hyperlink"/>
                <w:noProof/>
              </w:rPr>
              <w:t>Data Analysis</w:t>
            </w:r>
            <w:r w:rsidR="00EE167C">
              <w:rPr>
                <w:noProof/>
                <w:webHidden/>
              </w:rPr>
              <w:tab/>
            </w:r>
            <w:r w:rsidR="00EE167C">
              <w:rPr>
                <w:noProof/>
                <w:webHidden/>
              </w:rPr>
              <w:fldChar w:fldCharType="begin"/>
            </w:r>
            <w:r w:rsidR="00EE167C">
              <w:rPr>
                <w:noProof/>
                <w:webHidden/>
              </w:rPr>
              <w:instrText xml:space="preserve"> PAGEREF _Toc108612549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108E2618" w14:textId="7BE397C1" w:rsidR="00EE167C" w:rsidRDefault="00BC4A5A">
          <w:pPr>
            <w:pStyle w:val="Verzeichnis3"/>
            <w:tabs>
              <w:tab w:val="left" w:pos="1100"/>
              <w:tab w:val="right" w:leader="dot" w:pos="9062"/>
            </w:tabs>
            <w:rPr>
              <w:rFonts w:asciiTheme="minorHAnsi" w:hAnsiTheme="minorHAnsi"/>
              <w:noProof/>
              <w:lang w:val="de-DE" w:eastAsia="de-DE"/>
            </w:rPr>
          </w:pPr>
          <w:hyperlink w:anchor="_Toc108612550" w:history="1">
            <w:r w:rsidR="00EE167C" w:rsidRPr="00596532">
              <w:rPr>
                <w:rStyle w:val="Hyperlink"/>
                <w:noProof/>
                <w:lang w:val="de-DE"/>
              </w:rPr>
              <w:t>3.1.</w:t>
            </w:r>
            <w:r w:rsidR="00EE167C">
              <w:rPr>
                <w:rFonts w:asciiTheme="minorHAnsi" w:hAnsiTheme="minorHAnsi"/>
                <w:noProof/>
                <w:lang w:val="de-DE" w:eastAsia="de-DE"/>
              </w:rPr>
              <w:tab/>
            </w:r>
            <w:r w:rsidR="00EE167C" w:rsidRPr="00596532">
              <w:rPr>
                <w:rStyle w:val="Hyperlink"/>
                <w:noProof/>
                <w:lang w:val="de-DE"/>
              </w:rPr>
              <w:t>Clinical Data/Stroke Aetiology</w:t>
            </w:r>
            <w:r w:rsidR="00EE167C">
              <w:rPr>
                <w:noProof/>
                <w:webHidden/>
              </w:rPr>
              <w:tab/>
            </w:r>
            <w:r w:rsidR="00EE167C">
              <w:rPr>
                <w:noProof/>
                <w:webHidden/>
              </w:rPr>
              <w:fldChar w:fldCharType="begin"/>
            </w:r>
            <w:r w:rsidR="00EE167C">
              <w:rPr>
                <w:noProof/>
                <w:webHidden/>
              </w:rPr>
              <w:instrText xml:space="preserve"> PAGEREF _Toc108612550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3858334C" w14:textId="1627CDA4" w:rsidR="00EE167C" w:rsidRDefault="00BC4A5A">
          <w:pPr>
            <w:pStyle w:val="Verzeichnis3"/>
            <w:tabs>
              <w:tab w:val="left" w:pos="1100"/>
              <w:tab w:val="right" w:leader="dot" w:pos="9062"/>
            </w:tabs>
            <w:rPr>
              <w:rFonts w:asciiTheme="minorHAnsi" w:hAnsiTheme="minorHAnsi"/>
              <w:noProof/>
              <w:lang w:val="de-DE" w:eastAsia="de-DE"/>
            </w:rPr>
          </w:pPr>
          <w:hyperlink w:anchor="_Toc108612551" w:history="1">
            <w:r w:rsidR="00EE167C" w:rsidRPr="00596532">
              <w:rPr>
                <w:rStyle w:val="Hyperlink"/>
                <w:noProof/>
              </w:rPr>
              <w:t>3.2.</w:t>
            </w:r>
            <w:r w:rsidR="00EE167C">
              <w:rPr>
                <w:rFonts w:asciiTheme="minorHAnsi" w:hAnsiTheme="minorHAnsi"/>
                <w:noProof/>
                <w:lang w:val="de-DE" w:eastAsia="de-DE"/>
              </w:rPr>
              <w:tab/>
            </w:r>
            <w:r w:rsidR="00EE167C" w:rsidRPr="00596532">
              <w:rPr>
                <w:rStyle w:val="Hyperlink"/>
                <w:noProof/>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_Toc108612551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2AB4B683" w14:textId="34222195" w:rsidR="00EE167C" w:rsidRDefault="00BC4A5A">
          <w:pPr>
            <w:pStyle w:val="Verzeichnis3"/>
            <w:tabs>
              <w:tab w:val="left" w:pos="1100"/>
              <w:tab w:val="right" w:leader="dot" w:pos="9062"/>
            </w:tabs>
            <w:rPr>
              <w:rFonts w:asciiTheme="minorHAnsi" w:hAnsiTheme="minorHAnsi"/>
              <w:noProof/>
              <w:lang w:val="de-DE" w:eastAsia="de-DE"/>
            </w:rPr>
          </w:pPr>
          <w:hyperlink w:anchor="_Toc108612552" w:history="1">
            <w:r w:rsidR="00EE167C" w:rsidRPr="00596532">
              <w:rPr>
                <w:rStyle w:val="Hyperlink"/>
                <w:noProof/>
                <w:lang w:val="de-DE"/>
              </w:rPr>
              <w:t>3.3.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_Toc108612552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71CA9980" w14:textId="60F8FA96" w:rsidR="00EE167C" w:rsidRDefault="00BC4A5A">
          <w:pPr>
            <w:pStyle w:val="Verzeichnis3"/>
            <w:tabs>
              <w:tab w:val="left" w:pos="1100"/>
              <w:tab w:val="right" w:leader="dot" w:pos="9062"/>
            </w:tabs>
            <w:rPr>
              <w:rFonts w:asciiTheme="minorHAnsi" w:hAnsiTheme="minorHAnsi"/>
              <w:noProof/>
              <w:lang w:val="de-DE" w:eastAsia="de-DE"/>
            </w:rPr>
          </w:pPr>
          <w:hyperlink w:anchor="_Toc108612553" w:history="1">
            <w:r w:rsidR="00EE167C" w:rsidRPr="00596532">
              <w:rPr>
                <w:rStyle w:val="Hyperlink"/>
                <w:noProof/>
              </w:rPr>
              <w:t>3.4.</w:t>
            </w:r>
            <w:r w:rsidR="00EE167C">
              <w:rPr>
                <w:rFonts w:asciiTheme="minorHAnsi" w:hAnsiTheme="minorHAnsi"/>
                <w:noProof/>
                <w:lang w:val="de-DE" w:eastAsia="de-DE"/>
              </w:rPr>
              <w:tab/>
            </w:r>
            <w:r w:rsidR="00EE167C" w:rsidRPr="00596532">
              <w:rPr>
                <w:rStyle w:val="Hyperlink"/>
                <w:noProof/>
                <w:lang w:val="de-DE"/>
              </w:rPr>
              <w:t>Region-to-Region disconnectivity</w:t>
            </w:r>
            <w:r w:rsidR="00EE167C">
              <w:rPr>
                <w:noProof/>
                <w:webHidden/>
              </w:rPr>
              <w:tab/>
            </w:r>
            <w:r w:rsidR="00EE167C">
              <w:rPr>
                <w:noProof/>
                <w:webHidden/>
              </w:rPr>
              <w:fldChar w:fldCharType="begin"/>
            </w:r>
            <w:r w:rsidR="00EE167C">
              <w:rPr>
                <w:noProof/>
                <w:webHidden/>
              </w:rPr>
              <w:instrText xml:space="preserve"> PAGEREF _Toc108612553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046FC282" w14:textId="56B86027" w:rsidR="00EE167C" w:rsidRDefault="00BC4A5A">
          <w:pPr>
            <w:pStyle w:val="Verzeichnis2"/>
            <w:tabs>
              <w:tab w:val="left" w:pos="660"/>
              <w:tab w:val="right" w:leader="dot" w:pos="9062"/>
            </w:tabs>
            <w:rPr>
              <w:rFonts w:asciiTheme="minorHAnsi" w:hAnsiTheme="minorHAnsi"/>
              <w:noProof/>
              <w:lang w:val="de-DE" w:eastAsia="de-DE"/>
            </w:rPr>
          </w:pPr>
          <w:hyperlink w:anchor="_Toc108612554" w:history="1">
            <w:r w:rsidR="00EE167C" w:rsidRPr="00596532">
              <w:rPr>
                <w:rStyle w:val="Hyperlink"/>
                <w:noProof/>
              </w:rPr>
              <w:t>4.</w:t>
            </w:r>
            <w:r w:rsidR="00EE167C">
              <w:rPr>
                <w:rFonts w:asciiTheme="minorHAnsi" w:hAnsiTheme="minorHAnsi"/>
                <w:noProof/>
                <w:lang w:val="de-DE" w:eastAsia="de-DE"/>
              </w:rPr>
              <w:tab/>
            </w:r>
            <w:r w:rsidR="00EE167C" w:rsidRPr="00596532">
              <w:rPr>
                <w:rStyle w:val="Hyperlink"/>
                <w:noProof/>
              </w:rPr>
              <w:t>Results</w:t>
            </w:r>
            <w:r w:rsidR="00EE167C">
              <w:rPr>
                <w:noProof/>
                <w:webHidden/>
              </w:rPr>
              <w:tab/>
            </w:r>
            <w:r w:rsidR="00EE167C">
              <w:rPr>
                <w:noProof/>
                <w:webHidden/>
              </w:rPr>
              <w:fldChar w:fldCharType="begin"/>
            </w:r>
            <w:r w:rsidR="00EE167C">
              <w:rPr>
                <w:noProof/>
                <w:webHidden/>
              </w:rPr>
              <w:instrText xml:space="preserve"> PAGEREF _Toc108612554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4E85A435" w14:textId="6A8B1433" w:rsidR="00EE167C" w:rsidRDefault="00BC4A5A">
          <w:pPr>
            <w:pStyle w:val="Verzeichnis3"/>
            <w:tabs>
              <w:tab w:val="left" w:pos="1100"/>
              <w:tab w:val="right" w:leader="dot" w:pos="9062"/>
            </w:tabs>
            <w:rPr>
              <w:rFonts w:asciiTheme="minorHAnsi" w:hAnsiTheme="minorHAnsi"/>
              <w:noProof/>
              <w:lang w:val="de-DE" w:eastAsia="de-DE"/>
            </w:rPr>
          </w:pPr>
          <w:hyperlink w:anchor="_Toc108612555" w:history="1">
            <w:r w:rsidR="00EE167C" w:rsidRPr="00596532">
              <w:rPr>
                <w:rStyle w:val="Hyperlink"/>
                <w:noProof/>
                <w:lang w:val="en-US"/>
              </w:rPr>
              <w:t>4.1.</w:t>
            </w:r>
            <w:r w:rsidR="00EE167C">
              <w:rPr>
                <w:rFonts w:asciiTheme="minorHAnsi" w:hAnsiTheme="minorHAnsi"/>
                <w:noProof/>
                <w:lang w:val="de-DE" w:eastAsia="de-DE"/>
              </w:rPr>
              <w:tab/>
            </w:r>
            <w:r w:rsidR="00EE167C" w:rsidRPr="00596532">
              <w:rPr>
                <w:rStyle w:val="Hyperlink"/>
                <w:noProof/>
                <w:lang w:val="en-US"/>
              </w:rPr>
              <w:t>Clinical and Demographic Data</w:t>
            </w:r>
            <w:r w:rsidR="00EE167C">
              <w:rPr>
                <w:noProof/>
                <w:webHidden/>
              </w:rPr>
              <w:tab/>
            </w:r>
            <w:r w:rsidR="00EE167C">
              <w:rPr>
                <w:noProof/>
                <w:webHidden/>
              </w:rPr>
              <w:fldChar w:fldCharType="begin"/>
            </w:r>
            <w:r w:rsidR="00EE167C">
              <w:rPr>
                <w:noProof/>
                <w:webHidden/>
              </w:rPr>
              <w:instrText xml:space="preserve"> PAGEREF _Toc108612555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77F95AD2" w14:textId="4689E94D" w:rsidR="00EE167C" w:rsidRDefault="00BC4A5A">
          <w:pPr>
            <w:pStyle w:val="Verzeichnis3"/>
            <w:tabs>
              <w:tab w:val="left" w:pos="1100"/>
              <w:tab w:val="right" w:leader="dot" w:pos="9062"/>
            </w:tabs>
            <w:rPr>
              <w:rFonts w:asciiTheme="minorHAnsi" w:hAnsiTheme="minorHAnsi"/>
              <w:noProof/>
              <w:lang w:val="de-DE" w:eastAsia="de-DE"/>
            </w:rPr>
          </w:pPr>
          <w:hyperlink w:anchor="_Toc108612556" w:history="1">
            <w:r w:rsidR="00EE167C" w:rsidRPr="00596532">
              <w:rPr>
                <w:rStyle w:val="Hyperlink"/>
                <w:noProof/>
                <w:lang w:val="en-US"/>
              </w:rPr>
              <w:t>4.2.</w:t>
            </w:r>
            <w:r w:rsidR="00EE167C">
              <w:rPr>
                <w:rFonts w:asciiTheme="minorHAnsi" w:hAnsiTheme="minorHAnsi"/>
                <w:noProof/>
                <w:lang w:val="de-DE" w:eastAsia="de-DE"/>
              </w:rPr>
              <w:tab/>
            </w:r>
            <w:r w:rsidR="00EE167C" w:rsidRPr="00596532">
              <w:rPr>
                <w:rStyle w:val="Hyperlink"/>
                <w:noProof/>
                <w:lang w:val="en-US"/>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_Toc108612556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341E14C3" w14:textId="0495C393" w:rsidR="00EE167C" w:rsidRDefault="00BC4A5A">
          <w:pPr>
            <w:pStyle w:val="Verzeichnis3"/>
            <w:tabs>
              <w:tab w:val="left" w:pos="1100"/>
              <w:tab w:val="right" w:leader="dot" w:pos="9062"/>
            </w:tabs>
            <w:rPr>
              <w:rFonts w:asciiTheme="minorHAnsi" w:hAnsiTheme="minorHAnsi"/>
              <w:noProof/>
              <w:lang w:val="de-DE" w:eastAsia="de-DE"/>
            </w:rPr>
          </w:pPr>
          <w:hyperlink w:anchor="_Toc108612557" w:history="1">
            <w:r w:rsidR="00EE167C" w:rsidRPr="00596532">
              <w:rPr>
                <w:rStyle w:val="Hyperlink"/>
                <w:noProof/>
                <w:lang w:val="de-DE"/>
              </w:rPr>
              <w:t>4.3.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_Toc108612557 \h </w:instrText>
            </w:r>
            <w:r w:rsidR="00EE167C">
              <w:rPr>
                <w:noProof/>
                <w:webHidden/>
              </w:rPr>
            </w:r>
            <w:r w:rsidR="00EE167C">
              <w:rPr>
                <w:noProof/>
                <w:webHidden/>
              </w:rPr>
              <w:fldChar w:fldCharType="separate"/>
            </w:r>
            <w:r w:rsidR="00EE167C">
              <w:rPr>
                <w:noProof/>
                <w:webHidden/>
              </w:rPr>
              <w:t>17</w:t>
            </w:r>
            <w:r w:rsidR="00EE167C">
              <w:rPr>
                <w:noProof/>
                <w:webHidden/>
              </w:rPr>
              <w:fldChar w:fldCharType="end"/>
            </w:r>
          </w:hyperlink>
        </w:p>
        <w:p w14:paraId="010F5B07" w14:textId="46AE1495" w:rsidR="00EE167C" w:rsidRDefault="00BC4A5A">
          <w:pPr>
            <w:pStyle w:val="Verzeichnis2"/>
            <w:tabs>
              <w:tab w:val="left" w:pos="660"/>
              <w:tab w:val="right" w:leader="dot" w:pos="9062"/>
            </w:tabs>
            <w:rPr>
              <w:rFonts w:asciiTheme="minorHAnsi" w:hAnsiTheme="minorHAnsi"/>
              <w:noProof/>
              <w:lang w:val="de-DE" w:eastAsia="de-DE"/>
            </w:rPr>
          </w:pPr>
          <w:hyperlink w:anchor="_Toc108612558" w:history="1">
            <w:r w:rsidR="00EE167C" w:rsidRPr="00596532">
              <w:rPr>
                <w:rStyle w:val="Hyperlink"/>
                <w:noProof/>
              </w:rPr>
              <w:t>5.</w:t>
            </w:r>
            <w:r w:rsidR="00EE167C">
              <w:rPr>
                <w:rFonts w:asciiTheme="minorHAnsi" w:hAnsiTheme="minorHAnsi"/>
                <w:noProof/>
                <w:lang w:val="de-DE" w:eastAsia="de-DE"/>
              </w:rPr>
              <w:tab/>
            </w:r>
            <w:r w:rsidR="00EE167C" w:rsidRPr="00596532">
              <w:rPr>
                <w:rStyle w:val="Hyperlink"/>
                <w:noProof/>
              </w:rPr>
              <w:t>Discussion</w:t>
            </w:r>
            <w:r w:rsidR="00EE167C">
              <w:rPr>
                <w:noProof/>
                <w:webHidden/>
              </w:rPr>
              <w:tab/>
            </w:r>
            <w:r w:rsidR="00EE167C">
              <w:rPr>
                <w:noProof/>
                <w:webHidden/>
              </w:rPr>
              <w:fldChar w:fldCharType="begin"/>
            </w:r>
            <w:r w:rsidR="00EE167C">
              <w:rPr>
                <w:noProof/>
                <w:webHidden/>
              </w:rPr>
              <w:instrText xml:space="preserve"> PAGEREF _Toc108612558 \h </w:instrText>
            </w:r>
            <w:r w:rsidR="00EE167C">
              <w:rPr>
                <w:noProof/>
                <w:webHidden/>
              </w:rPr>
            </w:r>
            <w:r w:rsidR="00EE167C">
              <w:rPr>
                <w:noProof/>
                <w:webHidden/>
              </w:rPr>
              <w:fldChar w:fldCharType="separate"/>
            </w:r>
            <w:r w:rsidR="00EE167C">
              <w:rPr>
                <w:noProof/>
                <w:webHidden/>
              </w:rPr>
              <w:t>18</w:t>
            </w:r>
            <w:r w:rsidR="00EE167C">
              <w:rPr>
                <w:noProof/>
                <w:webHidden/>
              </w:rPr>
              <w:fldChar w:fldCharType="end"/>
            </w:r>
          </w:hyperlink>
        </w:p>
        <w:p w14:paraId="4523DB62" w14:textId="164F0216" w:rsidR="00EE167C" w:rsidRDefault="00BC4A5A">
          <w:pPr>
            <w:pStyle w:val="Verzeichnis2"/>
            <w:tabs>
              <w:tab w:val="left" w:pos="660"/>
              <w:tab w:val="right" w:leader="dot" w:pos="9062"/>
            </w:tabs>
            <w:rPr>
              <w:rFonts w:asciiTheme="minorHAnsi" w:hAnsiTheme="minorHAnsi"/>
              <w:noProof/>
              <w:lang w:val="de-DE" w:eastAsia="de-DE"/>
            </w:rPr>
          </w:pPr>
          <w:hyperlink w:anchor="_Toc108612559" w:history="1">
            <w:r w:rsidR="00EE167C" w:rsidRPr="00596532">
              <w:rPr>
                <w:rStyle w:val="Hyperlink"/>
                <w:noProof/>
              </w:rPr>
              <w:t>6.</w:t>
            </w:r>
            <w:r w:rsidR="00EE167C">
              <w:rPr>
                <w:rFonts w:asciiTheme="minorHAnsi" w:hAnsiTheme="minorHAnsi"/>
                <w:noProof/>
                <w:lang w:val="de-DE" w:eastAsia="de-DE"/>
              </w:rPr>
              <w:tab/>
            </w:r>
            <w:r w:rsidR="00EE167C" w:rsidRPr="00596532">
              <w:rPr>
                <w:rStyle w:val="Hyperlink"/>
                <w:noProof/>
              </w:rPr>
              <w:t>Conclusion</w:t>
            </w:r>
            <w:r w:rsidR="00EE167C">
              <w:rPr>
                <w:noProof/>
                <w:webHidden/>
              </w:rPr>
              <w:tab/>
            </w:r>
            <w:r w:rsidR="00EE167C">
              <w:rPr>
                <w:noProof/>
                <w:webHidden/>
              </w:rPr>
              <w:fldChar w:fldCharType="begin"/>
            </w:r>
            <w:r w:rsidR="00EE167C">
              <w:rPr>
                <w:noProof/>
                <w:webHidden/>
              </w:rPr>
              <w:instrText xml:space="preserve"> PAGEREF _Toc108612559 \h </w:instrText>
            </w:r>
            <w:r w:rsidR="00EE167C">
              <w:rPr>
                <w:noProof/>
                <w:webHidden/>
              </w:rPr>
            </w:r>
            <w:r w:rsidR="00EE167C">
              <w:rPr>
                <w:noProof/>
                <w:webHidden/>
              </w:rPr>
              <w:fldChar w:fldCharType="separate"/>
            </w:r>
            <w:r w:rsidR="00EE167C">
              <w:rPr>
                <w:noProof/>
                <w:webHidden/>
              </w:rPr>
              <w:t>19</w:t>
            </w:r>
            <w:r w:rsidR="00EE167C">
              <w:rPr>
                <w:noProof/>
                <w:webHidden/>
              </w:rPr>
              <w:fldChar w:fldCharType="end"/>
            </w:r>
          </w:hyperlink>
        </w:p>
        <w:p w14:paraId="0BA40F27" w14:textId="45B7FDE1" w:rsidR="00EE167C" w:rsidRDefault="00BC4A5A">
          <w:pPr>
            <w:pStyle w:val="Verzeichnis2"/>
            <w:tabs>
              <w:tab w:val="right" w:leader="dot" w:pos="9062"/>
            </w:tabs>
            <w:rPr>
              <w:rFonts w:asciiTheme="minorHAnsi" w:hAnsiTheme="minorHAnsi"/>
              <w:noProof/>
              <w:lang w:val="de-DE" w:eastAsia="de-DE"/>
            </w:rPr>
          </w:pPr>
          <w:hyperlink w:anchor="_Toc108612560" w:history="1">
            <w:r w:rsidR="00EE167C" w:rsidRPr="00596532">
              <w:rPr>
                <w:rStyle w:val="Hyperlink"/>
                <w:noProof/>
              </w:rPr>
              <w:t>References</w:t>
            </w:r>
            <w:r w:rsidR="00EE167C">
              <w:rPr>
                <w:noProof/>
                <w:webHidden/>
              </w:rPr>
              <w:tab/>
            </w:r>
            <w:r w:rsidR="00EE167C">
              <w:rPr>
                <w:noProof/>
                <w:webHidden/>
              </w:rPr>
              <w:fldChar w:fldCharType="begin"/>
            </w:r>
            <w:r w:rsidR="00EE167C">
              <w:rPr>
                <w:noProof/>
                <w:webHidden/>
              </w:rPr>
              <w:instrText xml:space="preserve"> PAGEREF _Toc108612560 \h </w:instrText>
            </w:r>
            <w:r w:rsidR="00EE167C">
              <w:rPr>
                <w:noProof/>
                <w:webHidden/>
              </w:rPr>
            </w:r>
            <w:r w:rsidR="00EE167C">
              <w:rPr>
                <w:noProof/>
                <w:webHidden/>
              </w:rPr>
              <w:fldChar w:fldCharType="separate"/>
            </w:r>
            <w:r w:rsidR="00EE167C">
              <w:rPr>
                <w:noProof/>
                <w:webHidden/>
              </w:rPr>
              <w:t>20</w:t>
            </w:r>
            <w:r w:rsidR="00EE167C">
              <w:rPr>
                <w:noProof/>
                <w:webHidden/>
              </w:rPr>
              <w:fldChar w:fldCharType="end"/>
            </w:r>
          </w:hyperlink>
        </w:p>
        <w:p w14:paraId="2FE61439" w14:textId="1A7DD8D8" w:rsidR="00EE167C" w:rsidRDefault="00BC4A5A">
          <w:pPr>
            <w:pStyle w:val="Verzeichnis2"/>
            <w:tabs>
              <w:tab w:val="right" w:leader="dot" w:pos="9062"/>
            </w:tabs>
            <w:rPr>
              <w:rFonts w:asciiTheme="minorHAnsi" w:hAnsiTheme="minorHAnsi"/>
              <w:noProof/>
              <w:lang w:val="de-DE" w:eastAsia="de-DE"/>
            </w:rPr>
          </w:pPr>
          <w:hyperlink w:anchor="_Toc108612561" w:history="1">
            <w:r w:rsidR="00EE167C" w:rsidRPr="00596532">
              <w:rPr>
                <w:rStyle w:val="Hyperlink"/>
                <w:noProof/>
              </w:rPr>
              <w:t>Appendix</w:t>
            </w:r>
            <w:r w:rsidR="00EE167C">
              <w:rPr>
                <w:noProof/>
                <w:webHidden/>
              </w:rPr>
              <w:tab/>
            </w:r>
            <w:r w:rsidR="00EE167C">
              <w:rPr>
                <w:noProof/>
                <w:webHidden/>
              </w:rPr>
              <w:fldChar w:fldCharType="begin"/>
            </w:r>
            <w:r w:rsidR="00EE167C">
              <w:rPr>
                <w:noProof/>
                <w:webHidden/>
              </w:rPr>
              <w:instrText xml:space="preserve"> PAGEREF _Toc108612561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28A2AC5F" w14:textId="498FFA54" w:rsidR="00EE167C" w:rsidRDefault="00BC4A5A">
          <w:pPr>
            <w:pStyle w:val="Verzeichnis3"/>
            <w:tabs>
              <w:tab w:val="right" w:leader="dot" w:pos="9062"/>
            </w:tabs>
            <w:rPr>
              <w:rFonts w:asciiTheme="minorHAnsi" w:hAnsiTheme="minorHAnsi"/>
              <w:noProof/>
              <w:lang w:val="de-DE" w:eastAsia="de-DE"/>
            </w:rPr>
          </w:pPr>
          <w:hyperlink w:anchor="_Toc108612562" w:history="1">
            <w:r w:rsidR="00EE167C" w:rsidRPr="00596532">
              <w:rPr>
                <w:rStyle w:val="Hyperlink"/>
                <w:noProof/>
              </w:rPr>
              <w:t>Appendix A: List of Abbreviations</w:t>
            </w:r>
            <w:r w:rsidR="00EE167C">
              <w:rPr>
                <w:noProof/>
                <w:webHidden/>
              </w:rPr>
              <w:tab/>
            </w:r>
            <w:r w:rsidR="00EE167C">
              <w:rPr>
                <w:noProof/>
                <w:webHidden/>
              </w:rPr>
              <w:fldChar w:fldCharType="begin"/>
            </w:r>
            <w:r w:rsidR="00EE167C">
              <w:rPr>
                <w:noProof/>
                <w:webHidden/>
              </w:rPr>
              <w:instrText xml:space="preserve"> PAGEREF _Toc108612562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144A3B86" w14:textId="03BB6DF1" w:rsidR="00164442" w:rsidRDefault="00164442">
          <w:r>
            <w:rPr>
              <w:b/>
              <w:bCs/>
            </w:rPr>
            <w:fldChar w:fldCharType="end"/>
          </w:r>
        </w:p>
      </w:sdtContent>
    </w:sdt>
    <w:p w14:paraId="776C6606" w14:textId="07E048A0" w:rsidR="00ED13AD" w:rsidRDefault="00ED13AD" w:rsidP="00834B09">
      <w:r>
        <w:br w:type="page"/>
      </w:r>
    </w:p>
    <w:p w14:paraId="61F8C4E7" w14:textId="018DDA54" w:rsidR="00ED13AD" w:rsidRPr="00211340" w:rsidRDefault="00ED13AD" w:rsidP="00211340">
      <w:r>
        <w:lastRenderedPageBreak/>
        <w:t>Abstract</w:t>
      </w:r>
    </w:p>
    <w:p w14:paraId="146CBB68" w14:textId="4732B473" w:rsidR="00211340" w:rsidRDefault="00ED13AD" w:rsidP="00F37C63">
      <w:r>
        <w:t>[200 words]</w:t>
      </w:r>
    </w:p>
    <w:p w14:paraId="7F417C16" w14:textId="1B21EE0E" w:rsidR="00ED13AD" w:rsidRDefault="00ED13AD" w:rsidP="00F37C63">
      <w:pPr>
        <w:rPr>
          <w:rFonts w:cs="Arial"/>
        </w:rPr>
      </w:pPr>
      <w:r w:rsidRPr="00ED13AD">
        <w:rPr>
          <w:rFonts w:cs="Arial"/>
        </w:rPr>
        <w:t>Cognition and brain health are influenced by many variables, one of them being biological sex.</w:t>
      </w:r>
    </w:p>
    <w:p w14:paraId="7FB64B40" w14:textId="0F71D0FC" w:rsidR="00ED13AD" w:rsidRDefault="00ED13AD" w:rsidP="00F37C63">
      <w:pPr>
        <w:rPr>
          <w:rFonts w:cs="Arial"/>
        </w:rPr>
      </w:pPr>
    </w:p>
    <w:p w14:paraId="1C6B1B68" w14:textId="54071FAD" w:rsidR="00ED13AD" w:rsidRDefault="00ED13AD">
      <w:pPr>
        <w:spacing w:line="259" w:lineRule="auto"/>
        <w:rPr>
          <w:rFonts w:cs="Arial"/>
        </w:rPr>
      </w:pPr>
      <w:r>
        <w:rPr>
          <w:rFonts w:cs="Arial"/>
        </w:rPr>
        <w:br w:type="page"/>
      </w:r>
    </w:p>
    <w:p w14:paraId="305700D9" w14:textId="76878C82" w:rsidR="00ED13AD" w:rsidRPr="00EA784A" w:rsidRDefault="00ED13AD" w:rsidP="00EA784A">
      <w:pPr>
        <w:pStyle w:val="berschrift2"/>
        <w:numPr>
          <w:ilvl w:val="0"/>
          <w:numId w:val="3"/>
        </w:numPr>
        <w:rPr>
          <w:b w:val="0"/>
          <w:bCs w:val="0"/>
        </w:rPr>
      </w:pPr>
      <w:bookmarkStart w:id="0" w:name="_Toc108612540"/>
      <w:r w:rsidRPr="00EA784A">
        <w:rPr>
          <w:b w:val="0"/>
          <w:bCs w:val="0"/>
        </w:rPr>
        <w:lastRenderedPageBreak/>
        <w:t>Introduction</w:t>
      </w:r>
      <w:r w:rsidR="00A40F89">
        <w:rPr>
          <w:b w:val="0"/>
          <w:bCs w:val="0"/>
        </w:rPr>
        <w:t>: Sex Differences in Neuropsychology</w:t>
      </w:r>
      <w:bookmarkEnd w:id="0"/>
    </w:p>
    <w:p w14:paraId="79E2A6CA" w14:textId="1C4FF7F0" w:rsidR="00A40F89" w:rsidRDefault="00A40F89" w:rsidP="00A40F89">
      <w:pPr>
        <w:pStyle w:val="berschrift3"/>
        <w:numPr>
          <w:ilvl w:val="1"/>
          <w:numId w:val="3"/>
        </w:numPr>
      </w:pPr>
      <w:bookmarkStart w:id="1" w:name="_Toc108612542"/>
      <w:r>
        <w:t xml:space="preserve">Sex Differences in </w:t>
      </w:r>
      <w:r w:rsidR="00C12040" w:rsidRPr="00C12040">
        <w:rPr>
          <w:lang w:val="en-US"/>
        </w:rPr>
        <w:t xml:space="preserve">the </w:t>
      </w:r>
      <w:r>
        <w:t>Healthy Brain</w:t>
      </w:r>
      <w:bookmarkEnd w:id="1"/>
      <w:r w:rsidR="00C12040" w:rsidRPr="00C12040">
        <w:rPr>
          <w:lang w:val="en-US"/>
        </w:rPr>
        <w:t xml:space="preserve"> and General C</w:t>
      </w:r>
      <w:r w:rsidR="00C12040">
        <w:rPr>
          <w:lang w:val="en-US"/>
        </w:rPr>
        <w:t>ognition</w:t>
      </w:r>
    </w:p>
    <w:p w14:paraId="7F647E60" w14:textId="4D5135F7" w:rsidR="00A963A4" w:rsidRDefault="00A963A4" w:rsidP="00A963A4"/>
    <w:p w14:paraId="669B3B97" w14:textId="77777777" w:rsidR="005B4C29" w:rsidRDefault="00A963A4" w:rsidP="00A963A4">
      <w:pPr>
        <w:pStyle w:val="Listenabsatz"/>
        <w:numPr>
          <w:ilvl w:val="0"/>
          <w:numId w:val="6"/>
        </w:numPr>
        <w:autoSpaceDE w:val="0"/>
        <w:autoSpaceDN w:val="0"/>
        <w:adjustRightInd w:val="0"/>
        <w:spacing w:after="120" w:line="240" w:lineRule="auto"/>
        <w:jc w:val="left"/>
        <w:rPr>
          <w:rFonts w:eastAsia="Times New Roman" w:cs="Segoe UI"/>
          <w:lang w:val="en-US"/>
        </w:rPr>
      </w:pPr>
      <w:r w:rsidRPr="00A963A4">
        <w:rPr>
          <w:rFonts w:eastAsia="Times New Roman" w:cs="Segoe UI"/>
          <w:lang w:val="en-US"/>
        </w:rPr>
        <w:t xml:space="preserve">Varnava, Halligan &amp; Peter (2007): </w:t>
      </w:r>
    </w:p>
    <w:p w14:paraId="3F901FC5" w14:textId="7CF292C4" w:rsidR="00A963A4" w:rsidRDefault="00A963A4"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sidRPr="00A963A4">
        <w:rPr>
          <w:rFonts w:eastAsia="Times New Roman" w:cs="Segoe UI"/>
          <w:lang w:val="en-US"/>
        </w:rPr>
        <w:t>Hellige (2001) suggested that differences occur because the hemispheric asymmetry is not the same for males and females. This is plausible in view of the evidence that sex hormones influence cognition and brain function both at critical stages of ontogenetic development (Geschwind &amp; Galaburda, 1987) and in adulthood as various hormonal levels fluctuate over time (Kimura &amp; Hampson, 1994).</w:t>
      </w:r>
    </w:p>
    <w:p w14:paraId="00F56F54" w14:textId="5EB13F35" w:rsidR="005B4C29" w:rsidRDefault="005B4C29" w:rsidP="005B4C29">
      <w:pPr>
        <w:pStyle w:val="Listenabsatz"/>
        <w:numPr>
          <w:ilvl w:val="0"/>
          <w:numId w:val="6"/>
        </w:numPr>
        <w:autoSpaceDE w:val="0"/>
        <w:autoSpaceDN w:val="0"/>
        <w:adjustRightInd w:val="0"/>
        <w:spacing w:after="120" w:line="240" w:lineRule="auto"/>
        <w:jc w:val="left"/>
        <w:rPr>
          <w:rFonts w:eastAsia="Times New Roman" w:cs="Segoe UI"/>
          <w:lang w:val="en-US"/>
        </w:rPr>
      </w:pPr>
      <w:r>
        <w:rPr>
          <w:rFonts w:eastAsia="Times New Roman" w:cs="Segoe UI"/>
          <w:lang w:val="en-US"/>
        </w:rPr>
        <w:t xml:space="preserve">Ingalhalikar et al. (2014): </w:t>
      </w:r>
    </w:p>
    <w:p w14:paraId="50D2B91B" w14:textId="2FE09A05"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With the advent of </w:t>
      </w:r>
      <w:r>
        <w:rPr>
          <w:rFonts w:eastAsia="Times New Roman"/>
          <w:szCs w:val="24"/>
        </w:rPr>
        <w:t>neuroimaging, multiple studies have found sex differences in the brain (4) that could underlie the behavioral differences. Males have larger crania, proportionate to their larger body size, and a higher percentage of white matter (WM), which contains myelinated axonal fibers, and cerebrospinal fluid (5), whereas women demonstrate a higher percentage of gray matter after correcting for intracranial volume effect (6). Sex differences in the relative size and shape of specific</w:t>
      </w:r>
      <w:r w:rsidR="00E755F0">
        <w:rPr>
          <w:rFonts w:eastAsia="Times New Roman"/>
          <w:szCs w:val="24"/>
        </w:rPr>
        <w:t xml:space="preserve"> </w:t>
      </w:r>
      <w:r>
        <w:rPr>
          <w:rFonts w:eastAsia="Times New Roman"/>
          <w:szCs w:val="24"/>
        </w:rPr>
        <w:t>brain structures have also been reported (7), including the hippocampus, amygdala (8, 9), and corpus callosum (CC) (10). Furthermore, developmental differences in tissue growth suggest that there is an anatomical sex difference during maturation (11, 12), although links to observed behavioral differences have not been established.</w:t>
      </w:r>
    </w:p>
    <w:p w14:paraId="1F08CBC1" w14:textId="7FA129FC"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Advances in fiber </w:t>
      </w:r>
      <w:r>
        <w:rPr>
          <w:rFonts w:eastAsia="Times New Roman"/>
          <w:szCs w:val="24"/>
        </w:rPr>
        <w:t>tractography with diffusion imaging can be used to understand complex interactions among brain regions and to compute a structural connectome (SC) (31). Similar functional connectomes (FCs) can be computed using modalities like functional MRI, magnetoencephalography, and EEG. Differences in FCs have revealed sex differences and sex-by-hemispheric interactions (32), with higher local functional connectivity in females than in males (33). Although SCs of genders have displayed small-world architecture with broad-scale characteristics (34, 35), sex differences in network efficiency have been reported (36), with women having greater overall cortical connectivity (37).</w:t>
      </w:r>
    </w:p>
    <w:p w14:paraId="64D4A2D4" w14:textId="20E81E43"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The </w:t>
      </w:r>
      <w:r>
        <w:rPr>
          <w:rFonts w:eastAsia="Times New Roman"/>
          <w:szCs w:val="24"/>
        </w:rPr>
        <w:t>myelinated axons of WM facilitate distant signal conduction. Previous data from structural imaging showed a higher proportion of cortical WM in the males, except in the CC (40, 41). A higher proportion of myelinated fibers within hemispheres in males compared with an equal or larger volume of WM in the callosum suggests that male brains are optimized for communicating within the hemispheres, whereas female brains are optimized for interhemispheric communication.</w:t>
      </w:r>
    </w:p>
    <w:p w14:paraId="47C62B90" w14:textId="56817301" w:rsidR="00B32336" w:rsidRDefault="00B32336" w:rsidP="00A963A4">
      <w:pPr>
        <w:pStyle w:val="berschrift3"/>
        <w:numPr>
          <w:ilvl w:val="1"/>
          <w:numId w:val="3"/>
        </w:numPr>
        <w:rPr>
          <w:lang w:val="de-DE"/>
        </w:rPr>
      </w:pPr>
      <w:bookmarkStart w:id="2" w:name="_Toc108612543"/>
      <w:r w:rsidRPr="00EA784A">
        <w:t xml:space="preserve">Sex Differences in </w:t>
      </w:r>
      <w:r w:rsidR="00A963A4">
        <w:rPr>
          <w:lang w:val="de-DE"/>
        </w:rPr>
        <w:t>Stroke</w:t>
      </w:r>
      <w:bookmarkEnd w:id="2"/>
    </w:p>
    <w:p w14:paraId="143D73C1" w14:textId="77777777" w:rsidR="000E18A1" w:rsidRDefault="000E18A1" w:rsidP="00E755F0"/>
    <w:p w14:paraId="2803B7FB" w14:textId="5F2AF7D5" w:rsidR="00D55BE9" w:rsidRDefault="00E755F0" w:rsidP="00E755F0">
      <w:pPr>
        <w:rPr>
          <w:rFonts w:cs="Arial"/>
        </w:rPr>
      </w:pPr>
      <w:r w:rsidRPr="00E755F0">
        <w:t>Vascular diseases</w:t>
      </w:r>
      <w:r w:rsidR="00F0498E">
        <w:t xml:space="preserve">, such as stroke and ischemic heart diseases, currently constitute the second leading cause of death </w:t>
      </w:r>
      <w:r w:rsidR="00C12040">
        <w:t>worldwide</w:t>
      </w:r>
      <w:r w:rsidR="00F0498E">
        <w:t xml:space="preserve"> and are one of the leading causes of disability, especially in the elderly population (</w:t>
      </w:r>
      <w:hyperlink w:anchor="bonkhoff2021" w:history="1">
        <w:r w:rsidR="00F0498E" w:rsidRPr="00A579A3">
          <w:rPr>
            <w:rStyle w:val="Hyperlink"/>
            <w:rFonts w:ascii="Ebrima" w:hAnsi="Ebrima"/>
          </w:rPr>
          <w:t>Bonkhoff et al., 2021</w:t>
        </w:r>
      </w:hyperlink>
      <w:r w:rsidR="00F0498E">
        <w:t xml:space="preserve">; </w:t>
      </w:r>
      <w:hyperlink w:anchor="feigin2014" w:history="1">
        <w:r w:rsidR="00F0498E" w:rsidRPr="00A579A3">
          <w:rPr>
            <w:rStyle w:val="Hyperlink"/>
            <w:rFonts w:ascii="Ebrima" w:hAnsi="Ebrima"/>
          </w:rPr>
          <w:t>Feigin et al., 2014</w:t>
        </w:r>
      </w:hyperlink>
      <w:r w:rsidR="00F0498E">
        <w:t xml:space="preserve">; </w:t>
      </w:r>
      <w:hyperlink w:anchor="katanluft2018" w:history="1">
        <w:r w:rsidR="00F0498E" w:rsidRPr="00A579A3">
          <w:rPr>
            <w:rStyle w:val="Hyperlink"/>
            <w:rFonts w:ascii="Ebrima" w:hAnsi="Ebrima"/>
          </w:rPr>
          <w:t>Katan &amp; Luft, 2018</w:t>
        </w:r>
      </w:hyperlink>
      <w:r w:rsidR="00F0498E">
        <w:t>).</w:t>
      </w:r>
      <w:r w:rsidR="00C12040">
        <w:t xml:space="preserve"> </w:t>
      </w:r>
      <w:r w:rsidR="0039415E">
        <w:t xml:space="preserve">The Lancet’s Global Burden of Disease (GBD) review for the year 2019 </w:t>
      </w:r>
      <w:r w:rsidR="00431907">
        <w:t xml:space="preserve">reported 12.2 million global </w:t>
      </w:r>
      <w:r w:rsidR="00431907">
        <w:lastRenderedPageBreak/>
        <w:t>incident cases of strok</w:t>
      </w:r>
      <w:r w:rsidR="004F1D60">
        <w:t>e:</w:t>
      </w:r>
      <w:r w:rsidR="00A17362">
        <w:t xml:space="preserve"> 62.4% of those strokes were of an ischaemic nature, while the remaining 37.6% were haemorrhages. </w:t>
      </w:r>
      <w:r w:rsidR="00431907">
        <w:t xml:space="preserve">They further </w:t>
      </w:r>
      <w:r w:rsidR="0039415E">
        <w:t>identified stroke to be the second-leading cause of death, accounting for</w:t>
      </w:r>
      <w:r w:rsidR="00431907">
        <w:t xml:space="preserve"> a total of 6.55 million</w:t>
      </w:r>
      <w:r w:rsidR="0039415E">
        <w:t xml:space="preserve"> global deaths, and one of the top leading causes of long-term disabilities as measured by </w:t>
      </w:r>
      <w:r w:rsidR="00431907">
        <w:t>disease-adjusted life years (DALYs).</w:t>
      </w:r>
      <w:r w:rsidR="00A17362">
        <w:t xml:space="preserve"> Women suffered more often from strokes (6.44 million incident cases, </w:t>
      </w:r>
      <w:r w:rsidR="006C4739">
        <w:t>56.4 million prevalent cases)</w:t>
      </w:r>
      <w:r w:rsidR="00A17362">
        <w:t xml:space="preserve"> than men</w:t>
      </w:r>
      <w:r w:rsidR="006C4739">
        <w:t xml:space="preserve"> (5.79 million incident strokes, 45.0 million prevalent cases). However, there were no significant sex differences in the number of stroke-related deaths (</w:t>
      </w:r>
      <w:hyperlink w:anchor="GBDstroke2021" w:history="1">
        <w:r w:rsidR="006C4739" w:rsidRPr="006C4739">
          <w:rPr>
            <w:rStyle w:val="Hyperlink"/>
            <w:rFonts w:ascii="Ebrima" w:hAnsi="Ebrima" w:cs="Arial"/>
          </w:rPr>
          <w:t>GBD 2019 Stroke Collaborators, 2021</w:t>
        </w:r>
      </w:hyperlink>
      <w:r w:rsidR="006C4739">
        <w:rPr>
          <w:rFonts w:cs="Arial"/>
        </w:rPr>
        <w:t>).</w:t>
      </w:r>
    </w:p>
    <w:p w14:paraId="0E3760EE" w14:textId="7E075D88" w:rsidR="00673432" w:rsidRPr="000E18A1" w:rsidRDefault="00391FEC" w:rsidP="00D55BE9">
      <w:pPr>
        <w:rPr>
          <w:rFonts w:cs="Arial"/>
          <w:highlight w:val="yellow"/>
        </w:rPr>
      </w:pPr>
      <w:r>
        <w:rPr>
          <w:rFonts w:cs="Arial"/>
        </w:rPr>
        <w:t xml:space="preserve">Researchers believe that women’s higher burden of stroke may be in part due to their higher life expectancy, but also due to </w:t>
      </w:r>
      <w:r w:rsidR="00B72E11">
        <w:rPr>
          <w:rFonts w:cs="Arial"/>
        </w:rPr>
        <w:t>(</w:t>
      </w:r>
      <w:r>
        <w:rPr>
          <w:rFonts w:cs="Arial"/>
        </w:rPr>
        <w:t>neuro</w:t>
      </w:r>
      <w:r w:rsidR="00B72E11">
        <w:rPr>
          <w:rFonts w:cs="Arial"/>
        </w:rPr>
        <w:t>)</w:t>
      </w:r>
      <w:r>
        <w:rPr>
          <w:rFonts w:cs="Arial"/>
        </w:rPr>
        <w:t>biological</w:t>
      </w:r>
      <w:r w:rsidR="00B72E11">
        <w:rPr>
          <w:rFonts w:cs="Arial"/>
        </w:rPr>
        <w:t xml:space="preserve"> sex</w:t>
      </w:r>
      <w:r>
        <w:rPr>
          <w:rFonts w:cs="Arial"/>
        </w:rPr>
        <w:t xml:space="preserve"> </w:t>
      </w:r>
      <w:r w:rsidRPr="004F1D60">
        <w:rPr>
          <w:rFonts w:cs="Arial"/>
        </w:rPr>
        <w:t>differences</w:t>
      </w:r>
      <w:r w:rsidR="00D55BE9" w:rsidRPr="004F1D60">
        <w:rPr>
          <w:rFonts w:cs="Arial"/>
        </w:rPr>
        <w:t xml:space="preserve">, such as </w:t>
      </w:r>
      <w:r w:rsidR="00B72E11" w:rsidRPr="004F1D60">
        <w:rPr>
          <w:rFonts w:cs="Arial"/>
        </w:rPr>
        <w:t>sex chromosomes or sex steroid hormones</w:t>
      </w:r>
      <w:r w:rsidR="00D55BE9" w:rsidRPr="004F1D60">
        <w:rPr>
          <w:rFonts w:cs="Arial"/>
        </w:rPr>
        <w:t xml:space="preserve"> that contribute to different responses to cerebral ischemia</w:t>
      </w:r>
      <w:r w:rsidR="00D23577" w:rsidRPr="004F1D60">
        <w:rPr>
          <w:rFonts w:cs="Arial"/>
        </w:rPr>
        <w:t xml:space="preserve"> </w:t>
      </w:r>
      <w:r>
        <w:rPr>
          <w:rFonts w:cs="Arial"/>
        </w:rPr>
        <w:t>(</w:t>
      </w:r>
      <w:hyperlink w:anchor="bonkhoff2021" w:history="1">
        <w:r w:rsidR="00D55BE9" w:rsidRPr="00D23577">
          <w:rPr>
            <w:rStyle w:val="Hyperlink"/>
            <w:rFonts w:ascii="Ebrima" w:hAnsi="Ebrima" w:cs="Arial"/>
          </w:rPr>
          <w:t>Bonkhoff et al., 2021</w:t>
        </w:r>
      </w:hyperlink>
      <w:r w:rsidR="00D23577">
        <w:rPr>
          <w:rFonts w:cs="Arial"/>
        </w:rPr>
        <w:t xml:space="preserve">; </w:t>
      </w:r>
      <w:hyperlink w:anchor="bushnell2018" w:history="1">
        <w:r w:rsidR="00D23577" w:rsidRPr="00D23577">
          <w:rPr>
            <w:rStyle w:val="Hyperlink"/>
            <w:rFonts w:ascii="Ebrima" w:hAnsi="Ebrima" w:cs="Arial"/>
          </w:rPr>
          <w:t>Bushnell et al., 2018</w:t>
        </w:r>
      </w:hyperlink>
      <w:r w:rsidR="00B72E11">
        <w:rPr>
          <w:rFonts w:cs="Arial"/>
        </w:rPr>
        <w:t xml:space="preserve">; </w:t>
      </w:r>
      <w:hyperlink w:anchor="gibson2013" w:history="1">
        <w:r w:rsidR="00B72E11" w:rsidRPr="00687525">
          <w:rPr>
            <w:rStyle w:val="Hyperlink"/>
            <w:rFonts w:ascii="Ebrima" w:hAnsi="Ebrima" w:cs="Arial"/>
          </w:rPr>
          <w:t>Gibson, 2013</w:t>
        </w:r>
      </w:hyperlink>
      <w:r w:rsidR="00D55BE9">
        <w:rPr>
          <w:rFonts w:cs="Arial"/>
        </w:rPr>
        <w:t>).</w:t>
      </w:r>
      <w:r w:rsidR="00B72E11">
        <w:rPr>
          <w:rFonts w:cs="Arial"/>
        </w:rPr>
        <w:t xml:space="preserve"> </w:t>
      </w:r>
      <w:r w:rsidR="00687525">
        <w:rPr>
          <w:rFonts w:cs="Arial"/>
        </w:rPr>
        <w:t>S</w:t>
      </w:r>
      <w:r w:rsidR="00B72E11">
        <w:rPr>
          <w:rFonts w:cs="Arial"/>
        </w:rPr>
        <w:t>tudies have shown that in both hippocampal and astrocytic cells derived from neonatal populations, male-derived (XY) cells are more vulnerable than female-derived (XX) cells to ischaemic injuries</w:t>
      </w:r>
      <w:r w:rsidR="00B95806">
        <w:rPr>
          <w:rFonts w:cs="Arial"/>
        </w:rPr>
        <w:t xml:space="preserve"> – even in low hormonal concentrations</w:t>
      </w:r>
      <w:r w:rsidR="00B72E11">
        <w:rPr>
          <w:rFonts w:cs="Arial"/>
        </w:rPr>
        <w:t xml:space="preserve"> (</w:t>
      </w:r>
      <w:hyperlink w:anchor="li2005" w:history="1">
        <w:r w:rsidR="00B72E11" w:rsidRPr="00687525">
          <w:rPr>
            <w:rStyle w:val="Hyperlink"/>
            <w:rFonts w:ascii="Ebrima" w:hAnsi="Ebrima" w:cs="Arial"/>
          </w:rPr>
          <w:t>Li et al., 2005</w:t>
        </w:r>
      </w:hyperlink>
      <w:r w:rsidR="00B72E11">
        <w:rPr>
          <w:rFonts w:cs="Arial"/>
        </w:rPr>
        <w:t>;</w:t>
      </w:r>
      <w:r w:rsidR="00687525">
        <w:rPr>
          <w:rFonts w:cs="Arial"/>
        </w:rPr>
        <w:t xml:space="preserve"> </w:t>
      </w:r>
      <w:hyperlink w:anchor="liu2008" w:history="1">
        <w:r w:rsidR="00687525" w:rsidRPr="00687525">
          <w:rPr>
            <w:rStyle w:val="Hyperlink"/>
            <w:rFonts w:ascii="Ebrima" w:hAnsi="Ebrima" w:cs="Arial"/>
          </w:rPr>
          <w:t xml:space="preserve">Liu </w:t>
        </w:r>
        <w:r w:rsidR="00687525" w:rsidRPr="00687525">
          <w:rPr>
            <w:rStyle w:val="Hyperlink"/>
            <w:rFonts w:ascii="Ebrima" w:hAnsi="Ebrima" w:cs="Arial"/>
          </w:rPr>
          <w:t>e</w:t>
        </w:r>
        <w:r w:rsidR="00687525" w:rsidRPr="00687525">
          <w:rPr>
            <w:rStyle w:val="Hyperlink"/>
            <w:rFonts w:ascii="Ebrima" w:hAnsi="Ebrima" w:cs="Arial"/>
          </w:rPr>
          <w:t>t al., 2008</w:t>
        </w:r>
      </w:hyperlink>
      <w:r w:rsidR="00687525">
        <w:rPr>
          <w:rFonts w:cs="Arial"/>
        </w:rPr>
        <w:t xml:space="preserve">; </w:t>
      </w:r>
      <w:r w:rsidR="00687525" w:rsidRPr="00687525">
        <w:rPr>
          <w:rFonts w:cs="Arial"/>
          <w:highlight w:val="yellow"/>
        </w:rPr>
        <w:t>MORE</w:t>
      </w:r>
      <w:r w:rsidR="00B95806">
        <w:rPr>
          <w:rFonts w:cs="Arial"/>
        </w:rPr>
        <w:t xml:space="preserve">). </w:t>
      </w:r>
      <w:hyperlink w:anchor="manwani2014" w:history="1">
        <w:r w:rsidR="00B95806" w:rsidRPr="000E18A1">
          <w:rPr>
            <w:rStyle w:val="Hyperlink"/>
            <w:rFonts w:ascii="Ebrima" w:hAnsi="Ebrima" w:cs="Arial"/>
            <w:highlight w:val="yellow"/>
          </w:rPr>
          <w:t>Manwani et al. (2014)</w:t>
        </w:r>
      </w:hyperlink>
      <w:r w:rsidR="00B95806" w:rsidRPr="000E18A1">
        <w:rPr>
          <w:rFonts w:cs="Arial"/>
          <w:highlight w:val="yellow"/>
        </w:rPr>
        <w:t xml:space="preserve"> also demonstrated the same effects in mice. However, by dissociating the effects of gonadal</w:t>
      </w:r>
      <w:r w:rsidR="00C16AA8" w:rsidRPr="000E18A1">
        <w:rPr>
          <w:rFonts w:cs="Arial"/>
          <w:highlight w:val="yellow"/>
        </w:rPr>
        <w:t xml:space="preserve"> sex</w:t>
      </w:r>
      <w:r w:rsidR="00B95806" w:rsidRPr="000E18A1">
        <w:rPr>
          <w:rFonts w:cs="Arial"/>
          <w:highlight w:val="yellow"/>
        </w:rPr>
        <w:t xml:space="preserve"> hormones from sex chromosomes via the removal of </w:t>
      </w:r>
      <w:r w:rsidR="00C16AA8" w:rsidRPr="000E18A1">
        <w:rPr>
          <w:rFonts w:cs="Arial"/>
          <w:highlight w:val="yellow"/>
        </w:rPr>
        <w:t>gonads, they</w:t>
      </w:r>
      <w:r w:rsidR="00B95806" w:rsidRPr="000E18A1">
        <w:rPr>
          <w:rFonts w:cs="Arial"/>
          <w:highlight w:val="yellow"/>
        </w:rPr>
        <w:t xml:space="preserve"> were able to show that this female-specific ischaemic protection stemmed from circulating </w:t>
      </w:r>
      <w:r w:rsidR="00C16AA8" w:rsidRPr="000E18A1">
        <w:rPr>
          <w:rFonts w:cs="Arial"/>
          <w:highlight w:val="yellow"/>
        </w:rPr>
        <w:t>o</w:t>
      </w:r>
      <w:r w:rsidR="00B95806" w:rsidRPr="000E18A1">
        <w:rPr>
          <w:rFonts w:cs="Arial"/>
          <w:highlight w:val="yellow"/>
        </w:rPr>
        <w:t xml:space="preserve">estrogen and </w:t>
      </w:r>
      <w:r w:rsidR="00C16AA8" w:rsidRPr="000E18A1">
        <w:rPr>
          <w:rFonts w:cs="Arial"/>
          <w:highlight w:val="yellow"/>
        </w:rPr>
        <w:t>o</w:t>
      </w:r>
      <w:r w:rsidR="004F1D60">
        <w:rPr>
          <w:rFonts w:cs="Arial"/>
          <w:highlight w:val="yellow"/>
        </w:rPr>
        <w:t xml:space="preserve">estradiol (see also Bushnell et al., 2018 for a review). </w:t>
      </w:r>
      <w:bookmarkStart w:id="3" w:name="_GoBack"/>
      <w:bookmarkEnd w:id="3"/>
      <w:r w:rsidR="00C16AA8" w:rsidRPr="000E18A1">
        <w:rPr>
          <w:rFonts w:cs="Arial"/>
          <w:color w:val="FF0000"/>
          <w:highlight w:val="yellow"/>
        </w:rPr>
        <w:t>[übergang]</w:t>
      </w:r>
    </w:p>
    <w:p w14:paraId="1F343BD8" w14:textId="0F5920A9" w:rsidR="00675330" w:rsidRDefault="00675330" w:rsidP="00D55BE9">
      <w:pPr>
        <w:rPr>
          <w:rFonts w:cs="Arial"/>
        </w:rPr>
      </w:pPr>
      <w:r w:rsidRPr="000E18A1">
        <w:rPr>
          <w:rFonts w:cs="Arial"/>
          <w:highlight w:val="yellow"/>
        </w:rPr>
        <w:t xml:space="preserve">It has been well established by rodent studies that female brains sustain less injuries after experimental ischaemic stroke compared to male brains, which is likely due to neuroprotective properties of sex steroid hormones, such as </w:t>
      </w:r>
      <w:r w:rsidR="00C16AA8" w:rsidRPr="000E18A1">
        <w:rPr>
          <w:rFonts w:cs="Arial"/>
          <w:highlight w:val="yellow"/>
        </w:rPr>
        <w:t>o</w:t>
      </w:r>
      <w:r w:rsidRPr="000E18A1">
        <w:rPr>
          <w:rFonts w:cs="Arial"/>
          <w:highlight w:val="yellow"/>
        </w:rPr>
        <w:t xml:space="preserve">estradiol, </w:t>
      </w:r>
      <w:r w:rsidR="00C16AA8" w:rsidRPr="000E18A1">
        <w:rPr>
          <w:rFonts w:cs="Arial"/>
          <w:highlight w:val="yellow"/>
        </w:rPr>
        <w:t>o</w:t>
      </w:r>
      <w:r w:rsidRPr="000E18A1">
        <w:rPr>
          <w:rFonts w:cs="Arial"/>
          <w:highlight w:val="yellow"/>
        </w:rPr>
        <w:t>estrogen and progesterone (</w:t>
      </w:r>
      <w:hyperlink w:anchor="gibson2013" w:history="1">
        <w:r w:rsidRPr="000E18A1">
          <w:rPr>
            <w:rStyle w:val="Hyperlink"/>
            <w:rFonts w:ascii="Ebrima" w:hAnsi="Ebrima" w:cs="Arial"/>
            <w:highlight w:val="yellow"/>
          </w:rPr>
          <w:t>Gibson et al., 2013</w:t>
        </w:r>
      </w:hyperlink>
      <w:r w:rsidRPr="000E18A1">
        <w:rPr>
          <w:rFonts w:cs="Arial"/>
          <w:highlight w:val="yellow"/>
        </w:rPr>
        <w:t xml:space="preserve">; </w:t>
      </w:r>
      <w:hyperlink w:anchor="liu2010" w:history="1">
        <w:r w:rsidRPr="000E18A1">
          <w:rPr>
            <w:rStyle w:val="Hyperlink"/>
            <w:rFonts w:ascii="Ebrima" w:hAnsi="Ebrima" w:cs="Arial"/>
            <w:highlight w:val="yellow"/>
          </w:rPr>
          <w:t>Liu et al., 2010</w:t>
        </w:r>
      </w:hyperlink>
      <w:r w:rsidRPr="000E18A1">
        <w:rPr>
          <w:rFonts w:cs="Arial"/>
          <w:highlight w:val="yellow"/>
        </w:rPr>
        <w:t xml:space="preserve">; </w:t>
      </w:r>
      <w:hyperlink w:anchor="wise2001" w:history="1">
        <w:r w:rsidRPr="000E18A1">
          <w:rPr>
            <w:rStyle w:val="Hyperlink"/>
            <w:rFonts w:ascii="Ebrima" w:hAnsi="Ebrima" w:cs="Arial"/>
            <w:highlight w:val="yellow"/>
          </w:rPr>
          <w:t>Wise et al., 2001</w:t>
        </w:r>
      </w:hyperlink>
      <w:r w:rsidRPr="000E18A1">
        <w:rPr>
          <w:rFonts w:cs="Arial"/>
          <w:highlight w:val="yellow"/>
        </w:rPr>
        <w:t>)</w:t>
      </w:r>
      <w:r w:rsidR="007A78F7" w:rsidRPr="000E18A1">
        <w:rPr>
          <w:rFonts w:cs="Arial"/>
          <w:highlight w:val="yellow"/>
        </w:rPr>
        <w:t>.</w:t>
      </w:r>
      <w:r w:rsidR="007A78F7">
        <w:rPr>
          <w:rFonts w:cs="Arial"/>
        </w:rPr>
        <w:t xml:space="preserve"> There is also some experimental evidence in animal models that showed that acute administration of such hormones reduces infarct </w:t>
      </w:r>
      <w:r w:rsidR="007A78F7" w:rsidRPr="00E92B95">
        <w:rPr>
          <w:rFonts w:cs="Arial"/>
        </w:rPr>
        <w:t>size (</w:t>
      </w:r>
      <w:hyperlink w:anchor="gibson2009" w:history="1">
        <w:r w:rsidR="007A78F7" w:rsidRPr="00E92B95">
          <w:rPr>
            <w:rStyle w:val="Hyperlink"/>
            <w:rFonts w:ascii="Ebrima" w:hAnsi="Ebrima" w:cs="Arial"/>
          </w:rPr>
          <w:t>Gibson et al., 2009</w:t>
        </w:r>
      </w:hyperlink>
      <w:r w:rsidR="007A78F7" w:rsidRPr="00E92B95">
        <w:rPr>
          <w:rFonts w:cs="Arial"/>
        </w:rPr>
        <w:t xml:space="preserve">; </w:t>
      </w:r>
      <w:hyperlink w:anchor="liuyang2013" w:history="1">
        <w:r w:rsidR="007A78F7" w:rsidRPr="00E92B95">
          <w:rPr>
            <w:rStyle w:val="Hyperlink"/>
            <w:rFonts w:ascii="Ebrima" w:hAnsi="Ebrima" w:cs="Arial"/>
          </w:rPr>
          <w:t>Liu &amp; Yang, 2013</w:t>
        </w:r>
      </w:hyperlink>
      <w:r w:rsidR="007A78F7" w:rsidRPr="00E92B95">
        <w:rPr>
          <w:rFonts w:cs="Arial"/>
        </w:rPr>
        <w:t xml:space="preserve">; </w:t>
      </w:r>
      <w:hyperlink w:anchor="suzuki2009" w:history="1">
        <w:r w:rsidR="007A78F7" w:rsidRPr="000E18A1">
          <w:rPr>
            <w:rStyle w:val="Hyperlink"/>
            <w:rFonts w:ascii="Ebrima" w:hAnsi="Ebrima" w:cs="Arial"/>
          </w:rPr>
          <w:t>Suzuki et al, 2009</w:t>
        </w:r>
      </w:hyperlink>
      <w:r w:rsidR="007A78F7" w:rsidRPr="00E92B95">
        <w:rPr>
          <w:rFonts w:cs="Arial"/>
        </w:rPr>
        <w:t>),</w:t>
      </w:r>
      <w:r w:rsidR="007A78F7">
        <w:rPr>
          <w:rFonts w:cs="Arial"/>
        </w:rPr>
        <w:t xml:space="preserve"> however clinical trials have not been successful </w:t>
      </w:r>
      <w:r w:rsidR="007A78F7" w:rsidRPr="007A78F7">
        <w:rPr>
          <w:rFonts w:cs="Arial"/>
          <w:highlight w:val="yellow"/>
        </w:rPr>
        <w:t xml:space="preserve">so </w:t>
      </w:r>
      <w:r w:rsidR="007A78F7" w:rsidRPr="000E18A1">
        <w:rPr>
          <w:rFonts w:cs="Arial"/>
          <w:highlight w:val="yellow"/>
        </w:rPr>
        <w:t>far (CHECK)</w:t>
      </w:r>
      <w:r w:rsidR="007A78F7">
        <w:rPr>
          <w:rFonts w:cs="Arial"/>
        </w:rPr>
        <w:t xml:space="preserve"> </w:t>
      </w:r>
      <w:r w:rsidR="007A78F7" w:rsidRPr="000E18A1">
        <w:rPr>
          <w:rFonts w:cs="Arial"/>
        </w:rPr>
        <w:t>(</w:t>
      </w:r>
      <w:hyperlink w:anchor="gibson2013" w:history="1">
        <w:r w:rsidR="000E18A1" w:rsidRPr="000E18A1">
          <w:rPr>
            <w:rStyle w:val="Hyperlink"/>
            <w:rFonts w:ascii="Ebrima" w:hAnsi="Ebrima" w:cs="Arial"/>
          </w:rPr>
          <w:t>Gibson et al., 2013</w:t>
        </w:r>
      </w:hyperlink>
      <w:r w:rsidR="000E18A1">
        <w:rPr>
          <w:rFonts w:cs="Arial"/>
        </w:rPr>
        <w:t xml:space="preserve">; </w:t>
      </w:r>
      <w:hyperlink w:anchor="hendersonlobo2012" w:history="1">
        <w:r w:rsidR="007A78F7" w:rsidRPr="000E18A1">
          <w:rPr>
            <w:rStyle w:val="Hyperlink"/>
            <w:rFonts w:ascii="Ebrima" w:hAnsi="Ebrima" w:cs="Arial"/>
          </w:rPr>
          <w:t>Henderson &amp; Lobo, 2012</w:t>
        </w:r>
      </w:hyperlink>
      <w:r w:rsidR="000E18A1">
        <w:rPr>
          <w:rFonts w:cs="Arial"/>
        </w:rPr>
        <w:t>)</w:t>
      </w:r>
    </w:p>
    <w:p w14:paraId="43610EF6" w14:textId="6946B567" w:rsidR="00B72E11" w:rsidRDefault="00B72E11" w:rsidP="00D55BE9">
      <w:pPr>
        <w:rPr>
          <w:rFonts w:cs="Arial"/>
        </w:rPr>
      </w:pPr>
    </w:p>
    <w:p w14:paraId="1CA7ADCF" w14:textId="4224AE0E" w:rsidR="00762A97" w:rsidRDefault="00762A97" w:rsidP="00762A97">
      <w:pPr>
        <w:pStyle w:val="Listenabsatz"/>
        <w:numPr>
          <w:ilvl w:val="0"/>
          <w:numId w:val="6"/>
        </w:numPr>
      </w:pPr>
      <w:r>
        <w:t>Gibson (2013)</w:t>
      </w:r>
    </w:p>
    <w:p w14:paraId="143631EB" w14:textId="77F97431" w:rsidR="00762A97" w:rsidRDefault="00762A97" w:rsidP="00762A97">
      <w:pPr>
        <w:pStyle w:val="Listenabsatz"/>
        <w:numPr>
          <w:ilvl w:val="1"/>
          <w:numId w:val="6"/>
        </w:numPr>
      </w:pPr>
      <w:r>
        <w:t>Such gender differences have largely been attributed to the longer life expectancy of women, consistent with the fact that age is the strongest independent risk factor for stroke1 and also a negative predictor for clinical outcome.</w:t>
      </w:r>
    </w:p>
    <w:p w14:paraId="37EB8179" w14:textId="7B0D9897" w:rsidR="00762A97" w:rsidRDefault="00762A97" w:rsidP="00762A97">
      <w:pPr>
        <w:pStyle w:val="Listenabsatz"/>
        <w:numPr>
          <w:ilvl w:val="1"/>
          <w:numId w:val="6"/>
        </w:numPr>
      </w:pPr>
      <w:r>
        <w:t>In terms of stroke onset, women tend to be, on average, approximately 4 years older than men at the age of ischemic stroke onset. A recent meta-analysis on data from 2,566 patients revealed that the mean age of onset of first ischemic stroke was 66.6 years in men compared with 70.0 years in women.8</w:t>
      </w:r>
    </w:p>
    <w:p w14:paraId="53A3C44D" w14:textId="480CA2B5" w:rsidR="00762A97" w:rsidRDefault="00762A97" w:rsidP="00762A97">
      <w:pPr>
        <w:pStyle w:val="Listenabsatz"/>
        <w:numPr>
          <w:ilvl w:val="1"/>
          <w:numId w:val="6"/>
        </w:numPr>
      </w:pPr>
      <w:r>
        <w:t>For example, The Framingham study reported that the incidence of ischemic stroke is lower in women than men within the 45- to 54-year-old age cohort, composed mainly of premenopausal and preimenopausal women, but is equalized in the 55- to 64-year-old cohort.10</w:t>
      </w:r>
    </w:p>
    <w:p w14:paraId="27CAC4E9" w14:textId="67DA26A4" w:rsidR="00762A97" w:rsidRDefault="00762A97" w:rsidP="00762A97">
      <w:pPr>
        <w:pStyle w:val="Listenabsatz"/>
        <w:numPr>
          <w:ilvl w:val="1"/>
          <w:numId w:val="6"/>
        </w:numPr>
      </w:pPr>
      <w:r>
        <w:t>Gender may also influence both the mechanisms of injury and outcome after ischemic stroke and thus, gender should be considered in both experimental and clinical stroke studies</w:t>
      </w:r>
    </w:p>
    <w:p w14:paraId="370958B7" w14:textId="281165AC" w:rsidR="00762A97" w:rsidRDefault="00762A97" w:rsidP="00762A97">
      <w:pPr>
        <w:pStyle w:val="Listenabsatz"/>
        <w:numPr>
          <w:ilvl w:val="1"/>
          <w:numId w:val="6"/>
        </w:numPr>
      </w:pPr>
      <w:r>
        <w:lastRenderedPageBreak/>
        <w:t>However, a systematic review and meta-analysis revealed that women with stroke are more likely than men to have a parental history of stroke, which is accounted for by an excess maternal history of stroke.24 Such a finding could be explained by sex-specific genetic, epigenetic, or non-genetic mechanisms.</w:t>
      </w:r>
    </w:p>
    <w:p w14:paraId="3E762DCF" w14:textId="41EB7574" w:rsidR="00762A97" w:rsidRDefault="00762A97" w:rsidP="00762A97">
      <w:pPr>
        <w:pStyle w:val="Listenabsatz"/>
        <w:numPr>
          <w:ilvl w:val="1"/>
          <w:numId w:val="6"/>
        </w:numPr>
      </w:pPr>
      <w:r>
        <w:t>However, the general consensus seems to be that women have poorer functional outcomes, than men, after ischemic stroke.5,33,34 Such a gender difference appears to be sustained even after making adjustments for age and other sex differences in medical history and presentation. In fact, one study34 found that at 6 months poststroke, female sex is still an independent predictor of poor prognosis even when adjusting for other predictors of functional outcome. Others have reported that at 3 months poststroke, women are more likely to have a poorer functional outcome4 and, in addition, women show significantly worse locomotor function than men at both 1- and 5-year-follow-up after ischemic stroke.14 After ischemic stroke, women are less likely to be discharged home35 and more likely to have impairments and activity limitations on followup.5 It is reported that poststroke women experience more mental impairment,35 depression,36 fatigue,37 and have a lower overall quality of life38–40 than men. It may be though that if women are more likely to delay in seeking care for stroke symptoms,30 this could result in treatment delays, which would contribute to worse outcomes.</w:t>
      </w:r>
    </w:p>
    <w:p w14:paraId="681C8A14" w14:textId="595E9620" w:rsidR="00F540D7" w:rsidRDefault="00F540D7" w:rsidP="00762A97">
      <w:pPr>
        <w:pStyle w:val="Listenabsatz"/>
        <w:numPr>
          <w:ilvl w:val="1"/>
          <w:numId w:val="6"/>
        </w:numPr>
      </w:pPr>
      <w:r>
        <w:t>In female animals, the absence of aromatase, which converts androgens to estrogens, results in increased infarction area after ischemic stroke.108 In vitro, female</w:t>
      </w:r>
      <w:r>
        <w:t>derived astrocytes are protected from oxygen and glucose deprivation compared with male-derived astrocytes, which is abolished by pharmacological inhibition of aromatase56 suggesting that gender differences in estradiol production, by aromatase, may also contribute to the sex differences in sensitivity to cell death after ischemic insult.</w:t>
      </w:r>
    </w:p>
    <w:p w14:paraId="45AE3A18" w14:textId="1CB23B5E" w:rsidR="00F540D7" w:rsidRDefault="00F540D7" w:rsidP="00762A97">
      <w:pPr>
        <w:pStyle w:val="Listenabsatz"/>
        <w:numPr>
          <w:ilvl w:val="1"/>
          <w:numId w:val="6"/>
        </w:numPr>
      </w:pPr>
      <w:r>
        <w:t>Cerebral ischemia triggers a cascade of pathologic events including excitotoxicity, cell necrosis, apoptosis, inflammation, blood–brain barrier breakdown etc., which ultimately culminate in cellular dysfunction and death</w:t>
      </w:r>
      <w:r>
        <w:t xml:space="preserve">. […] </w:t>
      </w:r>
      <w:r>
        <w:t>Ischemic cell death is triggered by an influx of calcium, with subsequent oxidative damage and mitochondrial dysfunction activating several distinct cell death pathways.78</w:t>
      </w:r>
      <w:r>
        <w:t xml:space="preserve"> […] </w:t>
      </w:r>
      <w:r>
        <w:t>Ove</w:t>
      </w:r>
      <w:r>
        <w:t>r the past decade, both caspase-</w:t>
      </w:r>
      <w:r>
        <w:t>dependent and caspase-independent cell-death pathways have been recognized, adding considerable complexity to studies of ischemic cell death.79 Although cell death and apoptosis occur after ischemic injury, it is relevant to consider that the mechanism of injury between the genders could differ. Previous studies have shown that ischemic cell death pathways are different in the male and female brains, females often showing caspase-mediated cell death of individual neurons, whereas males are more sensitive to caspase-independent cell death.77</w:t>
      </w:r>
    </w:p>
    <w:p w14:paraId="5082E9C4" w14:textId="3D03EEDD" w:rsidR="00F540D7" w:rsidRDefault="00F540D7" w:rsidP="00F540D7">
      <w:pPr>
        <w:pStyle w:val="Listenabsatz"/>
        <w:numPr>
          <w:ilvl w:val="1"/>
          <w:numId w:val="6"/>
        </w:numPr>
      </w:pPr>
      <w:r>
        <w:t xml:space="preserve">Although the aging process itself is associated with a greater risk of mortality and poorer long-term functional outcomes,52,112,113 these detrimental effects, in terms of mortality and longer-term functional ability, seem to be direct consequences of the aging process per se. If the infarct volume is reduced </w:t>
      </w:r>
      <w:r>
        <w:lastRenderedPageBreak/>
        <w:t>in aged females, by hormone supplementation, to a similar size to that seen in young females, greater functional disability and increased mortality remain in aged females.52 Possible explanations for worse outcome in aged females include the fact that female rodents demonstrate an age-related impairment in astrocyte function, which is not present in males.114 This could directly contribute to the infarct severity by inefficient glutamate clearance and enhanced cytokine production. Thus, normal aging and female gender may both be associated with an increased inflammatory response.11</w:t>
      </w:r>
    </w:p>
    <w:p w14:paraId="4C2C9EF1" w14:textId="77777777" w:rsidR="005B4C29" w:rsidRDefault="00A963A4" w:rsidP="00A963A4">
      <w:pPr>
        <w:pStyle w:val="Listenabsatz"/>
        <w:numPr>
          <w:ilvl w:val="0"/>
          <w:numId w:val="6"/>
        </w:numPr>
        <w:rPr>
          <w:lang w:val="en-US"/>
        </w:rPr>
      </w:pPr>
      <w:r w:rsidRPr="00A963A4">
        <w:rPr>
          <w:lang w:val="en-US"/>
        </w:rPr>
        <w:t xml:space="preserve">Bushnell et al. (2018): </w:t>
      </w:r>
    </w:p>
    <w:p w14:paraId="2A6DEE0E" w14:textId="06A902E9" w:rsidR="005B4C29" w:rsidRPr="00A75CFC" w:rsidRDefault="005B4C29" w:rsidP="005B4C29">
      <w:pPr>
        <w:pStyle w:val="Listenabsatz"/>
        <w:numPr>
          <w:ilvl w:val="1"/>
          <w:numId w:val="6"/>
        </w:numPr>
        <w:rPr>
          <w:lang w:val="en-US"/>
        </w:rPr>
      </w:pPr>
      <w:r>
        <w:rPr>
          <w:rFonts w:eastAsia="Times New Roman"/>
        </w:rPr>
        <w:t xml:space="preserve">The incidence of human stroke is sexually </w:t>
      </w:r>
      <w:r>
        <w:rPr>
          <w:rFonts w:eastAsia="Times New Roman"/>
          <w:szCs w:val="24"/>
        </w:rPr>
        <w:t>dimorphic until late in life, well beyond the years of reproductive senescence and menopause. From early through midadulthood years, stroke incidence is lower in women compared to men. However, with advancing age, the incidence of stroke and stroke-related mortality becomes higher in women.1 This overarching observation has led to much work and the notion that biologic mechanisms of cell death in the ischemic brain are influenced in part, by biologic sex and in part, by the availability of female and male sex steroids before or after injury. These hormones clearly contribute to, but do not fully account for, sex-specific responses to cerebral ischemia.106</w:t>
      </w:r>
    </w:p>
    <w:p w14:paraId="1CE1507B" w14:textId="38913786" w:rsidR="00A75CFC" w:rsidRPr="00EB6BC9" w:rsidRDefault="00A75CFC" w:rsidP="005B4C29">
      <w:pPr>
        <w:pStyle w:val="Listenabsatz"/>
        <w:numPr>
          <w:ilvl w:val="1"/>
          <w:numId w:val="6"/>
        </w:numPr>
        <w:rPr>
          <w:lang w:val="en-US"/>
        </w:rPr>
      </w:pPr>
      <w:r>
        <w:rPr>
          <w:rFonts w:eastAsia="Times New Roman"/>
        </w:rPr>
        <w:t xml:space="preserve">Biologic sex influences many variables that are important to brain health in general, and to stroke or cerebral </w:t>
      </w:r>
      <w:r>
        <w:rPr>
          <w:rFonts w:eastAsia="Times New Roman"/>
          <w:szCs w:val="24"/>
        </w:rPr>
        <w:t>ischemia in particular, such as general health status, cerebrovascular anatomy and function, unique risk factors such as pregnancy and preeclampsia, symptomatology, and therapeutic response.</w:t>
      </w:r>
    </w:p>
    <w:p w14:paraId="48A25849" w14:textId="480471C5" w:rsidR="00EB6BC9" w:rsidRPr="00EB6BC9" w:rsidRDefault="00EB6BC9" w:rsidP="00EB6BC9">
      <w:pPr>
        <w:pStyle w:val="Listenabsatz"/>
        <w:numPr>
          <w:ilvl w:val="0"/>
          <w:numId w:val="6"/>
        </w:numPr>
        <w:rPr>
          <w:lang w:val="en-US"/>
        </w:rPr>
      </w:pPr>
      <w:r>
        <w:rPr>
          <w:rFonts w:eastAsia="Times New Roman"/>
          <w:szCs w:val="24"/>
        </w:rPr>
        <w:t xml:space="preserve"> Bonkhoff et al. (2021): </w:t>
      </w:r>
    </w:p>
    <w:p w14:paraId="6D8D6702" w14:textId="34049433" w:rsidR="00EB6BC9" w:rsidRPr="00164442" w:rsidRDefault="00EB6BC9" w:rsidP="00EB6BC9">
      <w:pPr>
        <w:pStyle w:val="Listenabsatz"/>
        <w:numPr>
          <w:ilvl w:val="1"/>
          <w:numId w:val="6"/>
        </w:numPr>
        <w:rPr>
          <w:lang w:val="en-US"/>
        </w:rPr>
      </w:pPr>
      <w:r>
        <w:rPr>
          <w:rFonts w:eastAsia="Times New Roman"/>
        </w:rPr>
        <w:t>women are often reported to experience higher acute stroke severity than men.</w:t>
      </w:r>
    </w:p>
    <w:p w14:paraId="2EB64AC2" w14:textId="7F157E4B" w:rsidR="00164442" w:rsidRPr="00164442" w:rsidRDefault="00164442" w:rsidP="00164442">
      <w:pPr>
        <w:pStyle w:val="Listenabsatz"/>
        <w:numPr>
          <w:ilvl w:val="0"/>
          <w:numId w:val="6"/>
        </w:numPr>
        <w:rPr>
          <w:lang w:val="en-US"/>
        </w:rPr>
      </w:pPr>
      <w:r>
        <w:rPr>
          <w:rFonts w:eastAsia="Times New Roman"/>
          <w:lang w:val="en-US"/>
        </w:rPr>
        <w:t>Katan &amp; Luft (2018):</w:t>
      </w:r>
    </w:p>
    <w:p w14:paraId="769AEF11" w14:textId="2F228461" w:rsidR="00164442" w:rsidRDefault="00164442" w:rsidP="00164442">
      <w:pPr>
        <w:pStyle w:val="Listenabsatz"/>
        <w:numPr>
          <w:ilvl w:val="1"/>
          <w:numId w:val="6"/>
        </w:numPr>
        <w:rPr>
          <w:lang w:val="en-US"/>
        </w:rPr>
      </w:pPr>
      <w:r w:rsidRPr="00164442">
        <w:rPr>
          <w:lang w:val="en-US"/>
        </w:rPr>
        <w:t>The most prominent causes of death are vascular in nature, and stroke is currently the second leading cause of death worldwide.2 Ischemic heart disease and stroke together accounted for 15.2 million deaths (15–15.6 million) in 2015.2 While ischemic strokes comprise the highest number of stroke, much of the global burden of stroke measured in proportion to</w:t>
      </w:r>
      <w:r w:rsidR="005B6533">
        <w:rPr>
          <w:lang w:val="en-US"/>
        </w:rPr>
        <w:t xml:space="preserve"> </w:t>
      </w:r>
      <w:r w:rsidRPr="00164442">
        <w:rPr>
          <w:lang w:val="en-US"/>
        </w:rPr>
        <w:t>mortality and by mortality and disability-adjusted life-years (DALYs) is allocated to hemorrhagic stroke.3</w:t>
      </w:r>
    </w:p>
    <w:p w14:paraId="1A495949" w14:textId="1EDA0BF1" w:rsidR="00164442" w:rsidRPr="00164442" w:rsidRDefault="00164442" w:rsidP="00164442">
      <w:pPr>
        <w:pStyle w:val="Listenabsatz"/>
        <w:numPr>
          <w:ilvl w:val="1"/>
          <w:numId w:val="6"/>
        </w:numPr>
        <w:rPr>
          <w:lang w:val="en-US"/>
        </w:rPr>
      </w:pPr>
      <w:r>
        <w:rPr>
          <w:rFonts w:eastAsia="Times New Roman"/>
        </w:rPr>
        <w:t>Stroke is one of the leading causes of long-term disability in the United States, especially in the elderly population in which stroke incidence is highest.</w:t>
      </w:r>
    </w:p>
    <w:p w14:paraId="2E08E4EF" w14:textId="758C6B39" w:rsidR="00164442" w:rsidRPr="00864208" w:rsidRDefault="00164442" w:rsidP="00164442">
      <w:pPr>
        <w:pStyle w:val="Listenabsatz"/>
        <w:numPr>
          <w:ilvl w:val="1"/>
          <w:numId w:val="6"/>
        </w:numPr>
        <w:rPr>
          <w:lang w:val="en-US"/>
        </w:rPr>
      </w:pPr>
      <w:r>
        <w:rPr>
          <w:rFonts w:eastAsia="Times New Roman"/>
        </w:rPr>
        <w:t xml:space="preserve">Moreover, an increase in stroke incidence and </w:t>
      </w:r>
      <w:r>
        <w:rPr>
          <w:rFonts w:eastAsia="Times New Roman" w:cs="Calibri"/>
          <w:szCs w:val="24"/>
        </w:rPr>
        <w:t>DALYs in adults aged 20 to 64 years has been observed.</w:t>
      </w:r>
    </w:p>
    <w:p w14:paraId="26FA6C75" w14:textId="548C948D" w:rsidR="00864208" w:rsidRPr="00864208" w:rsidRDefault="00864208" w:rsidP="00864208">
      <w:pPr>
        <w:pStyle w:val="Listenabsatz"/>
        <w:numPr>
          <w:ilvl w:val="0"/>
          <w:numId w:val="6"/>
        </w:numPr>
        <w:rPr>
          <w:lang w:val="en-US"/>
        </w:rPr>
      </w:pPr>
      <w:r>
        <w:rPr>
          <w:rFonts w:eastAsia="Times New Roman" w:cs="Calibri"/>
          <w:szCs w:val="24"/>
        </w:rPr>
        <w:t>Haast, Gustafson &amp; Kiliaan (2012):</w:t>
      </w:r>
    </w:p>
    <w:p w14:paraId="302BC68E" w14:textId="06583F0C" w:rsidR="00864208" w:rsidRDefault="00864208" w:rsidP="00864208">
      <w:pPr>
        <w:pStyle w:val="Listenabsatz"/>
        <w:numPr>
          <w:ilvl w:val="1"/>
          <w:numId w:val="6"/>
        </w:numPr>
        <w:rPr>
          <w:lang w:val="en-US"/>
        </w:rPr>
      </w:pPr>
      <w:r w:rsidRPr="00864208">
        <w:rPr>
          <w:lang w:val="en-US"/>
        </w:rPr>
        <w:t>While premenopausal women</w:t>
      </w:r>
      <w:r>
        <w:rPr>
          <w:lang w:val="en-US"/>
        </w:rPr>
        <w:t xml:space="preserve"> </w:t>
      </w:r>
      <w:r w:rsidRPr="00864208">
        <w:rPr>
          <w:lang w:val="en-US"/>
        </w:rPr>
        <w:t>experience fewer strokes than men of comparable age, stroke rates increase among postmenopausal women compared with age</w:t>
      </w:r>
      <w:r>
        <w:rPr>
          <w:lang w:val="en-US"/>
        </w:rPr>
        <w:t xml:space="preserve"> </w:t>
      </w:r>
      <w:r w:rsidRPr="00864208">
        <w:rPr>
          <w:lang w:val="en-US"/>
        </w:rPr>
        <w:t>matched</w:t>
      </w:r>
      <w:r>
        <w:rPr>
          <w:lang w:val="en-US"/>
        </w:rPr>
        <w:t xml:space="preserve"> </w:t>
      </w:r>
      <w:r w:rsidRPr="00864208">
        <w:rPr>
          <w:lang w:val="en-US"/>
        </w:rPr>
        <w:t>men. This postmenopausal phenomenon, in combination with living longer, are reasons for women being older at stroke</w:t>
      </w:r>
      <w:r>
        <w:rPr>
          <w:lang w:val="en-US"/>
        </w:rPr>
        <w:t xml:space="preserve"> </w:t>
      </w:r>
      <w:r w:rsidRPr="00864208">
        <w:rPr>
          <w:lang w:val="en-US"/>
        </w:rPr>
        <w:t>onset and suffering more severe strokes.</w:t>
      </w:r>
    </w:p>
    <w:p w14:paraId="02776875" w14:textId="53CAE3FB" w:rsidR="004D5A5E" w:rsidRDefault="004D5A5E" w:rsidP="004D5A5E">
      <w:pPr>
        <w:pStyle w:val="Listenabsatz"/>
        <w:numPr>
          <w:ilvl w:val="1"/>
          <w:numId w:val="6"/>
        </w:numPr>
        <w:rPr>
          <w:lang w:val="en-US"/>
        </w:rPr>
      </w:pPr>
      <w:r w:rsidRPr="004D5A5E">
        <w:rPr>
          <w:lang w:val="en-US"/>
        </w:rPr>
        <w:lastRenderedPageBreak/>
        <w:t>Ischemic stroke</w:t>
      </w:r>
      <w:r>
        <w:rPr>
          <w:lang w:val="en-US"/>
        </w:rPr>
        <w:t xml:space="preserve"> </w:t>
      </w:r>
      <w:r w:rsidRPr="004D5A5E">
        <w:rPr>
          <w:lang w:val="en-US"/>
        </w:rPr>
        <w:t>accounts for 87% of all strokes, while 10% are intracerebral</w:t>
      </w:r>
      <w:r>
        <w:rPr>
          <w:lang w:val="en-US"/>
        </w:rPr>
        <w:t xml:space="preserve"> </w:t>
      </w:r>
      <w:r w:rsidRPr="004D5A5E">
        <w:rPr>
          <w:lang w:val="en-US"/>
        </w:rPr>
        <w:t>hemorrhage and 3% are subarachnoid hemorrhage strokes.</w:t>
      </w:r>
      <w:r>
        <w:rPr>
          <w:lang w:val="en-US"/>
        </w:rPr>
        <w:t xml:space="preserve"> (see also 2011 AHA Stroke Update)</w:t>
      </w:r>
    </w:p>
    <w:p w14:paraId="2998EE19" w14:textId="4FAA86EB" w:rsidR="00246198" w:rsidRDefault="00246198" w:rsidP="004D5A5E">
      <w:pPr>
        <w:pStyle w:val="Listenabsatz"/>
        <w:numPr>
          <w:ilvl w:val="1"/>
          <w:numId w:val="6"/>
        </w:numPr>
        <w:rPr>
          <w:lang w:val="en-US"/>
        </w:rPr>
      </w:pPr>
      <w:r>
        <w:t>Nevertheless, prevalent stroke increases exponentially in both sexes with age. (see also Truelsen et al., 2006)</w:t>
      </w:r>
    </w:p>
    <w:p w14:paraId="69BBFDE4" w14:textId="2447FA74" w:rsidR="004D5A5E" w:rsidRPr="00246198" w:rsidRDefault="00246198" w:rsidP="004D5A5E">
      <w:pPr>
        <w:pStyle w:val="Listenabsatz"/>
        <w:numPr>
          <w:ilvl w:val="1"/>
          <w:numId w:val="6"/>
        </w:numPr>
        <w:rPr>
          <w:lang w:val="en-US"/>
        </w:rPr>
      </w:pPr>
      <w:r>
        <w:t>Excess stroke in women at high age may arise from longer life expectancy and reaching ages of highest stroke risk compared with men. (see also Truelsen et al., 2006)</w:t>
      </w:r>
    </w:p>
    <w:p w14:paraId="785FEB0F" w14:textId="2D4A940B" w:rsidR="00246198" w:rsidRPr="00673040" w:rsidRDefault="00246198" w:rsidP="004D5A5E">
      <w:pPr>
        <w:pStyle w:val="Listenabsatz"/>
        <w:numPr>
          <w:ilvl w:val="1"/>
          <w:numId w:val="6"/>
        </w:numPr>
        <w:rPr>
          <w:lang w:val="en-US"/>
        </w:rPr>
      </w:pPr>
      <w:r>
        <w:t>Sex hormones, such as estrogen, progesterone, and testosterone, influence physiologic (e.g., vascular reactivity, CBF, and blood– brain barrier) and pathophysiologic (e.g., atherosclerosis) aspects of cerebral circulation.</w:t>
      </w:r>
      <w:r w:rsidR="00673040">
        <w:t xml:space="preserve"> (Krause, Duckles &amp; Pelligrino, 2006)</w:t>
      </w:r>
      <w:r>
        <w:t xml:space="preserve"> One of the most extensively studied sex steroid hormones in relation to the physiology and pathophysiology of the circulatory system is the female hormone, estrogen. There is a large amount of evidence that estrogen, particularly 17b-estradiol (E2), is protective against cellular death in premenopausal stroke.</w:t>
      </w:r>
      <w:r w:rsidR="00673040">
        <w:t xml:space="preserve"> (Liu et al., 2010)</w:t>
      </w:r>
    </w:p>
    <w:p w14:paraId="211E2724" w14:textId="1EE0DFDC" w:rsidR="00673040" w:rsidRPr="004D5A5E" w:rsidRDefault="00673040" w:rsidP="004D5A5E">
      <w:pPr>
        <w:pStyle w:val="Listenabsatz"/>
        <w:numPr>
          <w:ilvl w:val="1"/>
          <w:numId w:val="6"/>
        </w:numPr>
        <w:rPr>
          <w:lang w:val="en-US"/>
        </w:rPr>
      </w:pPr>
      <w:r>
        <w:t>Epidemiologic studies have revealed a clear age-by-sex interaction leading to several mechanistic hypotheses of stroke risk and onset. Premenopausal women appear less vulnerable to stroke than similarly aged men. However, after menopause the m/f ratios for prevalence and incidence decrease, indicating an increase in stroke among postmenopausal women (or decrease in men). This shift is reflected in mortality and case fatality rates, which are higher for women at older ages. When evaluating these data it should be taken into account that women have longer life expectancy, are older at stroke onset, and suffer more severe strokes. […] Premenopausal women are most likely protected against stroke because of sex steroid hormone-dependent mechanisms. This is a natural conclusion, since there are dramatic changes in the female sex hormone milieu before, during, and after menopause. Estrogen, testosterone, and progesterone affect different physiologic and pathophysiologic functions of the cerebral circulation. Estrogen promotes blood flow by decreasing vascular reactivity while testosterone has opposite effects.</w:t>
      </w:r>
    </w:p>
    <w:p w14:paraId="1A7DFB1D" w14:textId="5E429D8F" w:rsidR="005040E8" w:rsidRPr="00EA784A" w:rsidRDefault="005040E8" w:rsidP="00A963A4">
      <w:pPr>
        <w:pStyle w:val="berschrift3"/>
        <w:numPr>
          <w:ilvl w:val="1"/>
          <w:numId w:val="3"/>
        </w:numPr>
      </w:pPr>
      <w:bookmarkStart w:id="4" w:name="_Toc108612544"/>
      <w:r w:rsidRPr="00EA784A">
        <w:t>Visuospatial Neglect</w:t>
      </w:r>
      <w:bookmarkEnd w:id="4"/>
    </w:p>
    <w:p w14:paraId="70BE5F53" w14:textId="77777777" w:rsidR="00DC3681" w:rsidRDefault="00DC3681">
      <w:pPr>
        <w:rPr>
          <w:b/>
          <w:bCs/>
        </w:rPr>
      </w:pPr>
    </w:p>
    <w:p w14:paraId="2FFF05EF" w14:textId="77777777" w:rsidR="00D23577" w:rsidRDefault="00D23577"/>
    <w:p w14:paraId="296DD1AC" w14:textId="2944D3EC" w:rsidR="00606AF9" w:rsidRDefault="00DC3681">
      <w:r w:rsidRPr="00DC3681">
        <w:t xml:space="preserve">Visuospatial </w:t>
      </w:r>
      <w:r>
        <w:t xml:space="preserve">neglect </w:t>
      </w:r>
      <w:r w:rsidR="00D3582F">
        <w:t>is a neurological syndrome that commonly occurs in the acute stage after predominantly right hemispheric stroke</w:t>
      </w:r>
      <w:r w:rsidR="00147B1C">
        <w:t>, though it may also be caused by other forms of unilateral brain injury</w:t>
      </w:r>
      <w:r w:rsidR="00AE4D79">
        <w:t xml:space="preserve"> </w:t>
      </w:r>
      <w:r w:rsidR="00606AF9">
        <w:t>(</w:t>
      </w:r>
      <w:hyperlink w:anchor="karnathrorden2012" w:history="1">
        <w:r w:rsidR="00606AF9" w:rsidRPr="00606AF9">
          <w:rPr>
            <w:rStyle w:val="Hyperlink"/>
            <w:rFonts w:ascii="Ebrima" w:hAnsi="Ebrima"/>
          </w:rPr>
          <w:t>Karnath &amp; Rorden, 2012</w:t>
        </w:r>
      </w:hyperlink>
      <w:r w:rsidR="00606AF9">
        <w:t>;</w:t>
      </w:r>
      <w:r w:rsidR="00147B1C">
        <w:t xml:space="preserve"> </w:t>
      </w:r>
      <w:hyperlink w:anchor="limalhotra2015" w:history="1">
        <w:r w:rsidR="00AE4D79" w:rsidRPr="009F4AD7">
          <w:rPr>
            <w:rStyle w:val="Hyperlink"/>
            <w:rFonts w:ascii="Ebrima" w:hAnsi="Ebrima"/>
          </w:rPr>
          <w:t>Li &amp; Malhotra, 2015</w:t>
        </w:r>
      </w:hyperlink>
      <w:r w:rsidR="00AE4D79" w:rsidRPr="009F4AD7">
        <w:t xml:space="preserve">; </w:t>
      </w:r>
      <w:hyperlink w:anchor="stone1993" w:history="1">
        <w:r w:rsidR="00D23577">
          <w:rPr>
            <w:rStyle w:val="Hyperlink"/>
            <w:rFonts w:ascii="Ebrima" w:hAnsi="Ebrima"/>
          </w:rPr>
          <w:t>Stone</w:t>
        </w:r>
      </w:hyperlink>
      <w:r w:rsidR="00D23577">
        <w:rPr>
          <w:rStyle w:val="Hyperlink"/>
          <w:rFonts w:ascii="Ebrima" w:hAnsi="Ebrima"/>
        </w:rPr>
        <w:t xml:space="preserve"> et al., 1993</w:t>
      </w:r>
      <w:r w:rsidR="00AE4D79" w:rsidRPr="009F4AD7">
        <w:t>)</w:t>
      </w:r>
      <w:r w:rsidR="00D3582F" w:rsidRPr="009F4AD7">
        <w:t>.</w:t>
      </w:r>
      <w:r w:rsidR="00D3582F">
        <w:t xml:space="preserve"> </w:t>
      </w:r>
      <w:r w:rsidR="00E8007F" w:rsidRPr="00BC4A5A">
        <w:rPr>
          <w:color w:val="FF0000"/>
        </w:rPr>
        <w:t>While there’s no consensus on the exact prevalence of neglect,</w:t>
      </w:r>
      <w:r w:rsidR="00BD519E" w:rsidRPr="00BC4A5A">
        <w:rPr>
          <w:color w:val="FF0000"/>
        </w:rPr>
        <w:t xml:space="preserve"> more</w:t>
      </w:r>
      <w:r w:rsidR="00E8007F" w:rsidRPr="00BC4A5A">
        <w:rPr>
          <w:color w:val="FF0000"/>
        </w:rPr>
        <w:t xml:space="preserve"> conservative estimates report a prevalence of ~</w:t>
      </w:r>
      <w:r w:rsidR="00A21640" w:rsidRPr="00BC4A5A">
        <w:rPr>
          <w:color w:val="FF0000"/>
        </w:rPr>
        <w:t>16</w:t>
      </w:r>
      <w:r w:rsidR="00E8007F" w:rsidRPr="00BC4A5A">
        <w:rPr>
          <w:color w:val="FF0000"/>
        </w:rPr>
        <w:t>% in the acute phase after stroke (</w:t>
      </w:r>
      <w:r w:rsidR="00526DFC" w:rsidRPr="00BC4A5A">
        <w:rPr>
          <w:color w:val="FF0000"/>
        </w:rPr>
        <w:t xml:space="preserve">e.g.: </w:t>
      </w:r>
      <w:hyperlink w:anchor="tenbrink2016" w:history="1">
        <w:r w:rsidR="00526DFC" w:rsidRPr="00BC4A5A">
          <w:rPr>
            <w:rStyle w:val="Hyperlink"/>
            <w:rFonts w:ascii="Ebrima" w:hAnsi="Ebrima"/>
            <w:color w:val="FF0000"/>
          </w:rPr>
          <w:t>Ten Brink et al., 2016</w:t>
        </w:r>
      </w:hyperlink>
      <w:r w:rsidR="00526DFC" w:rsidRPr="00BC4A5A">
        <w:rPr>
          <w:color w:val="FF0000"/>
        </w:rPr>
        <w:t xml:space="preserve">), while others report a prevalence of about </w:t>
      </w:r>
      <w:r w:rsidR="004B4F48" w:rsidRPr="00BC4A5A">
        <w:rPr>
          <w:color w:val="FF0000"/>
        </w:rPr>
        <w:t xml:space="preserve">30-45% (e.g.: </w:t>
      </w:r>
      <w:hyperlink w:anchor="bowen1999" w:history="1">
        <w:r w:rsidR="00EA18A1">
          <w:rPr>
            <w:rStyle w:val="Hyperlink"/>
            <w:rFonts w:ascii="Ebrima" w:hAnsi="Ebrima"/>
            <w:color w:val="FF0000"/>
          </w:rPr>
          <w:t>Bowen</w:t>
        </w:r>
      </w:hyperlink>
      <w:r w:rsidR="00EA18A1">
        <w:rPr>
          <w:rStyle w:val="Hyperlink"/>
          <w:rFonts w:ascii="Ebrima" w:hAnsi="Ebrima"/>
          <w:color w:val="FF0000"/>
        </w:rPr>
        <w:t xml:space="preserve"> et al., 1999</w:t>
      </w:r>
      <w:r w:rsidR="004B4F48" w:rsidRPr="00BC4A5A">
        <w:rPr>
          <w:color w:val="FF0000"/>
        </w:rPr>
        <w:t xml:space="preserve">; </w:t>
      </w:r>
      <w:hyperlink w:anchor="buxbaum2004" w:history="1">
        <w:r w:rsidR="004B4F48" w:rsidRPr="00BC4A5A">
          <w:rPr>
            <w:rStyle w:val="Hyperlink"/>
            <w:rFonts w:ascii="Ebrima" w:hAnsi="Ebrima"/>
            <w:color w:val="FF0000"/>
          </w:rPr>
          <w:t>Buxbaum et al., 2004</w:t>
        </w:r>
      </w:hyperlink>
      <w:r w:rsidR="00832BF8" w:rsidRPr="00BC4A5A">
        <w:rPr>
          <w:color w:val="FF0000"/>
        </w:rPr>
        <w:t xml:space="preserve">; </w:t>
      </w:r>
      <w:hyperlink w:anchor="corbetta" w:history="1">
        <w:r w:rsidR="00832BF8" w:rsidRPr="00BC4A5A">
          <w:rPr>
            <w:rStyle w:val="Hyperlink"/>
            <w:rFonts w:ascii="Ebrima" w:hAnsi="Ebrima"/>
            <w:color w:val="FF0000"/>
          </w:rPr>
          <w:t>Corbetta, 2014</w:t>
        </w:r>
      </w:hyperlink>
      <w:r w:rsidR="004B4F48" w:rsidRPr="00BC4A5A">
        <w:rPr>
          <w:color w:val="FF0000"/>
        </w:rPr>
        <w:t xml:space="preserve">), with a few studies reporting prevalence to be as high as 82% (e.g.: </w:t>
      </w:r>
      <w:hyperlink w:anchor="stone1993" w:history="1">
        <w:r w:rsidR="00EA18A1">
          <w:rPr>
            <w:rStyle w:val="Hyperlink"/>
            <w:rFonts w:ascii="Ebrima" w:hAnsi="Ebrima"/>
            <w:color w:val="FF0000"/>
          </w:rPr>
          <w:t>Stone</w:t>
        </w:r>
      </w:hyperlink>
      <w:r w:rsidR="00EA18A1">
        <w:rPr>
          <w:rStyle w:val="Hyperlink"/>
          <w:rFonts w:ascii="Ebrima" w:hAnsi="Ebrima"/>
          <w:color w:val="FF0000"/>
        </w:rPr>
        <w:t xml:space="preserve"> et al., 1993</w:t>
      </w:r>
      <w:r w:rsidR="004B4F48" w:rsidRPr="00BC4A5A">
        <w:rPr>
          <w:color w:val="FF0000"/>
        </w:rPr>
        <w:t>).</w:t>
      </w:r>
      <w:r w:rsidR="006616EB" w:rsidRPr="00BC4A5A">
        <w:rPr>
          <w:color w:val="FF0000"/>
        </w:rPr>
        <w:t xml:space="preserve"> </w:t>
      </w:r>
    </w:p>
    <w:p w14:paraId="67DE5EFC" w14:textId="1A756318" w:rsidR="005C04EA" w:rsidRDefault="00630392">
      <w:r>
        <w:t xml:space="preserve">Visuospatial neglect is often described as a “heterogenous collection of symptoms”. </w:t>
      </w:r>
      <w:r w:rsidR="009F4233">
        <w:t xml:space="preserve"> </w:t>
      </w:r>
      <w:r w:rsidR="0076190C">
        <w:t>After right hemispheric lesions, n</w:t>
      </w:r>
      <w:r w:rsidR="00606AF9">
        <w:t xml:space="preserve">eglect </w:t>
      </w:r>
      <w:r w:rsidR="00D3582F">
        <w:t>patients exhibit pathological spatial biases towards the ipsilesional</w:t>
      </w:r>
      <w:r w:rsidR="0076190C">
        <w:t xml:space="preserve"> </w:t>
      </w:r>
      <w:r w:rsidR="0076190C">
        <w:lastRenderedPageBreak/>
        <w:t xml:space="preserve">(right) </w:t>
      </w:r>
      <w:r w:rsidR="00D3582F">
        <w:t>side of spac</w:t>
      </w:r>
      <w:r w:rsidR="0076190C">
        <w:t>e.</w:t>
      </w:r>
      <w:r w:rsidR="0002756A">
        <w:t xml:space="preserve"> This manifests as a deviation of their eye and head position, as well as an attentional bias both at rest and during goal-directed behaviour towards the ipsilesional side. At the same time, </w:t>
      </w:r>
      <w:r w:rsidR="002C590D">
        <w:t>patients</w:t>
      </w:r>
      <w:r w:rsidR="0002756A">
        <w:t xml:space="preserve"> have difficulties in orienting towards the </w:t>
      </w:r>
      <w:r w:rsidR="00AE4D79">
        <w:t>contralesional side and will typically ignore stimuli and people located on that side (</w:t>
      </w:r>
      <w:hyperlink w:anchor="beckerkarnath2010" w:history="1">
        <w:r w:rsidR="00C0607F" w:rsidRPr="00C0607F">
          <w:rPr>
            <w:rStyle w:val="Hyperlink"/>
            <w:rFonts w:ascii="Ebrima" w:hAnsi="Ebrima"/>
          </w:rPr>
          <w:t>Becker &amp; Karnath, 2010</w:t>
        </w:r>
      </w:hyperlink>
      <w:r w:rsidR="00C0607F">
        <w:t xml:space="preserve">; </w:t>
      </w:r>
      <w:hyperlink w:anchor="karnath2015" w:history="1">
        <w:r w:rsidR="00AE4D79" w:rsidRPr="009F4AD7">
          <w:rPr>
            <w:rStyle w:val="Hyperlink"/>
            <w:rFonts w:ascii="Ebrima" w:hAnsi="Ebrima"/>
          </w:rPr>
          <w:t>Karnath, 2015</w:t>
        </w:r>
      </w:hyperlink>
      <w:r w:rsidR="00AE4D79">
        <w:t xml:space="preserve">; </w:t>
      </w:r>
      <w:hyperlink w:anchor="karnathrorden2012" w:history="1">
        <w:r w:rsidR="00AE4D79" w:rsidRPr="009F4AD7">
          <w:rPr>
            <w:rStyle w:val="Hyperlink"/>
            <w:rFonts w:ascii="Ebrima" w:hAnsi="Ebrima"/>
          </w:rPr>
          <w:t>Karnath &amp; Rorden, 2012</w:t>
        </w:r>
      </w:hyperlink>
      <w:r w:rsidR="00AE4D79">
        <w:t xml:space="preserve">). </w:t>
      </w:r>
      <w:r w:rsidR="009F4233" w:rsidRPr="009F4233">
        <w:rPr>
          <w:highlight w:val="yellow"/>
        </w:rPr>
        <w:t>[MORE]</w:t>
      </w:r>
      <w:r w:rsidR="009F4233">
        <w:t xml:space="preserve"> </w:t>
      </w:r>
      <w:r w:rsidR="009F4233" w:rsidRPr="009F4233">
        <w:rPr>
          <w:highlight w:val="yellow"/>
        </w:rPr>
        <w:t>[REAL LIFE EXAMPLE]</w:t>
      </w:r>
    </w:p>
    <w:p w14:paraId="60989BC6" w14:textId="1F117F92" w:rsidR="005C04EA" w:rsidRPr="005C04EA" w:rsidRDefault="005C04EA">
      <w:pPr>
        <w:rPr>
          <w:color w:val="FF0000"/>
        </w:rPr>
      </w:pPr>
      <w:r w:rsidRPr="005C04EA">
        <w:rPr>
          <w:color w:val="FF0000"/>
        </w:rPr>
        <w:t>[Attentional system? Model?]</w:t>
      </w:r>
    </w:p>
    <w:p w14:paraId="200B6462" w14:textId="43F67F7B" w:rsidR="00E924CB" w:rsidRDefault="00A92737">
      <w:r>
        <w:t xml:space="preserve">This biased behaviour becomes especially obvious when patients are asked to engage with a scene or set of stimuli, for example </w:t>
      </w:r>
      <w:r w:rsidR="002C341C">
        <w:t xml:space="preserve">during visual search or while copying an image, as patients will typically omit the left half of the scene. </w:t>
      </w:r>
      <w:r w:rsidR="005C04EA">
        <w:t>Therefore, m</w:t>
      </w:r>
      <w:r w:rsidR="002C341C">
        <w:t xml:space="preserve">any clinical tests that are used for diagnosing and/or quantifying the </w:t>
      </w:r>
      <w:r w:rsidR="005C04EA">
        <w:t>severity of neglect</w:t>
      </w:r>
      <w:r w:rsidR="002C341C">
        <w:t xml:space="preserve"> </w:t>
      </w:r>
      <w:r w:rsidR="005C04EA">
        <w:t xml:space="preserve">employ cancellation tasks to assess the spatial extent of a patient’s visual search </w:t>
      </w:r>
      <w:r w:rsidR="005C04EA" w:rsidRPr="005C04EA">
        <w:rPr>
          <w:highlight w:val="yellow"/>
        </w:rPr>
        <w:t>(see 2.2. Behavioural Data for more detail; see also Rorden, Karnath, 2010).</w:t>
      </w:r>
    </w:p>
    <w:p w14:paraId="01297A46" w14:textId="3931B5A8" w:rsidR="007E629A" w:rsidRPr="005C04EA" w:rsidRDefault="00AE4D79">
      <w:pPr>
        <w:rPr>
          <w:color w:val="FF0000"/>
        </w:rPr>
      </w:pPr>
      <w:r w:rsidRPr="005C04EA">
        <w:rPr>
          <w:color w:val="FF0000"/>
        </w:rPr>
        <w:t>Often times, visuospatial neglect may affect multiple modalities and, in some cases, may even affect mental representations and perceptual memories</w:t>
      </w:r>
      <w:r w:rsidR="009F4AD7" w:rsidRPr="005C04EA">
        <w:rPr>
          <w:color w:val="FF0000"/>
        </w:rPr>
        <w:t xml:space="preserve"> (</w:t>
      </w:r>
      <w:hyperlink w:anchor="bisiachluzzatti1978" w:history="1">
        <w:r w:rsidR="009F4AD7" w:rsidRPr="005C04EA">
          <w:rPr>
            <w:rStyle w:val="Hyperlink"/>
            <w:rFonts w:ascii="Ebrima" w:hAnsi="Ebrima"/>
            <w:color w:val="FF0000"/>
          </w:rPr>
          <w:t>Bisiach &amp; Luzzatti, 1978</w:t>
        </w:r>
      </w:hyperlink>
      <w:r w:rsidR="009F4AD7" w:rsidRPr="005C04EA">
        <w:rPr>
          <w:color w:val="FF0000"/>
        </w:rPr>
        <w:t xml:space="preserve">; </w:t>
      </w:r>
      <w:hyperlink w:anchor="beschin1997" w:history="1">
        <w:r w:rsidR="009F4AD7" w:rsidRPr="005C04EA">
          <w:rPr>
            <w:rStyle w:val="Hyperlink"/>
            <w:rFonts w:ascii="Ebrima" w:hAnsi="Ebrima"/>
            <w:color w:val="FF0000"/>
          </w:rPr>
          <w:t>Beschin et al., 1997</w:t>
        </w:r>
      </w:hyperlink>
      <w:r w:rsidR="009F4AD7" w:rsidRPr="005C04EA">
        <w:rPr>
          <w:color w:val="FF0000"/>
        </w:rPr>
        <w:t>)</w:t>
      </w:r>
      <w:r w:rsidRPr="005C04EA">
        <w:rPr>
          <w:color w:val="FF0000"/>
        </w:rPr>
        <w:t xml:space="preserve">. </w:t>
      </w:r>
      <w:r w:rsidR="005C04EA" w:rsidRPr="005C04EA">
        <w:rPr>
          <w:color w:val="FF0000"/>
        </w:rPr>
        <w:t>[is this even relevant?]</w:t>
      </w:r>
    </w:p>
    <w:p w14:paraId="4227EFF8" w14:textId="1839F037" w:rsidR="00A40F89" w:rsidRDefault="009F4233">
      <w:pPr>
        <w:rPr>
          <w:b/>
          <w:bCs/>
        </w:rPr>
      </w:pPr>
      <w:r>
        <w:t>On a neurological level, stroke-induced neglect most often occurs after right unilateral brain damage in the territory of the middle cerebral artery (MCA)</w:t>
      </w:r>
      <w:r w:rsidR="00EB2D5A">
        <w:t xml:space="preserve"> (</w:t>
      </w:r>
      <w:hyperlink w:anchor="limalhotra2015" w:history="1">
        <w:r w:rsidR="00EB2D5A" w:rsidRPr="00EB2D5A">
          <w:rPr>
            <w:rStyle w:val="Hyperlink"/>
            <w:rFonts w:ascii="Ebrima" w:hAnsi="Ebrima"/>
          </w:rPr>
          <w:t>Li &amp; Malhotra, 2015</w:t>
        </w:r>
      </w:hyperlink>
      <w:r w:rsidR="00EB2D5A">
        <w:t>)</w:t>
      </w:r>
      <w:r>
        <w:t xml:space="preserve">. </w:t>
      </w:r>
      <w:r w:rsidR="00EB2D5A">
        <w:t>The perisylvian network, including the temporo-parietal junction (TPJ), inferior parietal lobule (IPL), superior and middle temporal cortex, insula and ventrolateral prefrontal cortex (vlPFC), have been implicated in contributing to the core deficits (</w:t>
      </w:r>
      <w:hyperlink w:anchor="karnathrorden2012" w:history="1">
        <w:r w:rsidR="00EB2D5A" w:rsidRPr="00EB2D5A">
          <w:rPr>
            <w:rStyle w:val="Hyperlink"/>
            <w:rFonts w:ascii="Ebrima" w:hAnsi="Ebrima"/>
          </w:rPr>
          <w:t>Karnath &amp; Rorden, 2012</w:t>
        </w:r>
      </w:hyperlink>
      <w:r w:rsidR="00EB2D5A">
        <w:t xml:space="preserve">; </w:t>
      </w:r>
      <w:r w:rsidR="00EB2D5A" w:rsidRPr="00EB2D5A">
        <w:rPr>
          <w:highlight w:val="yellow"/>
        </w:rPr>
        <w:t>more sources</w:t>
      </w:r>
      <w:r w:rsidR="00EB2D5A">
        <w:t>);</w:t>
      </w:r>
      <w:r w:rsidR="00560247">
        <w:t xml:space="preserve"> The white matter connections in between those areas, specifically the superior longitudinal fasciculus (SLF), the inferior occipitofrontal fasciculus (IOF) and the superior occipitofrontal fascicle (SOF) have been shown to be particularly vulnerable to causing neglect after being damaged (</w:t>
      </w:r>
      <w:r w:rsidR="00C3765C">
        <w:t>He et al., 2007; Karnath, Rorden &amp; Ticini, 2009;</w:t>
      </w:r>
      <w:r w:rsidR="00A40F89" w:rsidRPr="00DC3681">
        <w:rPr>
          <w:b/>
          <w:bCs/>
        </w:rPr>
        <w:br w:type="page"/>
      </w:r>
    </w:p>
    <w:p w14:paraId="1EBC44A6" w14:textId="61382C1B" w:rsidR="007E629A" w:rsidRDefault="007E629A" w:rsidP="007E629A">
      <w:pPr>
        <w:pStyle w:val="Listenabsatz"/>
        <w:numPr>
          <w:ilvl w:val="1"/>
          <w:numId w:val="3"/>
        </w:numPr>
        <w:rPr>
          <w:rFonts w:ascii="Avenir Next LT Pro Light" w:eastAsiaTheme="majorEastAsia" w:hAnsi="Avenir Next LT Pro Light" w:cstheme="majorBidi"/>
          <w:sz w:val="28"/>
          <w:szCs w:val="28"/>
        </w:rPr>
      </w:pPr>
      <w:r>
        <w:rPr>
          <w:rFonts w:ascii="Avenir Next LT Pro Light" w:eastAsiaTheme="majorEastAsia" w:hAnsi="Avenir Next LT Pro Light" w:cstheme="majorBidi"/>
          <w:sz w:val="28"/>
          <w:szCs w:val="28"/>
        </w:rPr>
        <w:lastRenderedPageBreak/>
        <w:t>Motivation</w:t>
      </w:r>
    </w:p>
    <w:p w14:paraId="3BCEA655" w14:textId="3ABBFBBE" w:rsidR="00610E4A" w:rsidRPr="00610E4A" w:rsidRDefault="00610E4A" w:rsidP="00610E4A">
      <w:pPr>
        <w:rPr>
          <w:rFonts w:ascii="Avenir Next LT Pro Light" w:eastAsiaTheme="majorEastAsia" w:hAnsi="Avenir Next LT Pro Light" w:cstheme="majorBidi"/>
          <w:sz w:val="28"/>
          <w:szCs w:val="28"/>
        </w:rPr>
      </w:pPr>
      <w:r>
        <w:rPr>
          <w:rFonts w:ascii="Avenir Next LT Pro Light" w:eastAsiaTheme="majorEastAsia" w:hAnsi="Avenir Next LT Pro Light" w:cstheme="majorBidi"/>
          <w:sz w:val="28"/>
          <w:szCs w:val="28"/>
        </w:rPr>
        <w:br w:type="page"/>
      </w:r>
    </w:p>
    <w:p w14:paraId="6A8BE114" w14:textId="65A9E7A1" w:rsidR="00ED13AD" w:rsidRPr="00EA784A" w:rsidRDefault="000E5F13" w:rsidP="00EA784A">
      <w:pPr>
        <w:pStyle w:val="berschrift2"/>
        <w:numPr>
          <w:ilvl w:val="0"/>
          <w:numId w:val="3"/>
        </w:numPr>
        <w:rPr>
          <w:b w:val="0"/>
          <w:bCs w:val="0"/>
        </w:rPr>
      </w:pPr>
      <w:bookmarkStart w:id="5" w:name="_Toc108612545"/>
      <w:r w:rsidRPr="00EA784A">
        <w:rPr>
          <w:b w:val="0"/>
          <w:bCs w:val="0"/>
        </w:rPr>
        <w:lastRenderedPageBreak/>
        <w:t>Material &amp; Methods</w:t>
      </w:r>
      <w:bookmarkEnd w:id="5"/>
    </w:p>
    <w:p w14:paraId="1C5C558C" w14:textId="7E725EDD" w:rsidR="00A40F89" w:rsidRDefault="000E5F13" w:rsidP="00A40F89">
      <w:pPr>
        <w:pStyle w:val="berschrift3"/>
        <w:numPr>
          <w:ilvl w:val="1"/>
          <w:numId w:val="3"/>
        </w:numPr>
      </w:pPr>
      <w:bookmarkStart w:id="6" w:name="_Toc108612546"/>
      <w:r w:rsidRPr="00EA784A">
        <w:t>Patient Sample</w:t>
      </w:r>
      <w:bookmarkEnd w:id="6"/>
    </w:p>
    <w:p w14:paraId="04AE49D0" w14:textId="77777777" w:rsidR="008A06EC" w:rsidRPr="008A06EC" w:rsidRDefault="008A06EC" w:rsidP="008A06EC"/>
    <w:p w14:paraId="4FE913FE" w14:textId="79E32EE7" w:rsidR="008A06EC" w:rsidRDefault="00A40F89" w:rsidP="008A06EC">
      <w:pPr>
        <w:rPr>
          <w:lang w:val="en-US"/>
        </w:rPr>
      </w:pPr>
      <w:bookmarkStart w:id="7" w:name="_Hlk104548954"/>
      <w:r>
        <w:t>Th</w:t>
      </w:r>
      <w:r w:rsidR="00915BD7">
        <w:t xml:space="preserve">is study reanalysed a subset </w:t>
      </w:r>
      <w:r w:rsidR="00915BD7" w:rsidRPr="00D31EC1">
        <w:t xml:space="preserve">of 222 patients </w:t>
      </w:r>
      <w:r w:rsidR="00915BD7">
        <w:t xml:space="preserve">from the Division of Neuropsychology’s </w:t>
      </w:r>
      <w:r w:rsidR="00915BD7" w:rsidRPr="00915BD7">
        <w:rPr>
          <w:color w:val="FF0000"/>
        </w:rPr>
        <w:t>RHLM</w:t>
      </w:r>
      <w:r w:rsidR="00D31EC1" w:rsidRPr="00D31EC1">
        <w:rPr>
          <w:color w:val="FF0000"/>
          <w:lang w:val="en-US"/>
        </w:rPr>
        <w:t xml:space="preserve"> </w:t>
      </w:r>
      <w:r w:rsidR="00D31EC1">
        <w:rPr>
          <w:color w:val="FF0000"/>
          <w:lang w:val="en-US"/>
        </w:rPr>
        <w:t>(Right-Hemispheric Lesion ?)</w:t>
      </w:r>
      <w:r w:rsidR="00915BD7" w:rsidRPr="00915BD7">
        <w:rPr>
          <w:color w:val="FF0000"/>
        </w:rPr>
        <w:t xml:space="preserve"> </w:t>
      </w:r>
      <w:r w:rsidR="00915BD7">
        <w:t xml:space="preserve">databank, which comprises a total of 551 right-hemispheric stroke patients. </w:t>
      </w:r>
      <w:r w:rsidR="008A06EC" w:rsidRPr="00D06FE6">
        <w:rPr>
          <w:lang w:val="en-US"/>
        </w:rPr>
        <w:t>Al</w:t>
      </w:r>
      <w:r w:rsidR="008A06EC">
        <w:rPr>
          <w:lang w:val="en-US"/>
        </w:rPr>
        <w:t>l</w:t>
      </w:r>
      <w:r w:rsidR="008A06EC">
        <w:t xml:space="preserve"> data were acquired at the </w:t>
      </w:r>
      <w:r w:rsidR="008A06EC" w:rsidRPr="002B5F04">
        <w:rPr>
          <w:lang w:val="en-US"/>
        </w:rPr>
        <w:t>Ce</w:t>
      </w:r>
      <w:r w:rsidR="008A06EC">
        <w:rPr>
          <w:lang w:val="en-US"/>
        </w:rPr>
        <w:t xml:space="preserve">ntre of Neurology at the </w:t>
      </w:r>
      <w:r w:rsidR="008A06EC">
        <w:t xml:space="preserve">University Clinic of Tübingen between January 2000 and February 2021. </w:t>
      </w:r>
      <w:r w:rsidR="008A06EC" w:rsidRPr="002B5F04">
        <w:rPr>
          <w:lang w:val="en-US"/>
        </w:rPr>
        <w:t>The pati</w:t>
      </w:r>
      <w:r w:rsidR="008A06EC">
        <w:rPr>
          <w:lang w:val="en-US"/>
        </w:rPr>
        <w:t>ent data had been used for previous studies conducted at the Division for Neuropsychology at the University Clinic of Tübingen. All patients provided their informed consent for study participation and scientific data usage.</w:t>
      </w:r>
      <w:r w:rsidR="00C654D1">
        <w:rPr>
          <w:lang w:val="en-US"/>
        </w:rPr>
        <w:t xml:space="preserve"> The study was conducted in accordance with the revised guidelines from the Declaration of Helsinki.</w:t>
      </w:r>
    </w:p>
    <w:p w14:paraId="520A7529" w14:textId="3BB0D011" w:rsidR="00A40F89" w:rsidRDefault="00915BD7" w:rsidP="00A40F89">
      <w:r>
        <w:t>The exclusion criteria for the study were as follows:</w:t>
      </w:r>
    </w:p>
    <w:p w14:paraId="46619D28" w14:textId="06CA5F31" w:rsidR="00915BD7" w:rsidRDefault="00915BD7" w:rsidP="00915BD7">
      <w:pPr>
        <w:pStyle w:val="Listenabsatz"/>
        <w:numPr>
          <w:ilvl w:val="0"/>
          <w:numId w:val="4"/>
        </w:numPr>
      </w:pPr>
      <w:r>
        <w:t>Imaging data must have been acquired during the acute phase after the patient’s stroke, i.e., within 14 days</w:t>
      </w:r>
    </w:p>
    <w:p w14:paraId="1CB28776" w14:textId="6E3F602E" w:rsidR="00C654D1" w:rsidRDefault="00C654D1" w:rsidP="00915BD7">
      <w:pPr>
        <w:pStyle w:val="Listenabsatz"/>
        <w:numPr>
          <w:ilvl w:val="0"/>
          <w:numId w:val="4"/>
        </w:numPr>
      </w:pPr>
      <w:r w:rsidRPr="00C654D1">
        <w:rPr>
          <w:lang w:val="en-US"/>
        </w:rPr>
        <w:t>The imaging data revealed a</w:t>
      </w:r>
      <w:r>
        <w:rPr>
          <w:lang w:val="en-US"/>
        </w:rPr>
        <w:t xml:space="preserve"> demarcated lesion</w:t>
      </w:r>
    </w:p>
    <w:p w14:paraId="7BFD70FF" w14:textId="1059C837"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2A1EF0F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p>
    <w:p w14:paraId="000F68B0" w14:textId="0110253B" w:rsidR="00483B4A" w:rsidRPr="00483B4A" w:rsidRDefault="00483B4A" w:rsidP="00483B4A">
      <w:pPr>
        <w:pStyle w:val="Listenabsatz"/>
        <w:numPr>
          <w:ilvl w:val="1"/>
          <w:numId w:val="4"/>
        </w:numPr>
      </w:pPr>
      <w:r>
        <w:t xml:space="preserve">If only two of the three tests were completed, their results must </w:t>
      </w:r>
      <w:r w:rsidR="004C0C4D" w:rsidRPr="004C0C4D">
        <w:rPr>
          <w:lang w:val="en-US"/>
        </w:rPr>
        <w:t>be</w:t>
      </w:r>
      <w:r>
        <w:t xml:space="preserve"> sufficient for a clear diagnosis, i.e., the patient must </w:t>
      </w:r>
      <w:r w:rsidR="0037625B">
        <w:t>exhibit clear symptoms/a lack of symptoms</w:t>
      </w:r>
      <w:r w:rsidR="004C0C4D" w:rsidRPr="004C0C4D">
        <w:rPr>
          <w:lang w:val="en-US"/>
        </w:rPr>
        <w:t xml:space="preserve"> </w:t>
      </w:r>
      <w:r w:rsidR="004C0C4D">
        <w:rPr>
          <w:lang w:val="en-US"/>
        </w:rPr>
        <w:t>indicative of neglect</w:t>
      </w:r>
      <w:r w:rsidR="0037625B">
        <w:t xml:space="preserve"> in both tests</w:t>
      </w:r>
    </w:p>
    <w:p w14:paraId="0B7B327E" w14:textId="1CB52AFF" w:rsidR="00483B4A" w:rsidRDefault="0037625B" w:rsidP="00483B4A">
      <w:r>
        <w:t>Following these criteria, a total of 32</w:t>
      </w:r>
      <w:r w:rsidR="00795A1D" w:rsidRPr="00795A1D">
        <w:rPr>
          <w:lang w:val="en-US"/>
        </w:rPr>
        <w:t>9</w:t>
      </w:r>
      <w:r>
        <w:t xml:space="preserve"> patients had to be excluded. 124 patients were excluded due to missing data, 57 for medical counterindications, 55 for exceeding the 14-day threshold of the acute stroke phase, </w:t>
      </w:r>
      <w:r w:rsidRPr="00714546">
        <w:rPr>
          <w:color w:val="FF0000"/>
        </w:rPr>
        <w:t xml:space="preserve">[man] </w:t>
      </w:r>
      <w:r>
        <w:t xml:space="preserve">and two patients were excluded as no clear diagnosis was possible based on their diagnostic test scores. Additionally, </w:t>
      </w:r>
      <w:r w:rsidR="00714546">
        <w:t xml:space="preserve">40 patients had to be excluded due to the poor quality of their </w:t>
      </w:r>
      <w:r w:rsidR="00795A1D" w:rsidRPr="00795A1D">
        <w:rPr>
          <w:lang w:val="en-US"/>
        </w:rPr>
        <w:t>(</w:t>
      </w:r>
      <w:r w:rsidR="00795A1D">
        <w:rPr>
          <w:lang w:val="en-US"/>
        </w:rPr>
        <w:t xml:space="preserve">normalised) </w:t>
      </w:r>
      <w:r w:rsidR="00714546">
        <w:t xml:space="preserve">brain scans. </w:t>
      </w:r>
    </w:p>
    <w:p w14:paraId="0543A263" w14:textId="77777777" w:rsidR="00BA3830" w:rsidRPr="00CA0BD8" w:rsidRDefault="00BA3830" w:rsidP="00BA3830">
      <w:pPr>
        <w:rPr>
          <w:lang w:val="en-US"/>
        </w:rPr>
      </w:pP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246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EB95429" w14:textId="77777777" w:rsidR="00BA3830" w:rsidRPr="00165A5A" w:rsidRDefault="00BA3830" w:rsidP="00246198">
            <w:pPr>
              <w:jc w:val="center"/>
              <w:rPr>
                <w:sz w:val="18"/>
                <w:szCs w:val="18"/>
              </w:rPr>
            </w:pPr>
          </w:p>
        </w:tc>
        <w:tc>
          <w:tcPr>
            <w:tcW w:w="2016" w:type="dxa"/>
            <w:shd w:val="clear" w:color="auto" w:fill="F2F2F2" w:themeFill="background1" w:themeFillShade="F2"/>
          </w:tcPr>
          <w:p w14:paraId="76DE521A"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222)</w:t>
            </w:r>
          </w:p>
        </w:tc>
        <w:tc>
          <w:tcPr>
            <w:tcW w:w="2126" w:type="dxa"/>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Pr>
          <w:p w14:paraId="16CF8B85"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119)</w:t>
            </w:r>
          </w:p>
        </w:tc>
        <w:tc>
          <w:tcPr>
            <w:tcW w:w="1276" w:type="dxa"/>
          </w:tcPr>
          <w:p w14:paraId="3328358C"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BA3830" w14:paraId="0ECF9E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4C783FBB"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(13.8) [26-93]</w:t>
            </w:r>
          </w:p>
        </w:tc>
        <w:tc>
          <w:tcPr>
            <w:tcW w:w="2126" w:type="dxa"/>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Pr>
          <w:p w14:paraId="5D37CA05"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61.0 (12.0) [29-83]</w:t>
            </w:r>
          </w:p>
        </w:tc>
        <w:tc>
          <w:tcPr>
            <w:tcW w:w="1276" w:type="dxa"/>
          </w:tcPr>
          <w:p w14:paraId="404E16DB"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14:paraId="38C890ED"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E0A5217" w14:textId="77777777"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(Neglect, Control)</w:t>
            </w:r>
          </w:p>
        </w:tc>
        <w:tc>
          <w:tcPr>
            <w:tcW w:w="2016" w:type="dxa"/>
            <w:shd w:val="clear" w:color="auto" w:fill="F2F2F2" w:themeFill="background1" w:themeFillShade="F2"/>
          </w:tcPr>
          <w:p w14:paraId="7CFC1F7B"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73, 149</w:t>
            </w:r>
          </w:p>
        </w:tc>
        <w:tc>
          <w:tcPr>
            <w:tcW w:w="2126" w:type="dxa"/>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Pr>
          <w:p w14:paraId="078E2EB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33, 86</w:t>
            </w:r>
          </w:p>
        </w:tc>
        <w:tc>
          <w:tcPr>
            <w:tcW w:w="1276" w:type="dxa"/>
          </w:tcPr>
          <w:p w14:paraId="74A35388"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46543FB5"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4114A4F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3.0 (3.2) [0-14]</w:t>
            </w:r>
          </w:p>
        </w:tc>
        <w:tc>
          <w:tcPr>
            <w:tcW w:w="2126" w:type="dxa"/>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Pr>
          <w:p w14:paraId="12D8A7E3"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(3.3) [0-14]</w:t>
            </w:r>
          </w:p>
        </w:tc>
        <w:tc>
          <w:tcPr>
            <w:tcW w:w="1276" w:type="dxa"/>
          </w:tcPr>
          <w:p w14:paraId="1CAD7AFF"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8191A" w14:paraId="65D97EA4"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291CF000" w14:textId="77777777"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 Both)</w:t>
            </w:r>
          </w:p>
        </w:tc>
        <w:tc>
          <w:tcPr>
            <w:tcW w:w="2016" w:type="dxa"/>
            <w:shd w:val="clear" w:color="auto" w:fill="F2F2F2" w:themeFill="background1" w:themeFillShade="F2"/>
          </w:tcPr>
          <w:p w14:paraId="56300365"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184, 35, 3</w:t>
            </w:r>
          </w:p>
        </w:tc>
        <w:tc>
          <w:tcPr>
            <w:tcW w:w="2126" w:type="dxa"/>
          </w:tcPr>
          <w:p w14:paraId="0AFF19E7"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79, 22, 2</w:t>
            </w:r>
          </w:p>
        </w:tc>
        <w:tc>
          <w:tcPr>
            <w:tcW w:w="2126" w:type="dxa"/>
          </w:tcPr>
          <w:p w14:paraId="77916F15"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105, 13, 1</w:t>
            </w:r>
          </w:p>
        </w:tc>
        <w:tc>
          <w:tcPr>
            <w:tcW w:w="1276" w:type="dxa"/>
          </w:tcPr>
          <w:p w14:paraId="215F735D"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234002F4"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12C9F4BE"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34.4 (43.7) [0.03-312.6]</w:t>
            </w:r>
          </w:p>
        </w:tc>
        <w:tc>
          <w:tcPr>
            <w:tcW w:w="2126" w:type="dxa"/>
          </w:tcPr>
          <w:p w14:paraId="68BEDE0F"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34.7</w:t>
            </w:r>
            <w:r>
              <w:rPr>
                <w:sz w:val="18"/>
                <w:szCs w:val="18"/>
              </w:rPr>
              <w:t xml:space="preserve"> </w:t>
            </w:r>
            <w:r w:rsidRPr="00165A5A">
              <w:rPr>
                <w:sz w:val="18"/>
                <w:szCs w:val="18"/>
              </w:rPr>
              <w:t>(45.8) [0.03-312.6]</w:t>
            </w:r>
          </w:p>
        </w:tc>
        <w:tc>
          <w:tcPr>
            <w:tcW w:w="2126" w:type="dxa"/>
          </w:tcPr>
          <w:p w14:paraId="7D59D8C3"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34.0 (41.8) [0.08-194.7]</w:t>
            </w:r>
          </w:p>
        </w:tc>
        <w:tc>
          <w:tcPr>
            <w:tcW w:w="1276" w:type="dxa"/>
          </w:tcPr>
          <w:p w14:paraId="7ADD9F95"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8191A" w14:paraId="0D8D7872"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3AFDFD39"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3.8 (2.7) [0-14]</w:t>
            </w:r>
          </w:p>
        </w:tc>
        <w:tc>
          <w:tcPr>
            <w:tcW w:w="2126" w:type="dxa"/>
          </w:tcPr>
          <w:p w14:paraId="3CE84B00"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(2.5) [0-14]</w:t>
            </w:r>
          </w:p>
        </w:tc>
        <w:tc>
          <w:tcPr>
            <w:tcW w:w="2126" w:type="dxa"/>
          </w:tcPr>
          <w:p w14:paraId="369209EE"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3.7 (2.9) [0-14]</w:t>
            </w:r>
          </w:p>
        </w:tc>
        <w:tc>
          <w:tcPr>
            <w:tcW w:w="1276" w:type="dxa"/>
          </w:tcPr>
          <w:p w14:paraId="1B93BB84"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2EB093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7525774" w14:textId="77777777" w:rsidR="00BA3830" w:rsidRPr="00165A5A" w:rsidRDefault="00BA3830" w:rsidP="00246198">
            <w:pPr>
              <w:rPr>
                <w:sz w:val="18"/>
                <w:szCs w:val="18"/>
              </w:rPr>
            </w:pPr>
            <w:r w:rsidRPr="00165A5A">
              <w:rPr>
                <w:sz w:val="18"/>
                <w:szCs w:val="18"/>
              </w:rPr>
              <w:t>Letter CoC</w:t>
            </w:r>
          </w:p>
        </w:tc>
        <w:tc>
          <w:tcPr>
            <w:tcW w:w="2016" w:type="dxa"/>
            <w:shd w:val="clear" w:color="auto" w:fill="F2F2F2" w:themeFill="background1" w:themeFillShade="F2"/>
          </w:tcPr>
          <w:p w14:paraId="7CF1ACCB"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(0.26) [-0.06-0.99]</w:t>
            </w:r>
          </w:p>
        </w:tc>
        <w:tc>
          <w:tcPr>
            <w:tcW w:w="2126" w:type="dxa"/>
          </w:tcPr>
          <w:p w14:paraId="5E7ED5A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0.16 (0.27) [-0.02-0.99]</w:t>
            </w:r>
          </w:p>
        </w:tc>
        <w:tc>
          <w:tcPr>
            <w:tcW w:w="2126" w:type="dxa"/>
          </w:tcPr>
          <w:p w14:paraId="42D7C69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(0.26) [-0.06-0.96]</w:t>
            </w:r>
          </w:p>
        </w:tc>
        <w:tc>
          <w:tcPr>
            <w:tcW w:w="1276" w:type="dxa"/>
          </w:tcPr>
          <w:p w14:paraId="6AEA043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8191A" w14:paraId="67C32308"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7217B54" w14:textId="77777777" w:rsidR="00BA3830" w:rsidRPr="00165A5A" w:rsidRDefault="00BA3830" w:rsidP="00246198">
            <w:pPr>
              <w:rPr>
                <w:sz w:val="18"/>
                <w:szCs w:val="18"/>
              </w:rPr>
            </w:pPr>
            <w:r w:rsidRPr="00165A5A">
              <w:rPr>
                <w:sz w:val="18"/>
                <w:szCs w:val="18"/>
              </w:rPr>
              <w:t>Bells CoC</w:t>
            </w:r>
          </w:p>
        </w:tc>
        <w:tc>
          <w:tcPr>
            <w:tcW w:w="2016" w:type="dxa"/>
            <w:shd w:val="clear" w:color="auto" w:fill="F2F2F2" w:themeFill="background1" w:themeFillShade="F2"/>
          </w:tcPr>
          <w:p w14:paraId="6A851709"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(0.24) [-0.11-0.92]</w:t>
            </w:r>
          </w:p>
        </w:tc>
        <w:tc>
          <w:tcPr>
            <w:tcW w:w="2126" w:type="dxa"/>
          </w:tcPr>
          <w:p w14:paraId="0ED1A617"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(0.23) [-0.10-0.92]</w:t>
            </w:r>
          </w:p>
        </w:tc>
        <w:tc>
          <w:tcPr>
            <w:tcW w:w="2126" w:type="dxa"/>
          </w:tcPr>
          <w:p w14:paraId="1BDD7076"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0.15 (0.25) [-0.11-0.91]</w:t>
            </w:r>
          </w:p>
        </w:tc>
        <w:tc>
          <w:tcPr>
            <w:tcW w:w="1276" w:type="dxa"/>
          </w:tcPr>
          <w:p w14:paraId="193029E0"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15C4F07B"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4423CDA3" w14:textId="77777777" w:rsidR="00BA3830" w:rsidRPr="00165A5A" w:rsidRDefault="00BA3830" w:rsidP="00246198">
            <w:pPr>
              <w:rPr>
                <w:sz w:val="18"/>
                <w:szCs w:val="18"/>
              </w:rPr>
            </w:pPr>
            <w:r w:rsidRPr="00165A5A">
              <w:rPr>
                <w:sz w:val="18"/>
                <w:szCs w:val="18"/>
              </w:rPr>
              <w:t>Mean CoC</w:t>
            </w:r>
          </w:p>
        </w:tc>
        <w:tc>
          <w:tcPr>
            <w:tcW w:w="2016" w:type="dxa"/>
            <w:shd w:val="clear" w:color="auto" w:fill="F2F2F2" w:themeFill="background1" w:themeFillShade="F2"/>
          </w:tcPr>
          <w:p w14:paraId="2C94B6FD"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(0.25) [-0.04-0.99]</w:t>
            </w:r>
          </w:p>
        </w:tc>
        <w:tc>
          <w:tcPr>
            <w:tcW w:w="2126" w:type="dxa"/>
          </w:tcPr>
          <w:p w14:paraId="603CDA68"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0.16 (0.25) [-0.02-0.99]</w:t>
            </w:r>
          </w:p>
        </w:tc>
        <w:tc>
          <w:tcPr>
            <w:tcW w:w="2126" w:type="dxa"/>
          </w:tcPr>
          <w:p w14:paraId="1993A119"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(0.26) [-0.04-0.91]</w:t>
            </w:r>
          </w:p>
        </w:tc>
        <w:tc>
          <w:tcPr>
            <w:tcW w:w="1276" w:type="dxa"/>
          </w:tcPr>
          <w:p w14:paraId="4F98035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8191A" w14:paraId="5AFE48E9"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3F4A6A49" w14:textId="77777777" w:rsidR="00BA3830" w:rsidRPr="00165A5A" w:rsidRDefault="00BA3830" w:rsidP="00246198">
            <w:pPr>
              <w:rPr>
                <w:sz w:val="18"/>
                <w:szCs w:val="18"/>
              </w:rPr>
            </w:pPr>
            <w:r w:rsidRPr="00165A5A">
              <w:rPr>
                <w:sz w:val="18"/>
                <w:szCs w:val="18"/>
              </w:rPr>
              <w:t>Copying Errors</w:t>
            </w:r>
          </w:p>
        </w:tc>
        <w:tc>
          <w:tcPr>
            <w:tcW w:w="2016" w:type="dxa"/>
            <w:shd w:val="clear" w:color="auto" w:fill="F2F2F2" w:themeFill="background1" w:themeFillShade="F2"/>
          </w:tcPr>
          <w:p w14:paraId="24DC56ED"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1.12 (1.88) [0-7]</w:t>
            </w:r>
          </w:p>
        </w:tc>
        <w:tc>
          <w:tcPr>
            <w:tcW w:w="2126" w:type="dxa"/>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Pr>
          <w:p w14:paraId="6C98BFB0"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1.11 (1.93) [0-7]</w:t>
            </w:r>
          </w:p>
        </w:tc>
        <w:tc>
          <w:tcPr>
            <w:tcW w:w="1276" w:type="dxa"/>
          </w:tcPr>
          <w:p w14:paraId="3AFEC5FD"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21038A60"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77E17CE5"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w:t>
            </w:r>
          </w:p>
        </w:tc>
        <w:tc>
          <w:tcPr>
            <w:tcW w:w="2126" w:type="dxa"/>
          </w:tcPr>
          <w:p w14:paraId="2081635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2126" w:type="dxa"/>
          </w:tcPr>
          <w:p w14:paraId="1ECBD34C"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w:t>
            </w:r>
          </w:p>
        </w:tc>
        <w:tc>
          <w:tcPr>
            <w:tcW w:w="1276" w:type="dxa"/>
          </w:tcPr>
          <w:p w14:paraId="0C75DF48"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bl>
    <w:p w14:paraId="1FE047B7" w14:textId="77777777" w:rsidR="00BA3830" w:rsidRDefault="00BA3830" w:rsidP="00BA3830">
      <w:pPr>
        <w:rPr>
          <w:lang w:val="en-US"/>
        </w:rPr>
      </w:pPr>
      <w:bookmarkStart w:id="8" w:name="table01"/>
      <w:r w:rsidRPr="00DC3681">
        <w:rPr>
          <w:b/>
          <w:bCs/>
          <w:lang w:val="en-US"/>
        </w:rPr>
        <w:t>Table 1</w:t>
      </w:r>
      <w:r>
        <w:rPr>
          <w:b/>
          <w:bCs/>
          <w:lang w:val="en-US"/>
        </w:rPr>
        <w:t>.1</w:t>
      </w:r>
      <w:r w:rsidRPr="00DC3681">
        <w:rPr>
          <w:b/>
          <w:bCs/>
          <w:lang w:val="en-US"/>
        </w:rPr>
        <w:t>:</w:t>
      </w:r>
      <w:r>
        <w:rPr>
          <w:lang w:val="en-US"/>
        </w:rPr>
        <w:t xml:space="preserve"> </w:t>
      </w:r>
      <w:bookmarkEnd w:id="8"/>
      <w:r>
        <w:rPr>
          <w:lang w:val="en-US"/>
        </w:rPr>
        <w:t>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rsidRPr="00165A5A" w14:paraId="0EEF8146" w14:textId="77777777" w:rsidTr="00246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A2BEBDA" w14:textId="77777777" w:rsidR="00BA3830" w:rsidRPr="00165A5A" w:rsidRDefault="00BA3830" w:rsidP="00246198">
            <w:pPr>
              <w:jc w:val="center"/>
              <w:rPr>
                <w:sz w:val="18"/>
                <w:szCs w:val="18"/>
              </w:rPr>
            </w:pPr>
          </w:p>
        </w:tc>
        <w:tc>
          <w:tcPr>
            <w:tcW w:w="2016" w:type="dxa"/>
            <w:shd w:val="clear" w:color="auto" w:fill="F2F2F2" w:themeFill="background1" w:themeFillShade="F2"/>
          </w:tcPr>
          <w:p w14:paraId="02040921"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222)</w:t>
            </w:r>
          </w:p>
        </w:tc>
        <w:tc>
          <w:tcPr>
            <w:tcW w:w="2126" w:type="dxa"/>
          </w:tcPr>
          <w:p w14:paraId="6FDEDF13"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Neglect</w:t>
            </w:r>
            <w:r w:rsidRPr="00165A5A">
              <w:rPr>
                <w:sz w:val="18"/>
                <w:szCs w:val="18"/>
              </w:rPr>
              <w:br/>
              <w:t xml:space="preserve">(N = </w:t>
            </w:r>
            <w:r>
              <w:rPr>
                <w:sz w:val="18"/>
                <w:szCs w:val="18"/>
              </w:rPr>
              <w:t>73</w:t>
            </w:r>
            <w:r w:rsidRPr="00165A5A">
              <w:rPr>
                <w:sz w:val="18"/>
                <w:szCs w:val="18"/>
              </w:rPr>
              <w:t>)</w:t>
            </w:r>
          </w:p>
        </w:tc>
        <w:tc>
          <w:tcPr>
            <w:tcW w:w="2126" w:type="dxa"/>
          </w:tcPr>
          <w:p w14:paraId="5420BC90"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Control</w:t>
            </w:r>
            <w:r w:rsidRPr="00165A5A">
              <w:rPr>
                <w:sz w:val="18"/>
                <w:szCs w:val="18"/>
              </w:rPr>
              <w:t xml:space="preserve"> </w:t>
            </w:r>
            <w:r w:rsidRPr="00165A5A">
              <w:rPr>
                <w:sz w:val="18"/>
                <w:szCs w:val="18"/>
              </w:rPr>
              <w:br/>
              <w:t>(N = 1</w:t>
            </w:r>
            <w:r>
              <w:rPr>
                <w:sz w:val="18"/>
                <w:szCs w:val="18"/>
              </w:rPr>
              <w:t>4</w:t>
            </w:r>
            <w:r w:rsidRPr="00165A5A">
              <w:rPr>
                <w:sz w:val="18"/>
                <w:szCs w:val="18"/>
              </w:rPr>
              <w:t>9)</w:t>
            </w:r>
          </w:p>
        </w:tc>
        <w:tc>
          <w:tcPr>
            <w:tcW w:w="1276" w:type="dxa"/>
          </w:tcPr>
          <w:p w14:paraId="06EEB702"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BA3830" w:rsidRPr="00165A5A" w14:paraId="18E51CD6"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153F2117"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31E52DD9"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(13.8) [26-93]</w:t>
            </w:r>
          </w:p>
        </w:tc>
        <w:tc>
          <w:tcPr>
            <w:tcW w:w="2126" w:type="dxa"/>
          </w:tcPr>
          <w:p w14:paraId="401CA40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Pr>
          <w:p w14:paraId="25CDF50B"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61.3 (13.6) [26-88]</w:t>
            </w:r>
          </w:p>
        </w:tc>
        <w:tc>
          <w:tcPr>
            <w:tcW w:w="1276" w:type="dxa"/>
          </w:tcPr>
          <w:p w14:paraId="693E5F9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47A2DF1A"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28900B72" w14:textId="77777777" w:rsidR="00BA3830" w:rsidRPr="00165A5A" w:rsidRDefault="00BA3830" w:rsidP="00246198">
            <w:pPr>
              <w:rPr>
                <w:sz w:val="18"/>
                <w:szCs w:val="18"/>
              </w:rPr>
            </w:pPr>
            <w:r>
              <w:rPr>
                <w:sz w:val="18"/>
                <w:szCs w:val="18"/>
              </w:rPr>
              <w:t>Sex</w:t>
            </w:r>
            <w:r w:rsidRPr="00165A5A">
              <w:rPr>
                <w:sz w:val="18"/>
                <w:szCs w:val="18"/>
              </w:rPr>
              <w:t xml:space="preserve"> </w:t>
            </w:r>
            <w:r w:rsidRPr="00165A5A">
              <w:rPr>
                <w:b w:val="0"/>
                <w:bCs w:val="0"/>
                <w:i/>
                <w:iCs/>
                <w:sz w:val="16"/>
                <w:szCs w:val="16"/>
              </w:rPr>
              <w:t>(</w:t>
            </w:r>
            <w:r>
              <w:rPr>
                <w:b w:val="0"/>
                <w:bCs w:val="0"/>
                <w:i/>
                <w:iCs/>
                <w:sz w:val="16"/>
                <w:szCs w:val="16"/>
              </w:rPr>
              <w:t>F</w:t>
            </w:r>
            <w:r w:rsidRPr="00165A5A">
              <w:rPr>
                <w:b w:val="0"/>
                <w:bCs w:val="0"/>
                <w:i/>
                <w:iCs/>
                <w:sz w:val="16"/>
                <w:szCs w:val="16"/>
              </w:rPr>
              <w:t xml:space="preserve">, </w:t>
            </w:r>
            <w:r>
              <w:rPr>
                <w:b w:val="0"/>
                <w:bCs w:val="0"/>
                <w:i/>
                <w:iCs/>
                <w:sz w:val="16"/>
                <w:szCs w:val="16"/>
              </w:rPr>
              <w:t>M</w:t>
            </w:r>
            <w:r w:rsidRPr="00165A5A">
              <w:rPr>
                <w:b w:val="0"/>
                <w:bCs w:val="0"/>
                <w:i/>
                <w:iCs/>
                <w:sz w:val="16"/>
                <w:szCs w:val="16"/>
              </w:rPr>
              <w:t>)</w:t>
            </w:r>
          </w:p>
        </w:tc>
        <w:tc>
          <w:tcPr>
            <w:tcW w:w="2016" w:type="dxa"/>
            <w:shd w:val="clear" w:color="auto" w:fill="F2F2F2" w:themeFill="background1" w:themeFillShade="F2"/>
          </w:tcPr>
          <w:p w14:paraId="3913D5C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103, 119</w:t>
            </w:r>
          </w:p>
        </w:tc>
        <w:tc>
          <w:tcPr>
            <w:tcW w:w="2126" w:type="dxa"/>
          </w:tcPr>
          <w:p w14:paraId="48FC0F93"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40, 33</w:t>
            </w:r>
          </w:p>
        </w:tc>
        <w:tc>
          <w:tcPr>
            <w:tcW w:w="2126" w:type="dxa"/>
          </w:tcPr>
          <w:p w14:paraId="08EE58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63, 86</w:t>
            </w:r>
          </w:p>
        </w:tc>
        <w:tc>
          <w:tcPr>
            <w:tcW w:w="1276" w:type="dxa"/>
          </w:tcPr>
          <w:p w14:paraId="3ACC389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0BF9057E"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4E55CCC6"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4C9DAA16"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3.0 (3.2) [0-14]</w:t>
            </w:r>
          </w:p>
        </w:tc>
        <w:tc>
          <w:tcPr>
            <w:tcW w:w="2126" w:type="dxa"/>
          </w:tcPr>
          <w:p w14:paraId="5792E5E2"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 (3.5) [0-14]</w:t>
            </w:r>
          </w:p>
        </w:tc>
        <w:tc>
          <w:tcPr>
            <w:tcW w:w="2126" w:type="dxa"/>
          </w:tcPr>
          <w:p w14:paraId="3989EB6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(3.0) [0-14]</w:t>
            </w:r>
          </w:p>
        </w:tc>
        <w:tc>
          <w:tcPr>
            <w:tcW w:w="1276" w:type="dxa"/>
          </w:tcPr>
          <w:p w14:paraId="7B1912F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60796189"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6B546725" w14:textId="77777777"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 Both)</w:t>
            </w:r>
          </w:p>
        </w:tc>
        <w:tc>
          <w:tcPr>
            <w:tcW w:w="2016" w:type="dxa"/>
            <w:shd w:val="clear" w:color="auto" w:fill="F2F2F2" w:themeFill="background1" w:themeFillShade="F2"/>
          </w:tcPr>
          <w:p w14:paraId="2005F55F"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184, 35, 3</w:t>
            </w:r>
          </w:p>
        </w:tc>
        <w:tc>
          <w:tcPr>
            <w:tcW w:w="2126" w:type="dxa"/>
          </w:tcPr>
          <w:p w14:paraId="1FA30BF7"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55, 15, 3</w:t>
            </w:r>
          </w:p>
        </w:tc>
        <w:tc>
          <w:tcPr>
            <w:tcW w:w="2126" w:type="dxa"/>
          </w:tcPr>
          <w:p w14:paraId="4D0EBD06"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129, 20, 0</w:t>
            </w:r>
          </w:p>
        </w:tc>
        <w:tc>
          <w:tcPr>
            <w:tcW w:w="1276" w:type="dxa"/>
          </w:tcPr>
          <w:p w14:paraId="49767528"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3A7AC35C"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2B9FB517"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28F2F18C"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34.4 (43.7) [0.03-312.6]</w:t>
            </w:r>
          </w:p>
        </w:tc>
        <w:tc>
          <w:tcPr>
            <w:tcW w:w="2126" w:type="dxa"/>
          </w:tcPr>
          <w:p w14:paraId="0B29589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63.8 (43.7) [0.03-312.6]</w:t>
            </w:r>
          </w:p>
        </w:tc>
        <w:tc>
          <w:tcPr>
            <w:tcW w:w="2126" w:type="dxa"/>
          </w:tcPr>
          <w:p w14:paraId="4C37317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19.9 (23.7) [0.08-138.1]</w:t>
            </w:r>
          </w:p>
        </w:tc>
        <w:tc>
          <w:tcPr>
            <w:tcW w:w="1276" w:type="dxa"/>
          </w:tcPr>
          <w:p w14:paraId="7C71F2C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6F9CAEA6"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12A573F8"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705EB8DF"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3.8 (2.7) [0-14]</w:t>
            </w:r>
          </w:p>
        </w:tc>
        <w:tc>
          <w:tcPr>
            <w:tcW w:w="2126" w:type="dxa"/>
          </w:tcPr>
          <w:p w14:paraId="7CE743A9"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Pr>
          <w:p w14:paraId="4F1BA5F3"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(2.7) [0-14]</w:t>
            </w:r>
          </w:p>
        </w:tc>
        <w:tc>
          <w:tcPr>
            <w:tcW w:w="1276" w:type="dxa"/>
          </w:tcPr>
          <w:p w14:paraId="72BA4958"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47C40379"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8E515E8" w14:textId="77777777" w:rsidR="00BA3830" w:rsidRPr="00165A5A" w:rsidRDefault="00BA3830" w:rsidP="00246198">
            <w:pPr>
              <w:rPr>
                <w:sz w:val="18"/>
                <w:szCs w:val="18"/>
              </w:rPr>
            </w:pPr>
            <w:r w:rsidRPr="00165A5A">
              <w:rPr>
                <w:sz w:val="18"/>
                <w:szCs w:val="18"/>
              </w:rPr>
              <w:t>Letter CoC</w:t>
            </w:r>
          </w:p>
        </w:tc>
        <w:tc>
          <w:tcPr>
            <w:tcW w:w="2016" w:type="dxa"/>
            <w:shd w:val="clear" w:color="auto" w:fill="F2F2F2" w:themeFill="background1" w:themeFillShade="F2"/>
          </w:tcPr>
          <w:p w14:paraId="37864C02"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(0.26) [-0.06-0.99]</w:t>
            </w:r>
          </w:p>
        </w:tc>
        <w:tc>
          <w:tcPr>
            <w:tcW w:w="2126" w:type="dxa"/>
          </w:tcPr>
          <w:p w14:paraId="361EC3B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 [-0.06-0.99]</w:t>
            </w:r>
          </w:p>
        </w:tc>
        <w:tc>
          <w:tcPr>
            <w:tcW w:w="2126" w:type="dxa"/>
          </w:tcPr>
          <w:p w14:paraId="55462468"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(0.06) [-0.06-0.78]</w:t>
            </w:r>
          </w:p>
        </w:tc>
        <w:tc>
          <w:tcPr>
            <w:tcW w:w="1276" w:type="dxa"/>
          </w:tcPr>
          <w:p w14:paraId="7EEF921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52EBAB83"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5C61CB0" w14:textId="77777777" w:rsidR="00BA3830" w:rsidRPr="00165A5A" w:rsidRDefault="00BA3830" w:rsidP="00246198">
            <w:pPr>
              <w:rPr>
                <w:sz w:val="18"/>
                <w:szCs w:val="18"/>
              </w:rPr>
            </w:pPr>
            <w:r w:rsidRPr="00165A5A">
              <w:rPr>
                <w:sz w:val="18"/>
                <w:szCs w:val="18"/>
              </w:rPr>
              <w:t>Bells CoC</w:t>
            </w:r>
          </w:p>
        </w:tc>
        <w:tc>
          <w:tcPr>
            <w:tcW w:w="2016" w:type="dxa"/>
            <w:shd w:val="clear" w:color="auto" w:fill="F2F2F2" w:themeFill="background1" w:themeFillShade="F2"/>
          </w:tcPr>
          <w:p w14:paraId="5C475CB5"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(0.24) [-0.11-0.92]</w:t>
            </w:r>
          </w:p>
        </w:tc>
        <w:tc>
          <w:tcPr>
            <w:tcW w:w="2126" w:type="dxa"/>
          </w:tcPr>
          <w:p w14:paraId="38BC849D"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[-0.10-0.92]</w:t>
            </w:r>
          </w:p>
        </w:tc>
        <w:tc>
          <w:tcPr>
            <w:tcW w:w="2126" w:type="dxa"/>
          </w:tcPr>
          <w:p w14:paraId="3338545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(0.07) [-0.04-0.80]</w:t>
            </w:r>
          </w:p>
        </w:tc>
        <w:tc>
          <w:tcPr>
            <w:tcW w:w="1276" w:type="dxa"/>
          </w:tcPr>
          <w:p w14:paraId="1308C7F5"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11B1469C"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61FB28F" w14:textId="77777777" w:rsidR="00BA3830" w:rsidRPr="00165A5A" w:rsidRDefault="00BA3830" w:rsidP="00246198">
            <w:pPr>
              <w:rPr>
                <w:sz w:val="18"/>
                <w:szCs w:val="18"/>
              </w:rPr>
            </w:pPr>
            <w:r w:rsidRPr="00165A5A">
              <w:rPr>
                <w:sz w:val="18"/>
                <w:szCs w:val="18"/>
              </w:rPr>
              <w:t>Mean CoC</w:t>
            </w:r>
          </w:p>
        </w:tc>
        <w:tc>
          <w:tcPr>
            <w:tcW w:w="2016" w:type="dxa"/>
            <w:shd w:val="clear" w:color="auto" w:fill="F2F2F2" w:themeFill="background1" w:themeFillShade="F2"/>
          </w:tcPr>
          <w:p w14:paraId="7911D5FD"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(0.25) [-0.04-0.99]</w:t>
            </w:r>
          </w:p>
        </w:tc>
        <w:tc>
          <w:tcPr>
            <w:tcW w:w="2126" w:type="dxa"/>
          </w:tcPr>
          <w:p w14:paraId="3C4B3409"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0.41 (0.29) [-0.04-0.99]</w:t>
            </w:r>
          </w:p>
        </w:tc>
        <w:tc>
          <w:tcPr>
            <w:tcW w:w="2126" w:type="dxa"/>
          </w:tcPr>
          <w:p w14:paraId="2C18111E"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[-0.04-0.80]</w:t>
            </w:r>
          </w:p>
        </w:tc>
        <w:tc>
          <w:tcPr>
            <w:tcW w:w="1276" w:type="dxa"/>
          </w:tcPr>
          <w:p w14:paraId="3255693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4C651D35"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58EE7EED" w14:textId="77777777" w:rsidR="00BA3830" w:rsidRPr="00165A5A" w:rsidRDefault="00BA3830" w:rsidP="00246198">
            <w:pPr>
              <w:rPr>
                <w:sz w:val="18"/>
                <w:szCs w:val="18"/>
              </w:rPr>
            </w:pPr>
            <w:r w:rsidRPr="00165A5A">
              <w:rPr>
                <w:sz w:val="18"/>
                <w:szCs w:val="18"/>
              </w:rPr>
              <w:t>Copying Errors</w:t>
            </w:r>
          </w:p>
        </w:tc>
        <w:tc>
          <w:tcPr>
            <w:tcW w:w="2016" w:type="dxa"/>
            <w:shd w:val="clear" w:color="auto" w:fill="F2F2F2" w:themeFill="background1" w:themeFillShade="F2"/>
          </w:tcPr>
          <w:p w14:paraId="50882309"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1.12 (1.88) [0-7]</w:t>
            </w:r>
          </w:p>
        </w:tc>
        <w:tc>
          <w:tcPr>
            <w:tcW w:w="2126" w:type="dxa"/>
          </w:tcPr>
          <w:p w14:paraId="11B5016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2.93 (2.31) [0-7]</w:t>
            </w:r>
          </w:p>
        </w:tc>
        <w:tc>
          <w:tcPr>
            <w:tcW w:w="2126" w:type="dxa"/>
          </w:tcPr>
          <w:p w14:paraId="6803FD9F"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0.26 (0.61) [0-4]</w:t>
            </w:r>
          </w:p>
        </w:tc>
        <w:tc>
          <w:tcPr>
            <w:tcW w:w="1276" w:type="dxa"/>
          </w:tcPr>
          <w:p w14:paraId="7C25ACD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7714EF1B"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5E1E5763" w14:textId="48B45734"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sidR="00C654D1">
              <w:rPr>
                <w:b w:val="0"/>
                <w:bCs w:val="0"/>
                <w:i/>
                <w:iCs/>
                <w:sz w:val="16"/>
                <w:szCs w:val="16"/>
              </w:rPr>
              <w:t>N</w:t>
            </w:r>
            <w:r>
              <w:rPr>
                <w:b w:val="0"/>
                <w:bCs w:val="0"/>
                <w:i/>
                <w:iCs/>
                <w:sz w:val="16"/>
                <w:szCs w:val="16"/>
              </w:rPr>
              <w:t>)</w:t>
            </w:r>
          </w:p>
        </w:tc>
        <w:tc>
          <w:tcPr>
            <w:tcW w:w="2016" w:type="dxa"/>
            <w:shd w:val="clear" w:color="auto" w:fill="F2F2F2" w:themeFill="background1" w:themeFillShade="F2"/>
          </w:tcPr>
          <w:p w14:paraId="4D0B68B3"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w:t>
            </w:r>
          </w:p>
        </w:tc>
        <w:tc>
          <w:tcPr>
            <w:tcW w:w="2126" w:type="dxa"/>
          </w:tcPr>
          <w:p w14:paraId="49BC7EE8"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Pr>
          <w:p w14:paraId="5F5D68FD"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w:t>
            </w:r>
          </w:p>
        </w:tc>
        <w:tc>
          <w:tcPr>
            <w:tcW w:w="1276" w:type="dxa"/>
          </w:tcPr>
          <w:p w14:paraId="1D91A288"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bl>
    <w:p w14:paraId="6D3F4B94" w14:textId="77777777" w:rsidR="00BA3830" w:rsidRDefault="00BA3830" w:rsidP="00483B4A"/>
    <w:p w14:paraId="4FA6FE64" w14:textId="358F3E86" w:rsidR="00A06922" w:rsidRDefault="00714546" w:rsidP="00483B4A">
      <w:r>
        <w:t>Thus, the study included a total of 222 right-hemispheric stroke patients, comprised of 103 female and 119 male patients</w:t>
      </w:r>
      <w:r w:rsidR="006D687B" w:rsidRPr="006D687B">
        <w:rPr>
          <w:lang w:val="en-US"/>
        </w:rPr>
        <w:t xml:space="preserve"> </w:t>
      </w:r>
      <w:r w:rsidR="006D687B">
        <w:rPr>
          <w:lang w:val="en-US"/>
        </w:rPr>
        <w:t>(</w:t>
      </w:r>
      <w:r w:rsidR="00312819">
        <w:rPr>
          <w:lang w:val="en-US"/>
        </w:rPr>
        <w:t>46.87% female, 53.13% male)</w:t>
      </w:r>
      <w:r>
        <w:t xml:space="preserve">. </w:t>
      </w:r>
      <w:r w:rsidR="00B34F2E">
        <w:t xml:space="preserve">The mean age at stroke was </w:t>
      </w:r>
      <w:r w:rsidR="00B34F2E" w:rsidRPr="00A06922">
        <w:t>62.</w:t>
      </w:r>
      <w:r w:rsidR="00A06922" w:rsidRPr="00A06922">
        <w:rPr>
          <w:lang w:val="en-US"/>
        </w:rPr>
        <w:t>6</w:t>
      </w:r>
      <w:r w:rsidR="00B34F2E" w:rsidRPr="00A06922">
        <w:t xml:space="preserve"> </w:t>
      </w:r>
      <w:r w:rsidR="00B34F2E">
        <w:t xml:space="preserve">years </w:t>
      </w:r>
      <w:r w:rsidR="00813963">
        <w:t>(SD = 13.</w:t>
      </w:r>
      <w:r w:rsidR="00A06922" w:rsidRPr="00A06922">
        <w:rPr>
          <w:lang w:val="en-US"/>
        </w:rPr>
        <w:t>8</w:t>
      </w:r>
      <w:r w:rsidR="00813963">
        <w:t xml:space="preserve"> years) </w:t>
      </w:r>
      <w:r w:rsidR="00B34F2E">
        <w:t>overall, while</w:t>
      </w:r>
      <w:r w:rsidR="007B1076">
        <w:t xml:space="preserve"> for women</w:t>
      </w:r>
      <w:r w:rsidR="00B34F2E">
        <w:t xml:space="preserve"> it was </w:t>
      </w:r>
      <w:r w:rsidR="00B34F2E" w:rsidRPr="00A06922">
        <w:t>64.</w:t>
      </w:r>
      <w:r w:rsidR="00A06922" w:rsidRPr="00A06922">
        <w:rPr>
          <w:lang w:val="en-US"/>
        </w:rPr>
        <w:t>4</w:t>
      </w:r>
      <w:r w:rsidR="00B34F2E" w:rsidRPr="00A06922">
        <w:t xml:space="preserve"> years</w:t>
      </w:r>
      <w:r w:rsidR="00813963" w:rsidRPr="00A06922">
        <w:t xml:space="preserve"> </w:t>
      </w:r>
      <w:r w:rsidR="00813963">
        <w:t>(</w:t>
      </w:r>
      <w:r w:rsidR="00813963" w:rsidRPr="00517FAB">
        <w:t>SD = 15.</w:t>
      </w:r>
      <w:r w:rsidR="00517FAB" w:rsidRPr="00517FAB">
        <w:rPr>
          <w:lang w:val="en-US"/>
        </w:rPr>
        <w:t>4</w:t>
      </w:r>
      <w:r w:rsidR="00813963" w:rsidRPr="00517FAB">
        <w:t xml:space="preserve"> years</w:t>
      </w:r>
      <w:r w:rsidR="00813963">
        <w:t>)</w:t>
      </w:r>
      <w:r w:rsidR="00B34F2E">
        <w:t xml:space="preserve"> and </w:t>
      </w:r>
      <w:r w:rsidR="00B34F2E" w:rsidRPr="00A06922">
        <w:t>61</w:t>
      </w:r>
      <w:r w:rsidR="00B34F2E">
        <w:t xml:space="preserve"> years</w:t>
      </w:r>
      <w:r w:rsidR="00813963">
        <w:t xml:space="preserve"> (</w:t>
      </w:r>
      <w:r w:rsidR="00813963" w:rsidRPr="00517FAB">
        <w:t>SD = 12 years</w:t>
      </w:r>
      <w:r w:rsidR="00813963">
        <w:t>)</w:t>
      </w:r>
      <w:r w:rsidR="00B34F2E">
        <w:t xml:space="preserve"> for men. </w:t>
      </w:r>
      <w:r w:rsidR="00A06922" w:rsidRPr="00A06922">
        <w:t>18</w:t>
      </w:r>
      <w:r w:rsidR="00A06922" w:rsidRPr="00A06922">
        <w:rPr>
          <w:lang w:val="en-US"/>
        </w:rPr>
        <w:t>4</w:t>
      </w:r>
      <w:r w:rsidR="00A06922" w:rsidRPr="00A06922">
        <w:t xml:space="preserve"> of the 222 patients experienced an infarct</w:t>
      </w:r>
      <w:r w:rsidR="00A06922" w:rsidRPr="00A06922">
        <w:rPr>
          <w:lang w:val="en-US"/>
        </w:rPr>
        <w:t>/</w:t>
      </w:r>
      <w:r w:rsidR="00A06922" w:rsidRPr="00A06922">
        <w:t>ischaemic stroke (</w:t>
      </w:r>
      <w:r w:rsidR="00A06922" w:rsidRPr="00A06922">
        <w:rPr>
          <w:lang w:val="en-US"/>
        </w:rPr>
        <w:t>F</w:t>
      </w:r>
      <w:r w:rsidR="00A06922" w:rsidRPr="00A06922">
        <w:t xml:space="preserve"> = </w:t>
      </w:r>
      <w:r w:rsidR="00A06922" w:rsidRPr="00A06922">
        <w:rPr>
          <w:lang w:val="en-US"/>
        </w:rPr>
        <w:t>79</w:t>
      </w:r>
      <w:r w:rsidR="00A06922" w:rsidRPr="00A06922">
        <w:t>;</w:t>
      </w:r>
      <w:r w:rsidR="00A06922" w:rsidRPr="00A06922">
        <w:rPr>
          <w:lang w:val="en-US"/>
        </w:rPr>
        <w:t xml:space="preserve"> </w:t>
      </w:r>
      <w:r w:rsidR="00A06922">
        <w:rPr>
          <w:lang w:val="en-US"/>
        </w:rPr>
        <w:t>M</w:t>
      </w:r>
      <w:r w:rsidR="00A06922" w:rsidRPr="00A06922">
        <w:t xml:space="preserve"> = 105), </w:t>
      </w:r>
      <w:r w:rsidR="00A06922" w:rsidRPr="00A06922">
        <w:rPr>
          <w:lang w:val="en-US"/>
        </w:rPr>
        <w:t>wh</w:t>
      </w:r>
      <w:r w:rsidR="00A06922">
        <w:rPr>
          <w:lang w:val="en-US"/>
        </w:rPr>
        <w:t xml:space="preserve">ile </w:t>
      </w:r>
      <w:r w:rsidR="00A06922" w:rsidRPr="00A06922">
        <w:t>35 patients suffered from a haemorrhagic stroke (F = 22; M = 13) and 3 patients experienced a combination of ischaemic and haemorrhagic strokes (F = 2; M = 1).</w:t>
      </w:r>
    </w:p>
    <w:p w14:paraId="6B334163" w14:textId="2BA36C5D" w:rsidR="00714546" w:rsidRDefault="00A06922" w:rsidP="00483B4A">
      <w:r w:rsidRPr="00A06922">
        <w:rPr>
          <w:lang w:val="en-US"/>
        </w:rPr>
        <w:t>A</w:t>
      </w:r>
      <w:r w:rsidR="007B1076">
        <w:t xml:space="preserve"> total of </w:t>
      </w:r>
      <w:r w:rsidR="007B1076" w:rsidRPr="00A06922">
        <w:t>7</w:t>
      </w:r>
      <w:r w:rsidRPr="00A06922">
        <w:rPr>
          <w:lang w:val="en-US"/>
        </w:rPr>
        <w:t>3</w:t>
      </w:r>
      <w:r w:rsidR="007B1076">
        <w:t xml:space="preserve"> were diagnosed with visuospatial neglect, meaning that they exceeded the threshold in at least 2 out of the 3 diagnostic tests</w:t>
      </w:r>
      <w:r w:rsidRPr="00A06922">
        <w:rPr>
          <w:lang w:val="en-US"/>
        </w:rPr>
        <w:t xml:space="preserve"> </w:t>
      </w:r>
      <w:r>
        <w:rPr>
          <w:lang w:val="en-US"/>
        </w:rPr>
        <w:t xml:space="preserve">(see </w:t>
      </w:r>
      <w:hyperlink w:anchor="_Behavioural_Data" w:history="1">
        <w:r w:rsidRPr="00A06922">
          <w:rPr>
            <w:rStyle w:val="Hyperlink"/>
            <w:rFonts w:ascii="Ebrima" w:hAnsi="Ebrima"/>
            <w:lang w:val="en-US"/>
          </w:rPr>
          <w:t>2.2. Behavioural Data</w:t>
        </w:r>
      </w:hyperlink>
      <w:r>
        <w:rPr>
          <w:lang w:val="en-US"/>
        </w:rPr>
        <w:t xml:space="preserve"> for details)</w:t>
      </w:r>
      <w:r w:rsidR="007B1076">
        <w:t xml:space="preserve">. </w:t>
      </w:r>
      <w:r w:rsidR="007B1076" w:rsidRPr="00A06922">
        <w:t>4</w:t>
      </w:r>
      <w:r w:rsidRPr="00A06922">
        <w:rPr>
          <w:lang w:val="en-US"/>
        </w:rPr>
        <w:t>0</w:t>
      </w:r>
      <w:r w:rsidR="007B1076">
        <w:t xml:space="preserve"> neglect patients were women, while the remaining </w:t>
      </w:r>
      <w:r w:rsidR="007B1076" w:rsidRPr="00A06922">
        <w:t>33</w:t>
      </w:r>
      <w:r w:rsidR="007B1076">
        <w:t xml:space="preserve"> were men. </w:t>
      </w:r>
    </w:p>
    <w:p w14:paraId="3780E302" w14:textId="38017E79" w:rsidR="001D1988" w:rsidRPr="001D1988" w:rsidRDefault="001D1988" w:rsidP="00483B4A">
      <w:pPr>
        <w:rPr>
          <w:lang w:val="en-US"/>
        </w:rPr>
      </w:pPr>
      <w:r>
        <w:rPr>
          <w:lang w:val="en-US"/>
        </w:rPr>
        <w:t xml:space="preserve">36 of the included patients exhibited primary visual field defects. 28 patients (F = 13; M = 15) were diagnosed with hemianopia, </w:t>
      </w:r>
      <w:r w:rsidR="007C6FEB">
        <w:rPr>
          <w:lang w:val="en-US"/>
        </w:rPr>
        <w:t>7 with quadrantanopia (F = 2; M = 5) and one female patient was blind in her left eye.</w:t>
      </w:r>
    </w:p>
    <w:bookmarkEnd w:id="7"/>
    <w:p w14:paraId="649C3A96" w14:textId="77777777" w:rsidR="006D687B" w:rsidRPr="009731CF" w:rsidRDefault="006D687B" w:rsidP="006D687B">
      <w:pPr>
        <w:rPr>
          <w:lang w:val="en-US"/>
        </w:rPr>
      </w:pPr>
      <w:r>
        <w:rPr>
          <w:lang w:val="en-US"/>
        </w:rPr>
        <w:t xml:space="preserve">(see </w:t>
      </w:r>
      <w:r w:rsidRPr="009731CF">
        <w:rPr>
          <w:color w:val="FF0000"/>
          <w:lang w:val="en-US"/>
        </w:rPr>
        <w:t xml:space="preserve">appendix ? </w:t>
      </w:r>
      <w:r>
        <w:rPr>
          <w:lang w:val="en-US"/>
        </w:rPr>
        <w:t>for a full list)</w:t>
      </w:r>
    </w:p>
    <w:p w14:paraId="3969C7B3" w14:textId="77777777" w:rsidR="00483B4A" w:rsidRPr="006D687B" w:rsidRDefault="00483B4A" w:rsidP="00483B4A">
      <w:pPr>
        <w:rPr>
          <w:lang w:val="en-US"/>
        </w:rPr>
      </w:pPr>
    </w:p>
    <w:p w14:paraId="5EF97206" w14:textId="60FFD79A" w:rsidR="00A40F89" w:rsidRDefault="008A06EC" w:rsidP="00A40F89">
      <w:pPr>
        <w:pStyle w:val="berschrift3"/>
        <w:numPr>
          <w:ilvl w:val="1"/>
          <w:numId w:val="3"/>
        </w:numPr>
      </w:pPr>
      <w:bookmarkStart w:id="9" w:name="_Behavioural_Data"/>
      <w:bookmarkStart w:id="10" w:name="_Toc108612547"/>
      <w:bookmarkEnd w:id="9"/>
      <w:r>
        <w:rPr>
          <w:lang w:val="de-DE"/>
        </w:rPr>
        <w:t>Behavioural Data</w:t>
      </w:r>
      <w:bookmarkEnd w:id="10"/>
    </w:p>
    <w:p w14:paraId="50424A5A" w14:textId="1A2B46A0" w:rsidR="00A0198A" w:rsidRDefault="00A0198A" w:rsidP="00A0198A"/>
    <w:p w14:paraId="42B87965" w14:textId="2B0A1C1E" w:rsidR="008A06EC" w:rsidRDefault="00D06FE6" w:rsidP="00A0198A">
      <w:pPr>
        <w:rPr>
          <w:lang w:val="en-US"/>
        </w:rPr>
      </w:pPr>
      <w:bookmarkStart w:id="11" w:name="_Hlk104548941"/>
      <w:r w:rsidRPr="00D06FE6">
        <w:t xml:space="preserve">The behavioural data </w:t>
      </w:r>
      <w:r>
        <w:t xml:space="preserve">were collected by members </w:t>
      </w:r>
      <w:r w:rsidR="002B5F04">
        <w:t>of our group</w:t>
      </w:r>
      <w:r>
        <w:t xml:space="preserve">. </w:t>
      </w:r>
      <w:r w:rsidR="006C6739">
        <w:t xml:space="preserve">Three commonly used diagnostic tests were used for the visuospatial neglect examination: the </w:t>
      </w:r>
      <w:r w:rsidR="00C654D1" w:rsidRPr="00C654D1">
        <w:rPr>
          <w:lang w:val="en-US"/>
        </w:rPr>
        <w:t>L</w:t>
      </w:r>
      <w:r w:rsidR="006C6739">
        <w:t xml:space="preserve">etter </w:t>
      </w:r>
      <w:r w:rsidR="00C654D1" w:rsidRPr="00C654D1">
        <w:rPr>
          <w:lang w:val="en-US"/>
        </w:rPr>
        <w:t>C</w:t>
      </w:r>
      <w:r w:rsidR="006C6739">
        <w:t>ancellation</w:t>
      </w:r>
      <w:r w:rsidR="00784EDD" w:rsidRPr="00784EDD">
        <w:rPr>
          <w:lang w:val="en-US"/>
        </w:rPr>
        <w:t xml:space="preserve"> </w:t>
      </w:r>
      <w:r w:rsidR="00C654D1">
        <w:rPr>
          <w:lang w:val="en-US"/>
        </w:rPr>
        <w:t xml:space="preserve">Task </w:t>
      </w:r>
      <w:r w:rsidR="006C6739">
        <w:t>(</w:t>
      </w:r>
      <w:hyperlink w:anchor="weintraubmesulam1985" w:history="1">
        <w:r w:rsidR="0089785B" w:rsidRPr="00784EDD">
          <w:rPr>
            <w:rStyle w:val="Hyperlink"/>
            <w:rFonts w:ascii="Ebrima" w:hAnsi="Ebrima"/>
            <w:color w:val="7F7F7F" w:themeColor="text1" w:themeTint="80"/>
          </w:rPr>
          <w:t>Weintraub &amp; Mesulam,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C654D1" w:rsidRPr="00C654D1">
        <w:rPr>
          <w:lang w:val="en-US"/>
        </w:rPr>
        <w:t>Z</w:t>
      </w:r>
      <w:r w:rsidR="006C6739">
        <w:t>est (</w:t>
      </w:r>
      <w:hyperlink w:anchor="gauthier1989" w:history="1">
        <w:r w:rsidR="0089785B" w:rsidRPr="00232F09">
          <w:rPr>
            <w:rStyle w:val="Hyperlink"/>
            <w:rFonts w:ascii="Ebrima" w:hAnsi="Ebrima"/>
          </w:rPr>
          <w:t>Gauthier, Dehaut &amp; Joanette, 1989</w:t>
        </w:r>
      </w:hyperlink>
      <w:r w:rsidR="006C6739">
        <w:t xml:space="preserve">) and </w:t>
      </w:r>
      <w:r w:rsidR="006C6739" w:rsidRPr="00232F09">
        <w:rPr>
          <w:color w:val="FF0000"/>
        </w:rPr>
        <w:t xml:space="preserve">a </w:t>
      </w:r>
      <w:r w:rsidR="00F76B93">
        <w:rPr>
          <w:color w:val="FF0000"/>
        </w:rPr>
        <w:t>copying</w:t>
      </w:r>
      <w:r w:rsidR="006C6739" w:rsidRPr="00232F09">
        <w:rPr>
          <w:color w:val="FF0000"/>
        </w:rPr>
        <w:t xml:space="preserve"> task (source</w:t>
      </w:r>
      <w:r w:rsidR="0089785B">
        <w:t xml:space="preserve">; see </w:t>
      </w:r>
      <w:hyperlink w:anchor="rordenkarnath2010" w:history="1">
        <w:r w:rsidR="0089785B" w:rsidRPr="00232F09">
          <w:rPr>
            <w:rStyle w:val="Hyperlink"/>
            <w:rFonts w:ascii="Ebrima" w:hAnsi="Ebrima"/>
          </w:rPr>
          <w:t>Rorden &amp; Karnath, 2010</w:t>
        </w:r>
      </w:hyperlink>
      <w:r w:rsidR="0089785B">
        <w:t xml:space="preserve"> for an overview</w:t>
      </w:r>
      <w:r w:rsidR="006C6739">
        <w:t>).</w:t>
      </w:r>
      <w:r w:rsidR="00232F09">
        <w:t xml:space="preserve"> The patients completed those tasks</w:t>
      </w:r>
      <w:r w:rsidR="00784EDD" w:rsidRPr="00784EDD">
        <w:rPr>
          <w:lang w:val="en-US"/>
        </w:rPr>
        <w:t xml:space="preserve"> as standar</w:t>
      </w:r>
      <w:r w:rsidR="00784EDD">
        <w:rPr>
          <w:lang w:val="en-US"/>
        </w:rPr>
        <w:t>d paper-and-pencil tests</w:t>
      </w:r>
      <w:r w:rsidR="00571F7F">
        <w:rPr>
          <w:lang w:val="en-US"/>
        </w:rPr>
        <w:t>.</w:t>
      </w:r>
    </w:p>
    <w:p w14:paraId="68D3022E" w14:textId="6D2F0DF4" w:rsidR="00571F7F" w:rsidRDefault="00571F7F" w:rsidP="00A0198A">
      <w:pPr>
        <w:rPr>
          <w:color w:val="FF0000"/>
        </w:rPr>
      </w:pPr>
      <w:r>
        <w:rPr>
          <w:lang w:val="en-US"/>
        </w:rPr>
        <w:t xml:space="preserve">In the cancellation tests, patients are tasked with cancelling all target stimuli that are spatially distributed on a </w:t>
      </w:r>
      <w:r w:rsidRPr="00571F7F">
        <w:rPr>
          <w:lang w:val="en-US"/>
        </w:rPr>
        <w:t>horizontally oriented 21 x 29.8 cm sheet of paper fixated at the centre of the patient’s sagittal midline</w:t>
      </w:r>
      <w:r>
        <w:rPr>
          <w:lang w:val="en-US"/>
        </w:rPr>
        <w:t xml:space="preserve">. </w:t>
      </w:r>
      <w:r w:rsidR="00524012">
        <w:rPr>
          <w:lang w:val="en-US"/>
        </w:rPr>
        <w:t>In</w:t>
      </w:r>
      <w:r>
        <w:rPr>
          <w:lang w:val="en-US"/>
        </w:rPr>
        <w:t xml:space="preserve"> the Letter Cancellation Task, the target</w:t>
      </w:r>
      <w:r w:rsidR="00524012">
        <w:rPr>
          <w:lang w:val="en-US"/>
        </w:rPr>
        <w:t>s are 60 instances of the letter “A”, which are distributed among other distractor letters, while in the Bells Test the targets are bell icons distributed among other distractor symbols. Patients received no time limit for completing these tasks and were asked to confirm twice that they were content with their performance before ending the tasks.</w:t>
      </w:r>
    </w:p>
    <w:p w14:paraId="78CE82F5" w14:textId="2B772316" w:rsidR="008A06EC" w:rsidRDefault="00D2171B" w:rsidP="00A0198A">
      <w:r>
        <w:lastRenderedPageBreak/>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r w:rsidR="00784EDD" w:rsidRPr="00784EDD">
          <w:rPr>
            <w:rStyle w:val="Hyperlink"/>
            <w:rFonts w:ascii="Ebrima" w:hAnsi="Ebrima"/>
            <w:lang w:val="en-US"/>
          </w:rPr>
          <w:t>Rorden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A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1489C4A2" w:rsidR="006C6739" w:rsidRDefault="00D2171B" w:rsidP="00A0198A">
      <w:r>
        <w:t xml:space="preserve">In the </w:t>
      </w:r>
      <w:r w:rsidR="00F76B93">
        <w:t>copying</w:t>
      </w:r>
      <w:r>
        <w:t xml:space="preserve"> task, the number of </w:t>
      </w:r>
      <w:r w:rsidR="007C0498">
        <w:t>errors made while copying the original figure was counted and a score of at least 2 out of 7 possible errors was deemed pathological. If a patient exhibited pathological behaviour in at least 2 of the 3 tests, they were diagnosed with visuospatial neglect for the purposes of this study</w:t>
      </w:r>
      <w:r w:rsidR="00AF7E97">
        <w:t xml:space="preserve"> (see </w:t>
      </w:r>
      <w:r w:rsidR="00AF7E97" w:rsidRPr="00702D92">
        <w:rPr>
          <w:color w:val="FF0000"/>
        </w:rPr>
        <w:t xml:space="preserve">appendix ? </w:t>
      </w:r>
      <w:r w:rsidR="00AF7E97">
        <w:t>for a full list).</w:t>
      </w:r>
    </w:p>
    <w:p w14:paraId="044932D4" w14:textId="6F115A51" w:rsidR="00524012" w:rsidRPr="00524012" w:rsidRDefault="00524012" w:rsidP="00A0198A">
      <w:pPr>
        <w:rPr>
          <w:lang w:val="en-US"/>
        </w:rPr>
      </w:pPr>
      <w:r w:rsidRPr="00524012">
        <w:rPr>
          <w:highlight w:val="yellow"/>
          <w:lang w:val="en-US"/>
        </w:rPr>
        <w:t>[mean z-value</w:t>
      </w:r>
      <w:r w:rsidR="0028026F">
        <w:rPr>
          <w:highlight w:val="yellow"/>
          <w:lang w:val="en-US"/>
        </w:rPr>
        <w:t xml:space="preserve"> </w:t>
      </w:r>
      <w:r w:rsidR="0028026F" w:rsidRPr="0028026F">
        <w:rPr>
          <w:highlight w:val="yellow"/>
          <w:lang w:val="en-US"/>
        </w:rPr>
        <w:sym w:font="Wingdings" w:char="F0E0"/>
      </w:r>
      <w:r w:rsidR="0028026F">
        <w:rPr>
          <w:highlight w:val="yellow"/>
          <w:lang w:val="en-US"/>
        </w:rPr>
        <w:t xml:space="preserve"> calculated on “all” group level to ensure comparability between groups, since they do not differ significantly (t-test)</w:t>
      </w:r>
      <w:r w:rsidRPr="00524012">
        <w:rPr>
          <w:highlight w:val="yellow"/>
          <w:lang w:val="en-US"/>
        </w:rPr>
        <w:t>]</w:t>
      </w:r>
    </w:p>
    <w:p w14:paraId="7A876BC4" w14:textId="4066F5AE" w:rsidR="00CB3E93" w:rsidRPr="00BA3830" w:rsidRDefault="00BA3830" w:rsidP="00A0198A">
      <w:r w:rsidRPr="00BA3830">
        <w:t xml:space="preserve">Patients were </w:t>
      </w:r>
      <w:r>
        <w:t>assessed for primary visual field tests (hemi- or quadrantanopia or blindness of one eye) via standard neurological confrontation testing.</w:t>
      </w:r>
    </w:p>
    <w:p w14:paraId="5D59B9D0" w14:textId="38A46288" w:rsidR="00CB3E93" w:rsidRDefault="00CB3E93" w:rsidP="00CB3E93">
      <w:pPr>
        <w:pStyle w:val="berschrift3"/>
        <w:numPr>
          <w:ilvl w:val="1"/>
          <w:numId w:val="3"/>
        </w:numPr>
      </w:pPr>
      <w:bookmarkStart w:id="12" w:name="_Toc108612548"/>
      <w:r>
        <w:t>Neuroimaging Data</w:t>
      </w:r>
      <w:bookmarkEnd w:id="12"/>
    </w:p>
    <w:p w14:paraId="1564C690" w14:textId="77777777" w:rsidR="00CB3E93" w:rsidRPr="00CB3E93" w:rsidRDefault="00CB3E93" w:rsidP="00CB3E93"/>
    <w:p w14:paraId="5110C47C" w14:textId="0F97EBF3" w:rsidR="00E16000" w:rsidRPr="00E16000" w:rsidRDefault="00CB3E93" w:rsidP="005A7ED5">
      <w:pPr>
        <w:rPr>
          <w:lang w:val="en-US"/>
        </w:rPr>
      </w:pPr>
      <w:r>
        <w:t>We used the neuroimaging data acquired during the patients’ clinical investigation at the Centre of Neurology Tübingen. Since those</w:t>
      </w:r>
      <w:r w:rsidR="00D06FE6">
        <w:t xml:space="preserve"> scans were acquired for diagnostic and medical purposes and </w:t>
      </w:r>
      <w:r w:rsidR="00D06FE6" w:rsidRPr="00EA6BA6">
        <w:t>we did not have any influence on the</w:t>
      </w:r>
      <w:r w:rsidR="00EA6BA6" w:rsidRPr="00EA6BA6">
        <w:t>ir modality</w:t>
      </w:r>
      <w:r w:rsidR="00EA6BA6">
        <w:t xml:space="preserve"> or when the images were acquired. Thus,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E16000">
        <w:rPr>
          <w:lang w:val="en-US"/>
        </w:rPr>
        <w:t>aging</w:t>
      </w:r>
      <w:r w:rsidR="001576FC">
        <w:t xml:space="preserve"> of different modalities in this study.</w:t>
      </w:r>
      <w:r w:rsidR="00EA6BA6" w:rsidRPr="00EA6BA6">
        <w:rPr>
          <w:lang w:val="en-US"/>
        </w:rPr>
        <w:t xml:space="preserve"> </w:t>
      </w:r>
      <w:r w:rsidR="00E16000">
        <w:t xml:space="preserve">Out of the 222 total scans, 105 were CT scans, the remaining 117 were </w:t>
      </w:r>
      <w:r w:rsidR="00E16000" w:rsidRPr="00E16000">
        <w:rPr>
          <w:lang w:val="en-US"/>
        </w:rPr>
        <w:t>M</w:t>
      </w:r>
      <w:r w:rsidR="00E16000">
        <w:rPr>
          <w:lang w:val="en-US"/>
        </w:rPr>
        <w:t>R scans. On average, scans were acquired 3.0 days (SD = 3.2) after stroke.</w:t>
      </w:r>
    </w:p>
    <w:p w14:paraId="62D72F9E" w14:textId="1D22B880" w:rsidR="00E16000" w:rsidRDefault="00E16000" w:rsidP="005A7ED5">
      <w:pPr>
        <w:rPr>
          <w:lang w:val="en-US"/>
        </w:rPr>
      </w:pPr>
      <w:r>
        <w:rPr>
          <w:lang w:val="en-US"/>
        </w:rPr>
        <w:t>If images of multiple modalities were available for a patient, MR scans were preferred. In patients with available MR scans, we</w:t>
      </w:r>
      <w:r w:rsidR="0005473C">
        <w:rPr>
          <w:lang w:val="en-US"/>
        </w:rPr>
        <w:t xml:space="preserve"> preferably used diffusion-weighted imaging (DWI) for scans acquired within the first two days after stroke onset (n = 15) and T2-weighted fluid attenuated inversion recovery (T2FLAIR) images for images acquired at a later point (n = 55). For the remaining patients (n = 45), we used a combination of two modalities (e.g., DWI and T1; see </w:t>
      </w:r>
      <w:r w:rsidR="0005473C" w:rsidRPr="0005473C">
        <w:rPr>
          <w:color w:val="FF0000"/>
          <w:lang w:val="en-US"/>
        </w:rPr>
        <w:t>appendix ?</w:t>
      </w:r>
      <w:r w:rsidR="0005473C">
        <w:rPr>
          <w:lang w:val="en-US"/>
        </w:rPr>
        <w:t xml:space="preserve"> for a full list).</w:t>
      </w:r>
    </w:p>
    <w:p w14:paraId="7D852C73" w14:textId="5D141317" w:rsidR="00242682" w:rsidRDefault="00D06FE6" w:rsidP="005A7ED5">
      <w:bookmarkStart w:id="13" w:name="_Hlk104548924"/>
      <w:bookmarkEnd w:id="11"/>
      <w:r w:rsidRPr="00D06FE6">
        <w:rPr>
          <w:lang w:val="en-US"/>
        </w:rPr>
        <w:t xml:space="preserve">The neuroimaging </w:t>
      </w:r>
      <w:r w:rsidRPr="00D06FE6">
        <w:t>data</w:t>
      </w:r>
      <w:r w:rsidRPr="00D06FE6">
        <w:rPr>
          <w:lang w:val="en-US"/>
        </w:rPr>
        <w:t xml:space="preserve"> were</w:t>
      </w:r>
      <w:r>
        <w:t xml:space="preserve"> pre-processed </w:t>
      </w:r>
      <w:r w:rsidR="003B65EB">
        <w:t>using MATLAB R2016b and R2020a 64bit (</w:t>
      </w:r>
      <w:hyperlink r:id="rId8" w:history="1">
        <w:r w:rsidR="003B65EB" w:rsidRPr="00610D0A">
          <w:rPr>
            <w:rStyle w:val="Hyperlink"/>
            <w:rFonts w:ascii="Ebrima" w:hAnsi="Ebrima"/>
          </w:rPr>
          <w:t>MathWorks</w:t>
        </w:r>
      </w:hyperlink>
      <w:r w:rsidR="003B65EB">
        <w:t>) and SPM12 toolbox (</w:t>
      </w:r>
      <w:hyperlink r:id="rId9" w:history="1">
        <w:r w:rsidR="003B65EB" w:rsidRPr="00610D0A">
          <w:rPr>
            <w:rStyle w:val="Hyperlink"/>
            <w:rFonts w:ascii="Ebrima" w:hAnsi="Ebrima"/>
          </w:rPr>
          <w:t>Wellcome Department of Cognitive Neurology, London</w:t>
        </w:r>
      </w:hyperlink>
      <w:r w:rsidR="003B65EB">
        <w:t>).</w:t>
      </w:r>
      <w:r w:rsidR="00242682">
        <w:t xml:space="preserve"> </w:t>
      </w:r>
      <w:r w:rsidR="00242682" w:rsidRPr="00242682">
        <w:t xml:space="preserve">We generally followed the guidelines to lesion-behaviour mapping as described in </w:t>
      </w:r>
      <w:hyperlink w:anchor="dehaankarnath2018" w:history="1">
        <w:r w:rsidR="00242682" w:rsidRPr="00C11106">
          <w:rPr>
            <w:rStyle w:val="Hyperlink"/>
            <w:rFonts w:ascii="Ebrima" w:hAnsi="Ebrima"/>
          </w:rPr>
          <w:t>de Haan and Karnath, 2018</w:t>
        </w:r>
      </w:hyperlink>
      <w:r w:rsidR="00242682" w:rsidRPr="00242682">
        <w:t xml:space="preserve"> and </w:t>
      </w:r>
      <w:hyperlink w:anchor="karnath2019" w:history="1">
        <w:r w:rsidR="00242682" w:rsidRPr="00C11106">
          <w:rPr>
            <w:rStyle w:val="Hyperlink"/>
            <w:rFonts w:ascii="Ebrima" w:hAnsi="Ebrima"/>
          </w:rPr>
          <w:t>Karnath et al., 2019</w:t>
        </w:r>
      </w:hyperlink>
      <w:r w:rsidR="00242682" w:rsidRPr="00242682">
        <w:t>.</w:t>
      </w:r>
    </w:p>
    <w:p w14:paraId="7D38E7C5" w14:textId="115B7ADD"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registered using the SPM12 function as a first step. If only a single image was available, this step was skipped.</w:t>
      </w:r>
    </w:p>
    <w:p w14:paraId="55B6E3C5" w14:textId="662D3990" w:rsidR="003B65EB" w:rsidRDefault="00E0356F" w:rsidP="005A7ED5">
      <w:pPr>
        <w:rPr>
          <w:color w:val="FF9933"/>
        </w:rPr>
      </w:pPr>
      <w:r>
        <w:t>Then, t</w:t>
      </w:r>
      <w:r w:rsidR="003B65EB">
        <w:t>he Clusterize toolbox (</w:t>
      </w:r>
      <w:hyperlink w:anchor="dehaan2015" w:history="1">
        <w:r w:rsidR="003B65EB" w:rsidRPr="00610D0A">
          <w:rPr>
            <w:rStyle w:val="Hyperlink"/>
            <w:rFonts w:ascii="Ebrima" w:hAnsi="Ebrima"/>
          </w:rPr>
          <w:t>de Haan et al., 2015</w:t>
        </w:r>
      </w:hyperlink>
      <w:r w:rsidR="003B65EB">
        <w:t xml:space="preserve">) was used to semi-automatically delineate </w:t>
      </w:r>
      <w:r w:rsidR="00CA589B">
        <w:t>each patient’s lesion</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 xml:space="preserve">by clustering the image </w:t>
      </w:r>
      <w:r w:rsidR="00302C6D" w:rsidRPr="00302C6D">
        <w:t xml:space="preserve">according to a previously selected intensity threshold. The areas flagged by the algorithm as potential lesions </w:t>
      </w:r>
      <w:r w:rsidRPr="00302C6D">
        <w:t xml:space="preserve">are then manually </w:t>
      </w:r>
      <w:r w:rsidRPr="00302C6D">
        <w:lastRenderedPageBreak/>
        <w:t>reviewed, selected and modified.</w:t>
      </w:r>
      <w:r w:rsidR="004148D1" w:rsidRPr="00302C6D">
        <w:t xml:space="preserve"> This results in a </w:t>
      </w:r>
      <w:r w:rsidR="00302C6D">
        <w:t xml:space="preserve">voxel-based </w:t>
      </w:r>
      <w:r w:rsidR="004148D1" w:rsidRPr="00302C6D">
        <w:t xml:space="preserve">binary lesion map. </w:t>
      </w:r>
      <w:r w:rsidR="00471D19">
        <w:t>For p</w:t>
      </w:r>
      <w:r w:rsidR="00302C6D">
        <w:t>atients that suffered from both a haemorrhagic stroke as well as an infarct, and as a result exhibited two</w:t>
      </w:r>
      <w:r w:rsidR="004148D1">
        <w:t xml:space="preserve"> lesion</w:t>
      </w:r>
      <w:r w:rsidR="00471D19">
        <w:t>s of different intensities (typically hyperintense for the haemorrhage hypointense for the stroke), 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rsidR="00471D19">
        <w:t xml:space="preserve"> </w:t>
      </w:r>
      <w:r w:rsidR="004148D1">
        <w:t>script.</w:t>
      </w:r>
      <w:r w:rsidR="002A50CB">
        <w:t xml:space="preserve"> Every patient’s resulting lesion map was visually inspected for its correctness by overlaying it on top of the anatomical scan using the MRIcroN software (</w:t>
      </w:r>
      <w:hyperlink w:anchor="rordenbrett2000" w:history="1">
        <w:r w:rsidR="00EA6BA6" w:rsidRPr="004331E1">
          <w:rPr>
            <w:rStyle w:val="Hyperlink"/>
            <w:rFonts w:ascii="Ebrima" w:hAnsi="Ebrima"/>
          </w:rPr>
          <w:t>Rorden &amp; Brett, 2000</w:t>
        </w:r>
      </w:hyperlink>
      <w:r w:rsidR="00EA6BA6">
        <w:t xml:space="preserve">; </w:t>
      </w:r>
      <w:hyperlink r:id="rId10" w:history="1">
        <w:r w:rsidR="00EA6BA6" w:rsidRPr="004331E1">
          <w:rPr>
            <w:rStyle w:val="Hyperlink"/>
            <w:rFonts w:ascii="Ebrima" w:hAnsi="Ebrima"/>
          </w:rPr>
          <w:t>NITRC, 20</w:t>
        </w:r>
        <w:r w:rsidR="004331E1" w:rsidRPr="004331E1">
          <w:rPr>
            <w:rStyle w:val="Hyperlink"/>
            <w:rFonts w:ascii="Ebrima" w:hAnsi="Ebrima"/>
          </w:rPr>
          <w:t>08</w:t>
        </w:r>
      </w:hyperlink>
      <w:r w:rsidR="002A50CB">
        <w:t>).</w:t>
      </w:r>
    </w:p>
    <w:p w14:paraId="1A5C8EFD" w14:textId="31FC01AE" w:rsidR="006A5AAF" w:rsidRDefault="00CA589B" w:rsidP="00D31EC1">
      <w:r>
        <w:t>Thereafter, the Clinical toolbox (</w:t>
      </w:r>
      <w:hyperlink w:anchor="rorden2012" w:history="1">
        <w:r w:rsidR="004331E1" w:rsidRPr="004331E1">
          <w:rPr>
            <w:rStyle w:val="Hyperlink"/>
            <w:rFonts w:ascii="Ebrima" w:hAnsi="Ebrima"/>
          </w:rPr>
          <w:t>Rorden et al., 2012</w:t>
        </w:r>
      </w:hyperlink>
      <w:r w:rsidR="004331E1">
        <w:t xml:space="preserve">; </w:t>
      </w:r>
      <w:hyperlink r:id="rId11" w:history="1">
        <w:r w:rsidR="004331E1" w:rsidRPr="004331E1">
          <w:rPr>
            <w:rStyle w:val="Hyperlink"/>
            <w:rFonts w:ascii="Ebrima" w:hAnsi="Ebrima"/>
          </w:rPr>
          <w:t>NITRC, 2014</w:t>
        </w:r>
      </w:hyperlink>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950A3D" w:rsidRPr="00950A3D">
        <w:rPr>
          <w:highlight w:val="yellow"/>
        </w:rPr>
        <w:t>SOURCE</w:t>
      </w:r>
      <w:r w:rsidR="00471D19">
        <w:t>) with the standard voxel size of 1 mm</w:t>
      </w:r>
      <w:r w:rsidR="00471D19" w:rsidRPr="00471D19">
        <w:rPr>
          <w:vertAlign w:val="superscript"/>
        </w:rPr>
        <w:t>3</w:t>
      </w:r>
      <w:r w:rsidR="00471D19">
        <w:t xml:space="preserve">. </w:t>
      </w:r>
      <w:r>
        <w:t xml:space="preserve">We used this toolbox for the normalisation process rather than the SPM12 normalisation </w:t>
      </w:r>
      <w:r w:rsidR="009D6F84">
        <w:t xml:space="preserve">function, since it allowed us to normalise the scan </w:t>
      </w:r>
      <w:r w:rsidR="00D31EC1">
        <w:t>to an age-matched template</w:t>
      </w:r>
      <w:r w:rsidRPr="009D6F84">
        <w:t xml:space="preserve">. </w:t>
      </w:r>
      <w:r w:rsidR="009D6F84">
        <w:t xml:space="preserve">We </w:t>
      </w:r>
      <w:r w:rsidR="00D31EC1">
        <w:t xml:space="preserve">used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9D6F84">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using a custom MATLAB script. </w:t>
      </w:r>
      <w:r w:rsidR="00D31EC1" w:rsidRPr="00D31EC1">
        <w:t>Lastly</w:t>
      </w:r>
      <w:r w:rsidR="002865F3" w:rsidRPr="00D31EC1">
        <w:t xml:space="preserve">, </w:t>
      </w:r>
      <w:r w:rsidR="002865F3">
        <w:t>the quality of the normalisation was manually checked for every patient’s scan by comparing the normalised brain to the template brain of the given image modality using MRIcro</w:t>
      </w:r>
      <w:r w:rsidR="00D31EC1">
        <w:t>n</w:t>
      </w:r>
      <w:r w:rsidR="00C11106">
        <w:t>.</w:t>
      </w:r>
    </w:p>
    <w:p w14:paraId="36B1C9FC" w14:textId="412FC8D3" w:rsidR="00610E4A" w:rsidRPr="006A5AAF" w:rsidRDefault="00610E4A" w:rsidP="00D31EC1">
      <w:r>
        <w:br w:type="page"/>
      </w:r>
    </w:p>
    <w:p w14:paraId="1963E259" w14:textId="1F246C56" w:rsidR="00A40F89" w:rsidRDefault="000E5F13" w:rsidP="00610E4A">
      <w:pPr>
        <w:pStyle w:val="berschrift3"/>
        <w:numPr>
          <w:ilvl w:val="0"/>
          <w:numId w:val="3"/>
        </w:numPr>
      </w:pPr>
      <w:bookmarkStart w:id="14" w:name="_Toc108612549"/>
      <w:bookmarkEnd w:id="13"/>
      <w:r w:rsidRPr="00A40F89">
        <w:lastRenderedPageBreak/>
        <w:t>Data Analysis</w:t>
      </w:r>
      <w:bookmarkEnd w:id="14"/>
    </w:p>
    <w:p w14:paraId="70B4DDB2" w14:textId="5A699D38" w:rsidR="00A40F89" w:rsidRDefault="00761D5C" w:rsidP="00610E4A">
      <w:pPr>
        <w:pStyle w:val="berschrift3"/>
        <w:numPr>
          <w:ilvl w:val="1"/>
          <w:numId w:val="3"/>
        </w:numPr>
        <w:rPr>
          <w:color w:val="E2A110"/>
          <w:lang w:val="de-DE"/>
        </w:rPr>
      </w:pPr>
      <w:bookmarkStart w:id="15" w:name="_Toc108612550"/>
      <w:bookmarkStart w:id="16" w:name="_Hlk104557699"/>
      <w:r>
        <w:rPr>
          <w:color w:val="E2A110"/>
          <w:lang w:val="de-DE"/>
        </w:rPr>
        <w:t>Clinical Data/</w:t>
      </w:r>
      <w:r w:rsidR="009731CF">
        <w:rPr>
          <w:color w:val="E2A110"/>
          <w:lang w:val="de-DE"/>
        </w:rPr>
        <w:t>Stroke Aetiology</w:t>
      </w:r>
      <w:bookmarkEnd w:id="15"/>
      <w:r w:rsidR="004A4ACD">
        <w:rPr>
          <w:color w:val="E2A110"/>
          <w:lang w:val="de-DE"/>
        </w:rPr>
        <w:t xml:space="preserve"> </w:t>
      </w:r>
      <w:bookmarkEnd w:id="16"/>
    </w:p>
    <w:p w14:paraId="78669A35" w14:textId="225AF9C5" w:rsidR="004A4ACD" w:rsidRDefault="004A4ACD" w:rsidP="004A4ACD">
      <w:pPr>
        <w:rPr>
          <w:lang w:val="de-DE"/>
        </w:rPr>
      </w:pPr>
    </w:p>
    <w:p w14:paraId="039DDD30" w14:textId="4685A17D" w:rsidR="006A5AAF" w:rsidRDefault="00A96B43" w:rsidP="00610E4A">
      <w:pPr>
        <w:pStyle w:val="berschrift3"/>
        <w:numPr>
          <w:ilvl w:val="1"/>
          <w:numId w:val="3"/>
        </w:numPr>
      </w:pPr>
      <w:bookmarkStart w:id="17" w:name="_Hlk107484121"/>
      <w:bookmarkStart w:id="18" w:name="_Toc108612551"/>
      <w:bookmarkStart w:id="19" w:name="_Hlk107484099"/>
      <w:r>
        <w:t>Voxel-based Lesion-Behaviour Mapping / Lesion Analysi</w:t>
      </w:r>
      <w:bookmarkEnd w:id="17"/>
      <w:r>
        <w:t>s</w:t>
      </w:r>
      <w:bookmarkEnd w:id="18"/>
    </w:p>
    <w:p w14:paraId="15F5AC79" w14:textId="72729C43" w:rsidR="008708D1" w:rsidRDefault="008708D1" w:rsidP="008708D1">
      <w:r>
        <w:t>We first used MRIcron (</w:t>
      </w:r>
      <w:hyperlink w:anchor="rordenbrett2000" w:history="1">
        <w:r w:rsidRPr="004331E1">
          <w:rPr>
            <w:rStyle w:val="Hyperlink"/>
            <w:rFonts w:ascii="Ebrima" w:hAnsi="Ebrima"/>
          </w:rPr>
          <w:t>Rorden &amp; Brett, 2000</w:t>
        </w:r>
      </w:hyperlink>
      <w:r>
        <w:t xml:space="preserve">; </w:t>
      </w:r>
      <w:hyperlink r:id="rId12" w:history="1">
        <w:r w:rsidRPr="004331E1">
          <w:rPr>
            <w:rStyle w:val="Hyperlink"/>
            <w:rFonts w:ascii="Ebrima" w:hAnsi="Ebrima"/>
          </w:rPr>
          <w:t>NITRC, 2008</w:t>
        </w:r>
      </w:hyperlink>
      <w:r>
        <w:t>) to create descriptive overla</w:t>
      </w:r>
      <w:r w:rsidR="0079758D">
        <w:t>p</w:t>
      </w:r>
      <w:r>
        <w:t xml:space="preserve"> and subtraction lesion plots for all relevant groups. </w:t>
      </w:r>
      <w:r w:rsidR="00685B48">
        <w:t>Overla</w:t>
      </w:r>
      <w:r w:rsidR="0079758D">
        <w:t>p</w:t>
      </w:r>
      <w:r w:rsidR="00685B48">
        <w:t xml:space="preserve"> plots are topographies of </w:t>
      </w:r>
      <w:r w:rsidR="00DA3C71">
        <w:t xml:space="preserve">all patients’ </w:t>
      </w:r>
      <w:r w:rsidR="00685B48">
        <w:t>normalised lesion maps</w:t>
      </w:r>
      <w:r w:rsidR="0079758D">
        <w:t xml:space="preserve">. Only voxels that are damaged in at least 5 patients (25% of all voxels) are depicted and used for further analyses. </w:t>
      </w:r>
    </w:p>
    <w:p w14:paraId="31E19CD8" w14:textId="640B49E3" w:rsidR="00C611B1" w:rsidRPr="008708D1" w:rsidRDefault="00C611B1" w:rsidP="008708D1">
      <w:r>
        <w:t xml:space="preserve">Subtraction plots are maps that showcase which areas of the brain exhibit lesions more frequently in one patient group (typically with the cognitive deficit of interest) compared to another one (without the deficit of interest). </w:t>
      </w:r>
    </w:p>
    <w:bookmarkEnd w:id="19"/>
    <w:p w14:paraId="3D8170C8" w14:textId="0C1CC822" w:rsidR="00EE67DD" w:rsidRDefault="00EE67DD" w:rsidP="00EE67DD">
      <w:pPr>
        <w:pStyle w:val="Listenabsatz"/>
        <w:numPr>
          <w:ilvl w:val="0"/>
          <w:numId w:val="5"/>
        </w:numPr>
        <w:rPr>
          <w:lang w:val="en-US"/>
        </w:rPr>
      </w:pPr>
      <w:r>
        <w:rPr>
          <w:lang w:val="en-US"/>
        </w:rPr>
        <w:t>Overlay Plot</w:t>
      </w:r>
    </w:p>
    <w:p w14:paraId="47367E18" w14:textId="77777777" w:rsidR="00C02C4C" w:rsidRPr="00C02C4C" w:rsidRDefault="00C02C4C" w:rsidP="00C02C4C">
      <w:pPr>
        <w:rPr>
          <w:lang w:val="en-US"/>
        </w:rPr>
      </w:pPr>
    </w:p>
    <w:p w14:paraId="1D6431E1" w14:textId="2B18A1CA" w:rsidR="00EE67DD" w:rsidRPr="00EE67DD" w:rsidRDefault="00EE67DD" w:rsidP="00EE67DD">
      <w:pPr>
        <w:pStyle w:val="Listenabsatz"/>
        <w:numPr>
          <w:ilvl w:val="0"/>
          <w:numId w:val="5"/>
        </w:numPr>
        <w:rPr>
          <w:lang w:val="en-US"/>
        </w:rPr>
      </w:pPr>
      <w:r>
        <w:rPr>
          <w:lang w:val="en-US"/>
        </w:rPr>
        <w:t>Subtraction Plot</w:t>
      </w:r>
    </w:p>
    <w:p w14:paraId="1510FF32" w14:textId="00579167" w:rsidR="009731CF" w:rsidRPr="00CA0BD8" w:rsidRDefault="00CA0BD8" w:rsidP="009731CF">
      <w:pPr>
        <w:pStyle w:val="Listenabsatz"/>
        <w:numPr>
          <w:ilvl w:val="0"/>
          <w:numId w:val="5"/>
        </w:numPr>
        <w:rPr>
          <w:lang w:val="en-US"/>
        </w:rPr>
      </w:pPr>
      <w:r w:rsidRPr="00CA0BD8">
        <w:rPr>
          <w:lang w:val="en-US"/>
        </w:rPr>
        <w:t xml:space="preserve">NiiStat: </w:t>
      </w:r>
      <w:r>
        <w:rPr>
          <w:lang w:val="en-US"/>
        </w:rPr>
        <w:t xml:space="preserve">mass </w:t>
      </w:r>
      <w:r w:rsidRPr="006A5AAF">
        <w:t>univariate voxelwise statistical comparison</w:t>
      </w:r>
    </w:p>
    <w:p w14:paraId="143E8C38" w14:textId="77777777" w:rsidR="009731CF" w:rsidRPr="009731CF" w:rsidRDefault="009731CF" w:rsidP="009731CF"/>
    <w:p w14:paraId="247AD319" w14:textId="19E9E3EA" w:rsidR="00CA0BD8" w:rsidRDefault="00CA0BD8" w:rsidP="00610E4A">
      <w:pPr>
        <w:pStyle w:val="berschrift3"/>
        <w:numPr>
          <w:ilvl w:val="1"/>
          <w:numId w:val="3"/>
        </w:numPr>
        <w:rPr>
          <w:lang w:val="de-DE"/>
        </w:rPr>
      </w:pPr>
      <w:bookmarkStart w:id="20" w:name="_Toc108612552"/>
      <w:r>
        <w:rPr>
          <w:lang w:val="de-DE"/>
        </w:rPr>
        <w:t>Whole-brain disconnectivity mapping</w:t>
      </w:r>
      <w:bookmarkEnd w:id="20"/>
    </w:p>
    <w:p w14:paraId="7798AEBA" w14:textId="50CF13BB" w:rsidR="00C3717E" w:rsidRDefault="00C3717E" w:rsidP="00C3717E">
      <w:pPr>
        <w:rPr>
          <w:color w:val="FF0000"/>
        </w:rPr>
      </w:pPr>
      <w:r w:rsidRPr="00AC7987">
        <w:rPr>
          <w:color w:val="FF0000"/>
        </w:rPr>
        <w:t xml:space="preserve">We used the Lesion Quantification Toolkit (LQT; </w:t>
      </w:r>
      <w:r w:rsidRPr="00AC7987">
        <w:rPr>
          <w:color w:val="FF0000"/>
          <w:highlight w:val="yellow"/>
        </w:rPr>
        <w:t>Griffis et al., 2021</w:t>
      </w:r>
      <w:r w:rsidRPr="00AC7987">
        <w:rPr>
          <w:color w:val="FF0000"/>
        </w:rPr>
        <w:t>) to create individual white matter disconnectivity topographies for every patient.</w:t>
      </w:r>
      <w:r w:rsidR="0016305E" w:rsidRPr="00AC7987">
        <w:rPr>
          <w:color w:val="FF0000"/>
        </w:rPr>
        <w:t xml:space="preserve"> Using the toolkit’s standard HCP-842 tract-wise connectome atlas (</w:t>
      </w:r>
      <w:r w:rsidR="0016305E" w:rsidRPr="00AC7987">
        <w:rPr>
          <w:color w:val="FF0000"/>
          <w:highlight w:val="yellow"/>
        </w:rPr>
        <w:t>Yeh et al., 2018</w:t>
      </w:r>
      <w:r w:rsidR="0016305E" w:rsidRPr="00AC7987">
        <w:rPr>
          <w:color w:val="FF0000"/>
        </w:rPr>
        <w:t xml:space="preserve">), all fibre streamlines intersecting with a patient’s lesion maps </w:t>
      </w:r>
      <w:r w:rsidR="005436F9" w:rsidRPr="00AC7987">
        <w:rPr>
          <w:color w:val="FF0000"/>
        </w:rPr>
        <w:t>were</w:t>
      </w:r>
      <w:r w:rsidR="0016305E" w:rsidRPr="00AC7987">
        <w:rPr>
          <w:color w:val="FF0000"/>
        </w:rPr>
        <w:t xml:space="preserve"> identified. Subsequently, all connectome-based dis</w:t>
      </w:r>
      <w:r w:rsidR="00A96B43" w:rsidRPr="00AC7987">
        <w:rPr>
          <w:color w:val="FF0000"/>
        </w:rPr>
        <w:t>connections that were caused by the lesion were mapped, which</w:t>
      </w:r>
      <w:r w:rsidR="00414B1A" w:rsidRPr="00AC7987">
        <w:rPr>
          <w:color w:val="FF0000"/>
        </w:rPr>
        <w:t xml:space="preserve"> allows to topographically assess the impact a lesion has on whole-brain connectivity.</w:t>
      </w:r>
      <w:r w:rsidR="005436F9" w:rsidRPr="00AC7987">
        <w:rPr>
          <w:color w:val="FF0000"/>
        </w:rPr>
        <w:t xml:space="preserve"> </w:t>
      </w:r>
    </w:p>
    <w:p w14:paraId="3334C653" w14:textId="74A5761E" w:rsidR="00AC7987" w:rsidRPr="00AC7987" w:rsidRDefault="00AC7987" w:rsidP="00AC7987">
      <w:pPr>
        <w:pStyle w:val="Listenabsatz"/>
        <w:numPr>
          <w:ilvl w:val="0"/>
          <w:numId w:val="5"/>
        </w:numPr>
        <w:rPr>
          <w:color w:val="FF0000"/>
        </w:rPr>
      </w:pPr>
      <w:r>
        <w:rPr>
          <w:color w:val="FF0000"/>
        </w:rPr>
        <w:t>Mass univariate with NiiStat: No voxels survive (all/female/male)</w:t>
      </w:r>
    </w:p>
    <w:p w14:paraId="46BC1037" w14:textId="5608A3A5" w:rsidR="00CA0BD8" w:rsidRPr="00C3717E" w:rsidRDefault="00CA0BD8" w:rsidP="00CA0BD8">
      <w:pPr>
        <w:pStyle w:val="berschrift3"/>
        <w:rPr>
          <w:lang w:val="en-US"/>
        </w:rPr>
      </w:pPr>
    </w:p>
    <w:p w14:paraId="76D0A00C" w14:textId="25F47F1E" w:rsidR="005436F9" w:rsidRPr="005436F9" w:rsidRDefault="00761D5C" w:rsidP="00610E4A">
      <w:pPr>
        <w:pStyle w:val="berschrift3"/>
        <w:numPr>
          <w:ilvl w:val="1"/>
          <w:numId w:val="3"/>
        </w:numPr>
        <w:rPr>
          <w:sz w:val="28"/>
          <w:szCs w:val="28"/>
        </w:rPr>
      </w:pPr>
      <w:bookmarkStart w:id="21" w:name="_Toc108612553"/>
      <w:bookmarkStart w:id="22" w:name="_Hlk107484211"/>
      <w:r>
        <w:rPr>
          <w:lang w:val="de-DE"/>
        </w:rPr>
        <w:t>Region-to-</w:t>
      </w:r>
      <w:r w:rsidR="005436F9">
        <w:rPr>
          <w:lang w:val="de-DE"/>
        </w:rPr>
        <w:t>R</w:t>
      </w:r>
      <w:r>
        <w:rPr>
          <w:lang w:val="de-DE"/>
        </w:rPr>
        <w:t>egion disconnectivity</w:t>
      </w:r>
      <w:bookmarkEnd w:id="21"/>
    </w:p>
    <w:bookmarkEnd w:id="22"/>
    <w:p w14:paraId="15A5E15D" w14:textId="0B915221" w:rsidR="003231E9" w:rsidRPr="00DB4813" w:rsidRDefault="005436F9" w:rsidP="005436F9">
      <w:pPr>
        <w:rPr>
          <w:color w:val="FF0000"/>
        </w:rPr>
      </w:pPr>
      <w:r w:rsidRPr="00DB4813">
        <w:rPr>
          <w:color w:val="FF0000"/>
        </w:rPr>
        <w:t>Once again using the LQT (</w:t>
      </w:r>
      <w:r w:rsidRPr="00DB4813">
        <w:rPr>
          <w:color w:val="FF0000"/>
          <w:highlight w:val="yellow"/>
        </w:rPr>
        <w:t>Griffis et al., 2021</w:t>
      </w:r>
      <w:r w:rsidRPr="00DB4813">
        <w:rPr>
          <w:color w:val="FF0000"/>
        </w:rPr>
        <w:t xml:space="preserve">), we analysed the </w:t>
      </w:r>
      <w:r w:rsidR="00AC7987" w:rsidRPr="00DB4813">
        <w:rPr>
          <w:color w:val="FF0000"/>
        </w:rPr>
        <w:t xml:space="preserve">lesion-induced </w:t>
      </w:r>
      <w:r w:rsidRPr="00DB4813">
        <w:rPr>
          <w:color w:val="FF0000"/>
        </w:rPr>
        <w:t xml:space="preserve">disconnectivity </w:t>
      </w:r>
      <w:r w:rsidR="00AC7987" w:rsidRPr="00DB4813">
        <w:rPr>
          <w:color w:val="FF0000"/>
        </w:rPr>
        <w:t xml:space="preserve">on a parcellation-level to identify which direct disconnections between two grey matter regions are significantly associated with increased (i.e., pathological) scores in the behavioural tasks. </w:t>
      </w:r>
      <w:r w:rsidR="009C0B9C" w:rsidRPr="00DB4813">
        <w:rPr>
          <w:color w:val="FF0000"/>
        </w:rPr>
        <w:t xml:space="preserve">We chose the </w:t>
      </w:r>
      <w:r w:rsidR="00186647" w:rsidRPr="00DB4813">
        <w:rPr>
          <w:color w:val="FF0000"/>
        </w:rPr>
        <w:t xml:space="preserve">Brainnetome atlas (BN-246; </w:t>
      </w:r>
      <w:r w:rsidR="00186647" w:rsidRPr="00DB4813">
        <w:rPr>
          <w:color w:val="FF0000"/>
          <w:highlight w:val="yellow"/>
        </w:rPr>
        <w:t>Fan et al., 2016</w:t>
      </w:r>
      <w:r w:rsidR="00186647" w:rsidRPr="00DB4813">
        <w:rPr>
          <w:color w:val="FF0000"/>
        </w:rPr>
        <w:t xml:space="preserve">) </w:t>
      </w:r>
      <w:r w:rsidR="009C0B9C" w:rsidRPr="00DB4813">
        <w:rPr>
          <w:color w:val="FF0000"/>
        </w:rPr>
        <w:t>as our parcellation atlas, as it was specifically developed for connectivity analyses and include</w:t>
      </w:r>
      <w:r w:rsidR="00186647" w:rsidRPr="00DB4813">
        <w:rPr>
          <w:color w:val="FF0000"/>
        </w:rPr>
        <w:t>s</w:t>
      </w:r>
      <w:r w:rsidR="009C0B9C" w:rsidRPr="00DB4813">
        <w:rPr>
          <w:color w:val="FF0000"/>
        </w:rPr>
        <w:t xml:space="preserve"> </w:t>
      </w:r>
      <w:r w:rsidR="00186647" w:rsidRPr="00DB4813">
        <w:rPr>
          <w:color w:val="FF0000"/>
        </w:rPr>
        <w:t>cortical (n = 210), as well as subcortical (n = 36) regions. We combined this with the HCP-842 tractography atlas provided by the LQT to generate structural disconnectivity matrices for every patient.</w:t>
      </w:r>
    </w:p>
    <w:p w14:paraId="24315C4E" w14:textId="153F33DA" w:rsidR="00A40F89" w:rsidRPr="005436F9" w:rsidRDefault="003231E9" w:rsidP="005436F9">
      <w:pPr>
        <w:rPr>
          <w:sz w:val="28"/>
          <w:szCs w:val="28"/>
        </w:rPr>
      </w:pPr>
      <w:r w:rsidRPr="00DB4813">
        <w:rPr>
          <w:color w:val="FF0000"/>
        </w:rPr>
        <w:t>Using custom MATLAB scripts, we analysed associations between parcel-wise disconnections and behavioural scores</w:t>
      </w:r>
      <w:r w:rsidR="003454B0" w:rsidRPr="00DB4813">
        <w:rPr>
          <w:color w:val="FF0000"/>
        </w:rPr>
        <w:t xml:space="preserve"> by employing </w:t>
      </w:r>
      <w:r w:rsidRPr="00DB4813">
        <w:rPr>
          <w:color w:val="FF0000"/>
        </w:rPr>
        <w:t xml:space="preserve">mass-univariate </w:t>
      </w:r>
      <w:r w:rsidR="003454B0" w:rsidRPr="00DB4813">
        <w:rPr>
          <w:color w:val="FF0000"/>
        </w:rPr>
        <w:t>general linear models</w:t>
      </w:r>
      <w:r w:rsidR="004779C8" w:rsidRPr="00DB4813">
        <w:rPr>
          <w:color w:val="FF0000"/>
        </w:rPr>
        <w:t xml:space="preserve"> (GLM)</w:t>
      </w:r>
      <w:r w:rsidR="003454B0" w:rsidRPr="00DB4813">
        <w:rPr>
          <w:color w:val="FF0000"/>
        </w:rPr>
        <w:t xml:space="preserve">. For this, we firstly loaded the symmetric 246-by-246 disconnectivity matrices into MATLAB and removed the diagonal and elements below it. We also removed any ROI-to-ROI disconnections that are either </w:t>
      </w:r>
      <w:r w:rsidR="009C0B9C" w:rsidRPr="00DB4813">
        <w:rPr>
          <w:color w:val="FF0000"/>
        </w:rPr>
        <w:t>(</w:t>
      </w:r>
      <w:r w:rsidR="003454B0" w:rsidRPr="00DB4813">
        <w:rPr>
          <w:color w:val="FF0000"/>
        </w:rPr>
        <w:t>physiologically</w:t>
      </w:r>
      <w:r w:rsidR="009C0B9C" w:rsidRPr="00DB4813">
        <w:rPr>
          <w:color w:val="FF0000"/>
        </w:rPr>
        <w:t>)</w:t>
      </w:r>
      <w:r w:rsidR="003454B0" w:rsidRPr="00DB4813">
        <w:rPr>
          <w:color w:val="FF0000"/>
        </w:rPr>
        <w:t xml:space="preserve"> non-existent</w:t>
      </w:r>
      <w:r w:rsidR="009C0B9C" w:rsidRPr="00DB4813">
        <w:rPr>
          <w:color w:val="FF0000"/>
        </w:rPr>
        <w:t xml:space="preserve"> in the patient sample or </w:t>
      </w:r>
      <w:r w:rsidR="00186647" w:rsidRPr="00DB4813">
        <w:rPr>
          <w:color w:val="FF0000"/>
        </w:rPr>
        <w:t>are present in less than 20% of the patient sample (n(all) = 45; n(female) = 20; n(male) = 25) (</w:t>
      </w:r>
      <w:r w:rsidR="00186647" w:rsidRPr="00DB4813">
        <w:rPr>
          <w:color w:val="FF0000"/>
          <w:highlight w:val="yellow"/>
        </w:rPr>
        <w:t>SOURCE</w:t>
      </w:r>
      <w:r w:rsidR="00186647" w:rsidRPr="00DB4813">
        <w:rPr>
          <w:color w:val="FF0000"/>
        </w:rPr>
        <w:t xml:space="preserve">). </w:t>
      </w:r>
      <w:r w:rsidR="004779C8" w:rsidRPr="00DB4813">
        <w:rPr>
          <w:color w:val="FF0000"/>
        </w:rPr>
        <w:t xml:space="preserve">After removing those data, we computed a GLM for the remaining ROI-to-ROI connections, using the </w:t>
      </w:r>
      <w:r w:rsidR="004779C8" w:rsidRPr="00DB4813">
        <w:rPr>
          <w:color w:val="FF0000"/>
        </w:rPr>
        <w:lastRenderedPageBreak/>
        <w:t xml:space="preserve">disconnectivity score as the independent variable and the behavioural score as the dependent variable. We calculated 50.000 permutations and computed the maximum statistic permutation (????). This yielded a one-sided corrected threshold </w:t>
      </w:r>
      <w:r w:rsidR="00DB4813" w:rsidRPr="00DB4813">
        <w:rPr>
          <w:color w:val="FF0000"/>
        </w:rPr>
        <w:t xml:space="preserve">at different statistical significance levels. </w:t>
      </w:r>
      <w:r w:rsidR="00A40F89" w:rsidRPr="005436F9">
        <w:br w:type="page"/>
      </w:r>
    </w:p>
    <w:p w14:paraId="387DDA9B" w14:textId="78BED85B" w:rsidR="000E5F13" w:rsidRDefault="000E5F13" w:rsidP="00EA784A">
      <w:pPr>
        <w:pStyle w:val="berschrift2"/>
        <w:numPr>
          <w:ilvl w:val="0"/>
          <w:numId w:val="3"/>
        </w:numPr>
        <w:rPr>
          <w:b w:val="0"/>
          <w:bCs w:val="0"/>
        </w:rPr>
      </w:pPr>
      <w:bookmarkStart w:id="23" w:name="_Toc108612554"/>
      <w:r w:rsidRPr="00EA784A">
        <w:rPr>
          <w:b w:val="0"/>
          <w:bCs w:val="0"/>
        </w:rPr>
        <w:lastRenderedPageBreak/>
        <w:t>Results</w:t>
      </w:r>
      <w:bookmarkEnd w:id="23"/>
    </w:p>
    <w:p w14:paraId="4C7F20BB" w14:textId="3695B23A" w:rsidR="004A4ACD" w:rsidRPr="00C16B0E" w:rsidRDefault="00C16B0E" w:rsidP="004A4ACD">
      <w:pPr>
        <w:pStyle w:val="berschrift3"/>
        <w:numPr>
          <w:ilvl w:val="1"/>
          <w:numId w:val="3"/>
        </w:numPr>
        <w:rPr>
          <w:color w:val="FF9933"/>
          <w:lang w:val="en-US"/>
        </w:rPr>
      </w:pPr>
      <w:bookmarkStart w:id="24" w:name="_Toc108612555"/>
      <w:r w:rsidRPr="00BE0402">
        <w:rPr>
          <w:lang w:val="en-US"/>
        </w:rPr>
        <w:t>Clinical and Demographic Data</w:t>
      </w:r>
      <w:bookmarkEnd w:id="24"/>
    </w:p>
    <w:p w14:paraId="7AB70D20" w14:textId="013F3A7B" w:rsidR="002571FF" w:rsidRDefault="002571FF" w:rsidP="002571FF">
      <w:pPr>
        <w:rPr>
          <w:lang w:val="de-DE"/>
        </w:rPr>
      </w:pPr>
    </w:p>
    <w:p w14:paraId="035AB545" w14:textId="77777777" w:rsidR="002D7D48" w:rsidRPr="00695745" w:rsidRDefault="002D7D48" w:rsidP="002D7D48">
      <w:r w:rsidRPr="002571FF">
        <w:t xml:space="preserve">The mean age </w:t>
      </w:r>
      <w:r>
        <w:t xml:space="preserve">at stroke was higher for women than for men. This finding was consistent across all groups </w:t>
      </w:r>
      <w:r w:rsidRPr="00695745">
        <w:rPr>
          <w:color w:val="FF0000"/>
        </w:rPr>
        <w:t xml:space="preserve">(i.e., all patients, neglect patients, control group). </w:t>
      </w:r>
      <w:r w:rsidRPr="00695745">
        <w:rPr>
          <w:highlight w:val="yellow"/>
        </w:rPr>
        <w:t>[calculate significance]</w:t>
      </w:r>
    </w:p>
    <w:p w14:paraId="49E8C732" w14:textId="77777777" w:rsidR="002D7D48" w:rsidRPr="002571FF" w:rsidRDefault="002D7D48" w:rsidP="002D7D48">
      <w:r>
        <w:t xml:space="preserve">For both the all patients and the neglect patients groups, the mean normalised lesion volume was lower for women than for men. Only in case of the control group did women exhibit marginally larger lesions. </w:t>
      </w:r>
      <w:r w:rsidRPr="00695745">
        <w:rPr>
          <w:highlight w:val="yellow"/>
        </w:rPr>
        <w:t>[calculate significance]</w:t>
      </w:r>
    </w:p>
    <w:p w14:paraId="25CA4A43" w14:textId="5C8FA8A8" w:rsidR="001046FF" w:rsidRDefault="001046FF" w:rsidP="002571FF">
      <w:pPr>
        <w:rPr>
          <w:lang w:val="en-US"/>
        </w:rPr>
      </w:pPr>
    </w:p>
    <w:tbl>
      <w:tblPr>
        <w:tblStyle w:val="Tabellenraster"/>
        <w:tblW w:w="9782" w:type="dxa"/>
        <w:tblLook w:val="04A0" w:firstRow="1" w:lastRow="0" w:firstColumn="1" w:lastColumn="0" w:noHBand="0" w:noVBand="1"/>
      </w:tblPr>
      <w:tblGrid>
        <w:gridCol w:w="1696"/>
        <w:gridCol w:w="1560"/>
        <w:gridCol w:w="1563"/>
        <w:gridCol w:w="1697"/>
        <w:gridCol w:w="1701"/>
        <w:gridCol w:w="1565"/>
      </w:tblGrid>
      <w:tr w:rsidR="00BA3830" w14:paraId="5D1F9FEA" w14:textId="77777777" w:rsidTr="00246198">
        <w:trPr>
          <w:trHeight w:val="306"/>
        </w:trPr>
        <w:tc>
          <w:tcPr>
            <w:tcW w:w="1696" w:type="dxa"/>
            <w:vMerge w:val="restart"/>
          </w:tcPr>
          <w:p w14:paraId="00AD6299" w14:textId="77777777" w:rsidR="00BA3830" w:rsidRDefault="00BA3830" w:rsidP="002571FF">
            <w:pPr>
              <w:rPr>
                <w:lang w:val="en-US"/>
              </w:rPr>
            </w:pPr>
          </w:p>
        </w:tc>
        <w:tc>
          <w:tcPr>
            <w:tcW w:w="3123" w:type="dxa"/>
            <w:gridSpan w:val="2"/>
          </w:tcPr>
          <w:p w14:paraId="69CCAFD3" w14:textId="4754BCBA" w:rsidR="00BA3830" w:rsidRDefault="00BA3830" w:rsidP="002571FF">
            <w:pPr>
              <w:rPr>
                <w:lang w:val="en-US"/>
              </w:rPr>
            </w:pPr>
            <w:r>
              <w:rPr>
                <w:lang w:val="en-US"/>
              </w:rPr>
              <w:t>Neglect</w:t>
            </w:r>
          </w:p>
        </w:tc>
        <w:tc>
          <w:tcPr>
            <w:tcW w:w="3398" w:type="dxa"/>
            <w:gridSpan w:val="2"/>
          </w:tcPr>
          <w:p w14:paraId="5853D0A0" w14:textId="5A3C6658" w:rsidR="00BA3830" w:rsidRDefault="00BA3830" w:rsidP="002571FF">
            <w:pPr>
              <w:rPr>
                <w:lang w:val="en-US"/>
              </w:rPr>
            </w:pPr>
            <w:r>
              <w:rPr>
                <w:lang w:val="en-US"/>
              </w:rPr>
              <w:t>Control</w:t>
            </w:r>
          </w:p>
        </w:tc>
        <w:tc>
          <w:tcPr>
            <w:tcW w:w="1565" w:type="dxa"/>
            <w:vMerge w:val="restart"/>
          </w:tcPr>
          <w:p w14:paraId="22777DBE" w14:textId="14FB3861" w:rsidR="00BA3830" w:rsidRDefault="00BA3830" w:rsidP="002571FF">
            <w:pPr>
              <w:rPr>
                <w:lang w:val="en-US"/>
              </w:rPr>
            </w:pPr>
            <w:r>
              <w:rPr>
                <w:lang w:val="en-US"/>
              </w:rPr>
              <w:t>p-value</w:t>
            </w:r>
          </w:p>
        </w:tc>
      </w:tr>
      <w:tr w:rsidR="00BA3830" w14:paraId="356CD37D" w14:textId="77777777" w:rsidTr="001046FF">
        <w:tc>
          <w:tcPr>
            <w:tcW w:w="1696" w:type="dxa"/>
            <w:vMerge/>
          </w:tcPr>
          <w:p w14:paraId="4DD9FDDB" w14:textId="77777777" w:rsidR="00BA3830" w:rsidRDefault="00BA3830" w:rsidP="002571FF">
            <w:pPr>
              <w:rPr>
                <w:lang w:val="en-US"/>
              </w:rPr>
            </w:pPr>
          </w:p>
        </w:tc>
        <w:tc>
          <w:tcPr>
            <w:tcW w:w="1560" w:type="dxa"/>
          </w:tcPr>
          <w:p w14:paraId="3EEC9D2A" w14:textId="31AE6696" w:rsidR="00BA3830" w:rsidRDefault="00BA3830" w:rsidP="002571FF">
            <w:pPr>
              <w:rPr>
                <w:lang w:val="en-US"/>
              </w:rPr>
            </w:pPr>
            <w:r>
              <w:rPr>
                <w:lang w:val="en-US"/>
              </w:rPr>
              <w:t>Female</w:t>
            </w:r>
          </w:p>
        </w:tc>
        <w:tc>
          <w:tcPr>
            <w:tcW w:w="1563" w:type="dxa"/>
          </w:tcPr>
          <w:p w14:paraId="16562F99" w14:textId="58A51815" w:rsidR="00BA3830" w:rsidRDefault="00BA3830" w:rsidP="002571FF">
            <w:pPr>
              <w:rPr>
                <w:lang w:val="en-US"/>
              </w:rPr>
            </w:pPr>
            <w:r>
              <w:rPr>
                <w:lang w:val="en-US"/>
              </w:rPr>
              <w:t>Male</w:t>
            </w:r>
          </w:p>
        </w:tc>
        <w:tc>
          <w:tcPr>
            <w:tcW w:w="1697" w:type="dxa"/>
          </w:tcPr>
          <w:p w14:paraId="036CC42C" w14:textId="49B56B49" w:rsidR="00BA3830" w:rsidRDefault="00BA3830" w:rsidP="002571FF">
            <w:pPr>
              <w:rPr>
                <w:lang w:val="en-US"/>
              </w:rPr>
            </w:pPr>
            <w:r>
              <w:rPr>
                <w:lang w:val="en-US"/>
              </w:rPr>
              <w:t>Female</w:t>
            </w:r>
          </w:p>
        </w:tc>
        <w:tc>
          <w:tcPr>
            <w:tcW w:w="1701" w:type="dxa"/>
          </w:tcPr>
          <w:p w14:paraId="7EAE7950" w14:textId="36683C39" w:rsidR="00BA3830" w:rsidRDefault="00BA3830" w:rsidP="002571FF">
            <w:pPr>
              <w:rPr>
                <w:lang w:val="en-US"/>
              </w:rPr>
            </w:pPr>
            <w:r>
              <w:rPr>
                <w:lang w:val="en-US"/>
              </w:rPr>
              <w:t>Male</w:t>
            </w:r>
          </w:p>
        </w:tc>
        <w:tc>
          <w:tcPr>
            <w:tcW w:w="1565" w:type="dxa"/>
            <w:vMerge/>
          </w:tcPr>
          <w:p w14:paraId="0670EE26" w14:textId="2FB9EB23" w:rsidR="00BA3830" w:rsidRDefault="00BA3830" w:rsidP="002571FF">
            <w:pPr>
              <w:rPr>
                <w:lang w:val="en-US"/>
              </w:rPr>
            </w:pPr>
          </w:p>
        </w:tc>
      </w:tr>
      <w:tr w:rsidR="001046FF" w14:paraId="6D6101CE" w14:textId="77777777" w:rsidTr="001046FF">
        <w:tc>
          <w:tcPr>
            <w:tcW w:w="1696" w:type="dxa"/>
          </w:tcPr>
          <w:p w14:paraId="2F72DC71" w14:textId="77777777" w:rsidR="001046FF" w:rsidRDefault="001046FF" w:rsidP="002571FF">
            <w:pPr>
              <w:rPr>
                <w:lang w:val="en-US"/>
              </w:rPr>
            </w:pPr>
          </w:p>
        </w:tc>
        <w:tc>
          <w:tcPr>
            <w:tcW w:w="1560" w:type="dxa"/>
          </w:tcPr>
          <w:p w14:paraId="647FB783" w14:textId="77777777" w:rsidR="001046FF" w:rsidRDefault="001046FF" w:rsidP="002571FF">
            <w:pPr>
              <w:rPr>
                <w:lang w:val="en-US"/>
              </w:rPr>
            </w:pPr>
          </w:p>
        </w:tc>
        <w:tc>
          <w:tcPr>
            <w:tcW w:w="1563" w:type="dxa"/>
          </w:tcPr>
          <w:p w14:paraId="12AFFBFA" w14:textId="77777777" w:rsidR="001046FF" w:rsidRDefault="001046FF" w:rsidP="002571FF">
            <w:pPr>
              <w:rPr>
                <w:lang w:val="en-US"/>
              </w:rPr>
            </w:pPr>
          </w:p>
        </w:tc>
        <w:tc>
          <w:tcPr>
            <w:tcW w:w="1697" w:type="dxa"/>
          </w:tcPr>
          <w:p w14:paraId="04626211" w14:textId="77777777" w:rsidR="001046FF" w:rsidRDefault="001046FF" w:rsidP="002571FF">
            <w:pPr>
              <w:rPr>
                <w:lang w:val="en-US"/>
              </w:rPr>
            </w:pPr>
          </w:p>
        </w:tc>
        <w:tc>
          <w:tcPr>
            <w:tcW w:w="1701" w:type="dxa"/>
          </w:tcPr>
          <w:p w14:paraId="4D58DB26" w14:textId="77777777" w:rsidR="001046FF" w:rsidRDefault="001046FF" w:rsidP="002571FF">
            <w:pPr>
              <w:rPr>
                <w:lang w:val="en-US"/>
              </w:rPr>
            </w:pPr>
          </w:p>
        </w:tc>
        <w:tc>
          <w:tcPr>
            <w:tcW w:w="1565" w:type="dxa"/>
          </w:tcPr>
          <w:p w14:paraId="64DC2AC0" w14:textId="77777777" w:rsidR="001046FF" w:rsidRDefault="001046FF" w:rsidP="002571FF">
            <w:pPr>
              <w:rPr>
                <w:lang w:val="en-US"/>
              </w:rPr>
            </w:pPr>
          </w:p>
        </w:tc>
      </w:tr>
    </w:tbl>
    <w:p w14:paraId="0E461757" w14:textId="77777777" w:rsidR="001046FF" w:rsidRDefault="001046FF" w:rsidP="002571FF">
      <w:pPr>
        <w:rPr>
          <w:lang w:val="en-US"/>
        </w:rPr>
      </w:pPr>
    </w:p>
    <w:p w14:paraId="73120ADB" w14:textId="6A5DC0E4" w:rsidR="00DC3681" w:rsidRPr="0018191A" w:rsidRDefault="00DC3681" w:rsidP="002571FF">
      <w:pPr>
        <w:rPr>
          <w:lang w:val="en-US"/>
        </w:rPr>
      </w:pPr>
      <w:r w:rsidRPr="00DC3681">
        <w:rPr>
          <w:highlight w:val="yellow"/>
          <w:lang w:val="en-US"/>
        </w:rPr>
        <w:t>[description]</w:t>
      </w:r>
    </w:p>
    <w:p w14:paraId="3DA125E4" w14:textId="7278722E" w:rsidR="002571FF" w:rsidRPr="002571FF" w:rsidRDefault="002571FF" w:rsidP="002571FF">
      <w:pPr>
        <w:rPr>
          <w:lang w:val="en-US"/>
        </w:rPr>
      </w:pPr>
      <w:r w:rsidRPr="00695745">
        <w:rPr>
          <w:highlight w:val="yellow"/>
          <w:lang w:val="en-US"/>
        </w:rPr>
        <w:t>[create mean age/sex across groups bar graph]</w:t>
      </w:r>
    </w:p>
    <w:p w14:paraId="24041942" w14:textId="77777777" w:rsidR="002571FF" w:rsidRPr="002571FF" w:rsidRDefault="002571FF" w:rsidP="004A4ACD">
      <w:pPr>
        <w:rPr>
          <w:lang w:val="en-US"/>
        </w:rPr>
      </w:pPr>
    </w:p>
    <w:p w14:paraId="514899C4" w14:textId="4F621293" w:rsidR="004A4ACD" w:rsidRDefault="00A02678" w:rsidP="004A4ACD">
      <w:pPr>
        <w:pStyle w:val="berschrift3"/>
        <w:numPr>
          <w:ilvl w:val="1"/>
          <w:numId w:val="3"/>
        </w:numPr>
        <w:rPr>
          <w:lang w:val="en-US"/>
        </w:rPr>
      </w:pPr>
      <w:bookmarkStart w:id="25" w:name="_Toc108612556"/>
      <w:r w:rsidRPr="00A02678">
        <w:rPr>
          <w:lang w:val="en-US"/>
        </w:rPr>
        <w:t>Voxel-based Lesion-Behaviour M</w:t>
      </w:r>
      <w:r>
        <w:rPr>
          <w:lang w:val="en-US"/>
        </w:rPr>
        <w:t>apping / Lesion Analysis</w:t>
      </w:r>
      <w:bookmarkEnd w:id="25"/>
    </w:p>
    <w:p w14:paraId="006F64F4" w14:textId="597F6D2F" w:rsidR="00EE67DD" w:rsidRDefault="00EE67DD" w:rsidP="00EE67DD">
      <w:pPr>
        <w:pStyle w:val="Listenabsatz"/>
        <w:numPr>
          <w:ilvl w:val="0"/>
          <w:numId w:val="5"/>
        </w:numPr>
        <w:rPr>
          <w:lang w:val="en-US"/>
        </w:rPr>
      </w:pPr>
      <w:r>
        <w:rPr>
          <w:lang w:val="en-US"/>
        </w:rPr>
        <w:t>Overlay plots</w:t>
      </w:r>
    </w:p>
    <w:p w14:paraId="088C8423" w14:textId="5097526F" w:rsidR="00C02C4C" w:rsidRDefault="00A34918" w:rsidP="00C02C4C">
      <w:r>
        <w:rPr>
          <w:lang w:val="en-US"/>
        </w:rPr>
        <w:t xml:space="preserve">We used MRIcron </w:t>
      </w:r>
      <w:r>
        <w:t>(</w:t>
      </w:r>
      <w:hyperlink w:anchor="rordenbrett2000" w:history="1">
        <w:r w:rsidRPr="004331E1">
          <w:rPr>
            <w:rStyle w:val="Hyperlink"/>
            <w:rFonts w:ascii="Ebrima" w:hAnsi="Ebrima"/>
          </w:rPr>
          <w:t>Rorden &amp; Brett, 2000</w:t>
        </w:r>
      </w:hyperlink>
      <w:r>
        <w:t xml:space="preserve">; </w:t>
      </w:r>
      <w:hyperlink r:id="rId13" w:history="1">
        <w:r w:rsidRPr="004331E1">
          <w:rPr>
            <w:rStyle w:val="Hyperlink"/>
            <w:rFonts w:ascii="Ebrima" w:hAnsi="Ebrima"/>
          </w:rPr>
          <w:t>NITRC, 2008</w:t>
        </w:r>
      </w:hyperlink>
      <w:r>
        <w:t>) to create topographies of the normalised acute lesion overlaps for all relevant groups</w:t>
      </w:r>
      <w:r w:rsidR="001A7EFA">
        <w:t xml:space="preserve"> (see </w:t>
      </w:r>
      <w:r w:rsidR="001A7EFA" w:rsidRPr="001A7EFA">
        <w:rPr>
          <w:color w:val="FF0000"/>
        </w:rPr>
        <w:t>figure 1)</w:t>
      </w:r>
      <w:r>
        <w:t>.</w:t>
      </w:r>
      <w:r w:rsidR="001A7EFA">
        <w:t xml:space="preserve"> Only voxels lesioned in at least 5 patients were included in the subsequent analyses.</w:t>
      </w:r>
    </w:p>
    <w:p w14:paraId="58424E1B" w14:textId="41B25CE1" w:rsidR="001A7EFA" w:rsidRPr="00C02C4C" w:rsidRDefault="00BF46F4" w:rsidP="00C02C4C">
      <w:pPr>
        <w:rPr>
          <w:lang w:val="en-US"/>
        </w:rPr>
      </w:pPr>
      <w:r>
        <w:rPr>
          <w:noProof/>
          <w:lang w:val="en-US"/>
        </w:rPr>
        <w:lastRenderedPageBreak/>
        <w:drawing>
          <wp:inline distT="0" distB="0" distL="0" distR="0" wp14:anchorId="72A1F196" wp14:editId="3ADD42EF">
            <wp:extent cx="5746970" cy="4275455"/>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970" cy="4275455"/>
                    </a:xfrm>
                    <a:prstGeom prst="rect">
                      <a:avLst/>
                    </a:prstGeom>
                  </pic:spPr>
                </pic:pic>
              </a:graphicData>
            </a:graphic>
          </wp:inline>
        </w:drawing>
      </w:r>
    </w:p>
    <w:p w14:paraId="17963218" w14:textId="2720A0A0" w:rsidR="00EE67DD" w:rsidRDefault="00EE67DD" w:rsidP="00EE67DD">
      <w:pPr>
        <w:pStyle w:val="Listenabsatz"/>
        <w:numPr>
          <w:ilvl w:val="0"/>
          <w:numId w:val="5"/>
        </w:numPr>
        <w:rPr>
          <w:lang w:val="en-US"/>
        </w:rPr>
      </w:pPr>
      <w:r>
        <w:rPr>
          <w:lang w:val="en-US"/>
        </w:rPr>
        <w:t>Subtraction Plots</w:t>
      </w:r>
    </w:p>
    <w:p w14:paraId="29BED0E6" w14:textId="7401B3B1" w:rsidR="00EE67DD" w:rsidRPr="00EE67DD" w:rsidRDefault="00EE67DD" w:rsidP="00EE67DD">
      <w:pPr>
        <w:pStyle w:val="Listenabsatz"/>
        <w:numPr>
          <w:ilvl w:val="0"/>
          <w:numId w:val="5"/>
        </w:numPr>
        <w:rPr>
          <w:lang w:val="en-US"/>
        </w:rPr>
      </w:pPr>
      <w:r>
        <w:rPr>
          <w:lang w:val="en-US"/>
        </w:rPr>
        <w:t>NiiStat</w:t>
      </w:r>
    </w:p>
    <w:p w14:paraId="3E340ED9" w14:textId="6E2A7724" w:rsidR="00A02678" w:rsidRDefault="00A02678" w:rsidP="00A02678">
      <w:pPr>
        <w:rPr>
          <w:lang w:val="en-US"/>
        </w:rPr>
      </w:pPr>
    </w:p>
    <w:p w14:paraId="4D87C93E" w14:textId="6B038E5C" w:rsidR="00A02678" w:rsidRDefault="00A02678" w:rsidP="00A02678">
      <w:pPr>
        <w:pStyle w:val="berschrift3"/>
        <w:numPr>
          <w:ilvl w:val="1"/>
          <w:numId w:val="3"/>
        </w:numPr>
        <w:rPr>
          <w:lang w:val="de-DE"/>
        </w:rPr>
      </w:pPr>
      <w:bookmarkStart w:id="26" w:name="_Toc108612557"/>
      <w:r>
        <w:rPr>
          <w:lang w:val="de-DE"/>
        </w:rPr>
        <w:t>Whole-brain disconnectivity mapping</w:t>
      </w:r>
      <w:bookmarkEnd w:id="26"/>
    </w:p>
    <w:p w14:paraId="0279404F" w14:textId="77777777" w:rsidR="00EE67DD" w:rsidRPr="00EE67DD" w:rsidRDefault="00EE67DD" w:rsidP="00EE67DD">
      <w:pPr>
        <w:rPr>
          <w:lang w:val="de-DE"/>
        </w:rPr>
      </w:pPr>
    </w:p>
    <w:p w14:paraId="2CDAFF32" w14:textId="687CFAB4" w:rsidR="00A02678" w:rsidRDefault="00A02678" w:rsidP="00A02678">
      <w:pPr>
        <w:rPr>
          <w:lang w:val="de-DE"/>
        </w:rPr>
      </w:pPr>
    </w:p>
    <w:p w14:paraId="10078E31" w14:textId="77777777" w:rsidR="00A02678" w:rsidRPr="00A02678" w:rsidRDefault="00A02678" w:rsidP="00A02678">
      <w:pPr>
        <w:pStyle w:val="Listenabsatz"/>
        <w:numPr>
          <w:ilvl w:val="1"/>
          <w:numId w:val="3"/>
        </w:numPr>
        <w:rPr>
          <w:rFonts w:ascii="Avenir Next LT Pro Light" w:eastAsiaTheme="majorEastAsia" w:hAnsi="Avenir Next LT Pro Light" w:cstheme="majorBidi"/>
          <w:spacing w:val="4"/>
          <w:sz w:val="24"/>
          <w:szCs w:val="24"/>
          <w:lang w:val="de-DE"/>
        </w:rPr>
      </w:pPr>
      <w:r w:rsidRPr="00A02678">
        <w:rPr>
          <w:rFonts w:ascii="Avenir Next LT Pro Light" w:eastAsiaTheme="majorEastAsia" w:hAnsi="Avenir Next LT Pro Light" w:cstheme="majorBidi"/>
          <w:spacing w:val="4"/>
          <w:sz w:val="24"/>
          <w:szCs w:val="24"/>
          <w:lang w:val="de-DE"/>
        </w:rPr>
        <w:t>Region-to-Region disconnectivity</w:t>
      </w:r>
    </w:p>
    <w:p w14:paraId="1DAAA78E" w14:textId="74747039" w:rsidR="00A02678" w:rsidRPr="00A02678" w:rsidRDefault="00A02678" w:rsidP="00A02678">
      <w:pPr>
        <w:pStyle w:val="berschrift3"/>
        <w:ind w:left="360"/>
        <w:rPr>
          <w:lang w:val="de-DE"/>
        </w:rPr>
      </w:pPr>
    </w:p>
    <w:p w14:paraId="6F458994" w14:textId="77777777" w:rsidR="00A02678" w:rsidRPr="00A02678" w:rsidRDefault="00A02678" w:rsidP="00A02678">
      <w:pPr>
        <w:rPr>
          <w:lang w:val="en-US"/>
        </w:rPr>
      </w:pPr>
    </w:p>
    <w:p w14:paraId="439497D6" w14:textId="77777777" w:rsidR="004A4ACD" w:rsidRPr="00A02678" w:rsidRDefault="004A4ACD" w:rsidP="004A4ACD">
      <w:pPr>
        <w:rPr>
          <w:lang w:val="en-US"/>
        </w:rPr>
      </w:pPr>
    </w:p>
    <w:p w14:paraId="11E2CAAD" w14:textId="77777777" w:rsidR="00A40F89" w:rsidRDefault="00A40F89">
      <w:pPr>
        <w:rPr>
          <w:rFonts w:ascii="Avenir Next LT Pro Light" w:eastAsiaTheme="majorEastAsia" w:hAnsi="Avenir Next LT Pro Light" w:cstheme="majorBidi"/>
          <w:sz w:val="28"/>
          <w:szCs w:val="28"/>
        </w:rPr>
      </w:pPr>
      <w:r>
        <w:rPr>
          <w:b/>
          <w:bCs/>
        </w:rPr>
        <w:br w:type="page"/>
      </w:r>
    </w:p>
    <w:p w14:paraId="47AF80F2" w14:textId="14AED309" w:rsidR="000E5F13" w:rsidRPr="00EA784A" w:rsidRDefault="000E5F13" w:rsidP="00EA784A">
      <w:pPr>
        <w:pStyle w:val="berschrift2"/>
        <w:numPr>
          <w:ilvl w:val="0"/>
          <w:numId w:val="3"/>
        </w:numPr>
        <w:rPr>
          <w:b w:val="0"/>
          <w:bCs w:val="0"/>
        </w:rPr>
      </w:pPr>
      <w:bookmarkStart w:id="27" w:name="_Toc108612558"/>
      <w:r w:rsidRPr="00EA784A">
        <w:rPr>
          <w:b w:val="0"/>
          <w:bCs w:val="0"/>
        </w:rPr>
        <w:lastRenderedPageBreak/>
        <w:t>Discussion</w:t>
      </w:r>
      <w:bookmarkEnd w:id="27"/>
    </w:p>
    <w:p w14:paraId="3B62BEBE" w14:textId="77777777" w:rsidR="001075F2" w:rsidRPr="001075F2" w:rsidRDefault="001075F2" w:rsidP="001075F2">
      <w:pPr>
        <w:pStyle w:val="Listenabsatz"/>
        <w:numPr>
          <w:ilvl w:val="0"/>
          <w:numId w:val="5"/>
        </w:numPr>
        <w:rPr>
          <w:rFonts w:ascii="Avenir Next LT Pro Light" w:eastAsiaTheme="majorEastAsia" w:hAnsi="Avenir Next LT Pro Light" w:cstheme="majorBidi"/>
          <w:sz w:val="28"/>
          <w:szCs w:val="28"/>
        </w:rPr>
      </w:pPr>
      <w:r>
        <w:rPr>
          <w:b/>
          <w:bCs/>
          <w:lang w:val="de-DE"/>
        </w:rPr>
        <w:t>Limitations</w:t>
      </w:r>
    </w:p>
    <w:p w14:paraId="16E72A79" w14:textId="77777777" w:rsidR="001075F2" w:rsidRPr="001075F2" w:rsidRDefault="001075F2" w:rsidP="001075F2">
      <w:pPr>
        <w:pStyle w:val="Listenabsatz"/>
        <w:numPr>
          <w:ilvl w:val="1"/>
          <w:numId w:val="5"/>
        </w:numPr>
        <w:rPr>
          <w:rFonts w:ascii="Avenir Next LT Pro Light" w:eastAsiaTheme="majorEastAsia" w:hAnsi="Avenir Next LT Pro Light" w:cstheme="majorBidi"/>
          <w:sz w:val="28"/>
          <w:szCs w:val="28"/>
        </w:rPr>
      </w:pPr>
      <w:r w:rsidRPr="001075F2">
        <w:rPr>
          <w:bCs/>
          <w:lang w:val="en-US"/>
        </w:rPr>
        <w:t xml:space="preserve">Would </w:t>
      </w:r>
      <w:r>
        <w:rPr>
          <w:bCs/>
          <w:lang w:val="en-US"/>
        </w:rPr>
        <w:t>require sex-specific atlases (</w:t>
      </w:r>
      <w:r w:rsidRPr="001075F2">
        <w:rPr>
          <w:bCs/>
          <w:lang w:val="en-US"/>
        </w:rPr>
        <w:t xml:space="preserve">maybe even </w:t>
      </w:r>
      <w:r>
        <w:rPr>
          <w:bCs/>
          <w:lang w:val="en-US"/>
        </w:rPr>
        <w:t>normalization templates?) that don’t exist yet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EA784A">
      <w:pPr>
        <w:pStyle w:val="berschrift2"/>
        <w:numPr>
          <w:ilvl w:val="0"/>
          <w:numId w:val="3"/>
        </w:numPr>
        <w:rPr>
          <w:b w:val="0"/>
          <w:bCs w:val="0"/>
        </w:rPr>
      </w:pPr>
      <w:bookmarkStart w:id="28" w:name="_Toc108612559"/>
      <w:r w:rsidRPr="00EA784A">
        <w:rPr>
          <w:b w:val="0"/>
          <w:bCs w:val="0"/>
        </w:rPr>
        <w:lastRenderedPageBreak/>
        <w:t>Conclusion</w:t>
      </w:r>
      <w:bookmarkEnd w:id="28"/>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29" w:name="_Toc108612560"/>
      <w:r w:rsidRPr="0089785B">
        <w:rPr>
          <w:b w:val="0"/>
          <w:bCs w:val="0"/>
        </w:rPr>
        <w:lastRenderedPageBreak/>
        <w:t>References</w:t>
      </w:r>
      <w:bookmarkEnd w:id="29"/>
    </w:p>
    <w:p w14:paraId="7D38421F" w14:textId="42259286" w:rsidR="00F81109" w:rsidRPr="001075F2" w:rsidRDefault="00F81109" w:rsidP="00F81109">
      <w:pPr>
        <w:rPr>
          <w:lang w:val="en-US"/>
        </w:rPr>
      </w:pPr>
    </w:p>
    <w:p w14:paraId="3672E3B1" w14:textId="5820AB08" w:rsidR="00A32570" w:rsidRPr="00A32570" w:rsidRDefault="00A32570" w:rsidP="00F81109">
      <w:pPr>
        <w:rPr>
          <w:lang w:val="en-US"/>
        </w:rPr>
      </w:pPr>
      <w:r w:rsidRPr="00A32570">
        <w:rPr>
          <w:highlight w:val="yellow"/>
          <w:lang w:val="en-US"/>
        </w:rPr>
        <w:t>[delete this later]</w:t>
      </w:r>
    </w:p>
    <w:p w14:paraId="2558FC16" w14:textId="4B388270" w:rsidR="00F81109" w:rsidRPr="00A32570" w:rsidRDefault="00F81109" w:rsidP="00F81109">
      <w:pPr>
        <w:rPr>
          <w:color w:val="2683C6" w:themeColor="accent2"/>
          <w:lang w:val="en-US"/>
        </w:rPr>
      </w:pPr>
      <w:r w:rsidRPr="00A32570">
        <w:rPr>
          <w:b/>
          <w:bCs/>
          <w:color w:val="2683C6" w:themeColor="accent2"/>
          <w:lang w:val="en-US"/>
        </w:rPr>
        <w:t>MRIcron</w:t>
      </w:r>
      <w:r w:rsidRPr="00A32570">
        <w:rPr>
          <w:color w:val="2683C6" w:themeColor="accent2"/>
          <w:lang w:val="en-US"/>
        </w:rPr>
        <w:t xml:space="preserve"> -&gt; </w:t>
      </w:r>
      <w:r w:rsidR="00A32570" w:rsidRPr="00A32570">
        <w:rPr>
          <w:color w:val="2683C6" w:themeColor="accent2"/>
          <w:lang w:val="en-US"/>
        </w:rPr>
        <w:t>Rorden &amp; Brett, 2000</w:t>
      </w:r>
      <w:r w:rsidRPr="00A32570">
        <w:rPr>
          <w:color w:val="2683C6" w:themeColor="accent2"/>
          <w:lang w:val="en-US"/>
        </w:rPr>
        <w:t xml:space="preserve"> </w:t>
      </w:r>
    </w:p>
    <w:p w14:paraId="585F00CC" w14:textId="349A6124" w:rsidR="0089785B" w:rsidRPr="00A32570" w:rsidRDefault="00F81109" w:rsidP="0089785B">
      <w:pPr>
        <w:rPr>
          <w:color w:val="2683C6" w:themeColor="accent2"/>
          <w:lang w:val="en-US"/>
        </w:rPr>
      </w:pPr>
      <w:r w:rsidRPr="00A32570">
        <w:rPr>
          <w:b/>
          <w:bCs/>
          <w:color w:val="2683C6" w:themeColor="accent2"/>
          <w:lang w:val="en-US"/>
        </w:rPr>
        <w:t>Clusterize</w:t>
      </w:r>
      <w:r w:rsidRPr="00A32570">
        <w:rPr>
          <w:color w:val="2683C6" w:themeColor="accent2"/>
          <w:lang w:val="en-US"/>
        </w:rPr>
        <w:t xml:space="preserve"> -&gt; </w:t>
      </w:r>
      <w:r w:rsidR="00A32570" w:rsidRPr="00A32570">
        <w:rPr>
          <w:color w:val="2683C6" w:themeColor="accent2"/>
          <w:lang w:val="en-US"/>
        </w:rPr>
        <w:t xml:space="preserve">de Haan et al., 2015 </w:t>
      </w:r>
    </w:p>
    <w:p w14:paraId="397D68F0" w14:textId="737A6866" w:rsidR="00F81109" w:rsidRPr="00A32570" w:rsidRDefault="00F81109" w:rsidP="0089785B">
      <w:pPr>
        <w:rPr>
          <w:color w:val="2683C6" w:themeColor="accent2"/>
          <w:lang w:val="en-US"/>
        </w:rPr>
      </w:pPr>
      <w:r w:rsidRPr="001075F2">
        <w:rPr>
          <w:b/>
          <w:bCs/>
          <w:color w:val="2683C6" w:themeColor="accent2"/>
          <w:lang w:val="en-US"/>
        </w:rPr>
        <w:t>Clinical</w:t>
      </w:r>
      <w:r w:rsidRPr="001075F2">
        <w:rPr>
          <w:color w:val="2683C6" w:themeColor="accent2"/>
          <w:lang w:val="en-US"/>
        </w:rPr>
        <w:t xml:space="preserve"> -&gt;</w:t>
      </w:r>
      <w:r w:rsidR="00A32570" w:rsidRPr="001075F2">
        <w:rPr>
          <w:color w:val="2683C6" w:themeColor="accent2"/>
          <w:lang w:val="en-US"/>
        </w:rPr>
        <w:t xml:space="preserve"> </w:t>
      </w:r>
      <w:r w:rsidR="00A32570" w:rsidRPr="00A32570">
        <w:rPr>
          <w:color w:val="2683C6" w:themeColor="accent2"/>
          <w:lang w:val="de-DE"/>
        </w:rPr>
        <w:t>Rorden et al., 2012</w:t>
      </w:r>
    </w:p>
    <w:p w14:paraId="34973CF0" w14:textId="2909978F" w:rsidR="00F81109" w:rsidRDefault="00F81109" w:rsidP="0089785B">
      <w:pPr>
        <w:pBdr>
          <w:bottom w:val="single" w:sz="12" w:space="1" w:color="auto"/>
        </w:pBdr>
      </w:pPr>
    </w:p>
    <w:p w14:paraId="7E5F3F3A" w14:textId="77777777" w:rsidR="00F81109" w:rsidRPr="00F81109" w:rsidRDefault="00F81109" w:rsidP="0089785B">
      <w:pPr>
        <w:rPr>
          <w:lang w:val="en-US"/>
        </w:rPr>
      </w:pPr>
    </w:p>
    <w:p w14:paraId="0EAE9198" w14:textId="565DD6F3" w:rsidR="00C0607F" w:rsidRDefault="00C0607F"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30" w:name="beckerkarnath2010"/>
      <w:bookmarkStart w:id="31" w:name="beschin1997"/>
      <w:bookmarkStart w:id="32" w:name="dehaan2015"/>
      <w:bookmarkStart w:id="33" w:name="gauthier1989"/>
      <w:r w:rsidRPr="00C0607F">
        <w:rPr>
          <w:rFonts w:ascii="Ebrima" w:hAnsi="Ebrima" w:cs="Arial"/>
          <w:sz w:val="22"/>
          <w:szCs w:val="22"/>
          <w:lang w:val="de-DE"/>
        </w:rPr>
        <w:t xml:space="preserve">Becker, E., &amp; Karnath, H. O. (2010). </w:t>
      </w:r>
      <w:r w:rsidRPr="00C0607F">
        <w:rPr>
          <w:rFonts w:ascii="Ebrima" w:hAnsi="Ebrima" w:cs="Arial"/>
          <w:sz w:val="22"/>
          <w:szCs w:val="22"/>
          <w:lang w:val="en-US"/>
        </w:rPr>
        <w:t xml:space="preserve">Neuroimaging of eye position reveals spatial neglect. Brain, 133(3), 909–914. </w:t>
      </w:r>
      <w:hyperlink r:id="rId15" w:history="1">
        <w:r w:rsidRPr="006401FB">
          <w:rPr>
            <w:rStyle w:val="Hyperlink"/>
            <w:rFonts w:ascii="Ebrima" w:hAnsi="Ebrima" w:cs="Arial"/>
            <w:sz w:val="22"/>
            <w:szCs w:val="22"/>
            <w:lang w:val="en-US"/>
          </w:rPr>
          <w:t>https://doi.org/10.1093/brain/awq011</w:t>
        </w:r>
      </w:hyperlink>
      <w:r>
        <w:rPr>
          <w:rFonts w:ascii="Ebrima" w:hAnsi="Ebrima" w:cs="Arial"/>
          <w:sz w:val="22"/>
          <w:szCs w:val="22"/>
          <w:lang w:val="en-US"/>
        </w:rPr>
        <w:t xml:space="preserve"> </w:t>
      </w:r>
    </w:p>
    <w:bookmarkEnd w:id="30"/>
    <w:p w14:paraId="0435A065" w14:textId="0A62E317" w:rsidR="009F4AD7" w:rsidRDefault="009F4AD7" w:rsidP="00232F09">
      <w:pPr>
        <w:pStyle w:val="StandardWeb"/>
        <w:spacing w:before="0" w:beforeAutospacing="0" w:after="120" w:afterAutospacing="0" w:line="276" w:lineRule="auto"/>
        <w:ind w:left="720" w:hanging="720"/>
        <w:jc w:val="both"/>
        <w:rPr>
          <w:rFonts w:ascii="Ebrima" w:hAnsi="Ebrima" w:cs="Arial"/>
          <w:sz w:val="22"/>
          <w:szCs w:val="22"/>
          <w:lang w:val="en-US"/>
        </w:rPr>
      </w:pPr>
      <w:r w:rsidRPr="009F4AD7">
        <w:rPr>
          <w:rFonts w:ascii="Ebrima" w:hAnsi="Ebrima" w:cs="Arial"/>
          <w:sz w:val="22"/>
          <w:szCs w:val="22"/>
          <w:lang w:val="en-US"/>
        </w:rPr>
        <w:t xml:space="preserve">Beschin, N., Cocchini, G., della Sala, S., &amp; Logie, R. H. (1997). What the Eyes Perceive, The Brain Ignores: A Case of Pure Unilateral Representational Neglect. Cortex, 33(1), 3–26. </w:t>
      </w:r>
      <w:hyperlink r:id="rId16" w:history="1">
        <w:r w:rsidRPr="00A708D4">
          <w:rPr>
            <w:rStyle w:val="Hyperlink"/>
            <w:rFonts w:ascii="Ebrima" w:hAnsi="Ebrima" w:cs="Arial"/>
            <w:sz w:val="22"/>
            <w:szCs w:val="22"/>
            <w:lang w:val="en-US"/>
          </w:rPr>
          <w:t>https://doi.org/10.1016/s0010-9452(97)80002-0</w:t>
        </w:r>
      </w:hyperlink>
      <w:r>
        <w:rPr>
          <w:rFonts w:ascii="Ebrima" w:hAnsi="Ebrima" w:cs="Arial"/>
          <w:sz w:val="22"/>
          <w:szCs w:val="22"/>
          <w:lang w:val="en-US"/>
        </w:rPr>
        <w:t xml:space="preserve"> </w:t>
      </w:r>
    </w:p>
    <w:p w14:paraId="017730F2" w14:textId="464D487B" w:rsidR="009F4AD7" w:rsidRDefault="009F4AD7"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34" w:name="bisiachluzzatti1978"/>
      <w:r w:rsidRPr="009F4AD7">
        <w:rPr>
          <w:rFonts w:ascii="Ebrima" w:hAnsi="Ebrima" w:cs="Arial"/>
          <w:sz w:val="22"/>
          <w:szCs w:val="22"/>
          <w:lang w:val="en-US"/>
        </w:rPr>
        <w:t xml:space="preserve">Bisiach, E., &amp; Luzzatti, C. (1978). Unilateral Neglect of Representational Space. Cortex, 14(1), 129–133. </w:t>
      </w:r>
      <w:hyperlink r:id="rId17" w:history="1">
        <w:r w:rsidRPr="00A708D4">
          <w:rPr>
            <w:rStyle w:val="Hyperlink"/>
            <w:rFonts w:ascii="Ebrima" w:hAnsi="Ebrima" w:cs="Arial"/>
            <w:sz w:val="22"/>
            <w:szCs w:val="22"/>
            <w:lang w:val="en-US"/>
          </w:rPr>
          <w:t>https://doi.org/10.1016/s0010-9452(78)80016-1</w:t>
        </w:r>
      </w:hyperlink>
      <w:r>
        <w:rPr>
          <w:rFonts w:ascii="Ebrima" w:hAnsi="Ebrima" w:cs="Arial"/>
          <w:sz w:val="22"/>
          <w:szCs w:val="22"/>
          <w:lang w:val="en-US"/>
        </w:rPr>
        <w:t xml:space="preserve"> </w:t>
      </w:r>
    </w:p>
    <w:p w14:paraId="73EFF415" w14:textId="7A15E079" w:rsidR="00D23577" w:rsidRDefault="00A579A3" w:rsidP="00D23577">
      <w:pPr>
        <w:pStyle w:val="StandardWeb"/>
        <w:spacing w:before="0" w:beforeAutospacing="0" w:after="120" w:afterAutospacing="0" w:line="276" w:lineRule="auto"/>
        <w:ind w:left="720" w:hanging="720"/>
        <w:jc w:val="both"/>
        <w:rPr>
          <w:rFonts w:ascii="Ebrima" w:hAnsi="Ebrima" w:cs="Arial"/>
          <w:sz w:val="22"/>
          <w:szCs w:val="22"/>
          <w:lang w:val="en-US"/>
        </w:rPr>
      </w:pPr>
      <w:bookmarkStart w:id="35" w:name="bonkhoff2021"/>
      <w:r w:rsidRPr="00A579A3">
        <w:rPr>
          <w:rFonts w:ascii="Ebrima" w:hAnsi="Ebrima" w:cs="Arial"/>
          <w:sz w:val="22"/>
          <w:szCs w:val="22"/>
          <w:lang w:val="en-US"/>
        </w:rPr>
        <w:t xml:space="preserve">Bonkhoff, A. K., Schirmer, M. D., Bretzner, M., Hong, S., Regenhardt, R. W., Brudfors, M., Donahue, K. L., Nardin, M. J., Dalca, A. V., Giese, A. K., Etherton, M. R., Hancock, B. L., Mocking, S. J. T., McIntosh, E. C., Attia, J., Benavente, O. R., Bevan, S., Cole, J. W., Donatti, A., . . . Rost, N. S. (2021). Outcome after acute ischemic stroke is linked to sex-specific lesion patterns. Nature Communications, 12(1). </w:t>
      </w:r>
      <w:hyperlink r:id="rId18" w:history="1">
        <w:r w:rsidRPr="0033763D">
          <w:rPr>
            <w:rStyle w:val="Hyperlink"/>
            <w:rFonts w:ascii="Ebrima" w:hAnsi="Ebrima" w:cs="Arial"/>
            <w:sz w:val="22"/>
            <w:szCs w:val="22"/>
            <w:lang w:val="en-US"/>
          </w:rPr>
          <w:t>https://doi.org/10.1038/s41467-021-23492-3</w:t>
        </w:r>
      </w:hyperlink>
      <w:r>
        <w:rPr>
          <w:rFonts w:ascii="Ebrima" w:hAnsi="Ebrima" w:cs="Arial"/>
          <w:sz w:val="22"/>
          <w:szCs w:val="22"/>
          <w:lang w:val="en-US"/>
        </w:rPr>
        <w:t xml:space="preserve"> </w:t>
      </w:r>
    </w:p>
    <w:p w14:paraId="7CD69C42" w14:textId="5944EF97" w:rsidR="00832BF8" w:rsidRDefault="00832BF8" w:rsidP="00832BF8">
      <w:pPr>
        <w:pStyle w:val="StandardWeb"/>
        <w:spacing w:before="0" w:beforeAutospacing="0" w:after="120" w:afterAutospacing="0" w:line="276" w:lineRule="auto"/>
        <w:ind w:left="720" w:hanging="720"/>
        <w:rPr>
          <w:rFonts w:ascii="Ebrima" w:hAnsi="Ebrima" w:cs="Arial"/>
          <w:sz w:val="22"/>
          <w:szCs w:val="22"/>
          <w:lang w:val="en-US"/>
        </w:rPr>
      </w:pPr>
      <w:bookmarkStart w:id="36" w:name="bowen1999"/>
      <w:r w:rsidRPr="00832BF8">
        <w:rPr>
          <w:rFonts w:ascii="Ebrima" w:hAnsi="Ebrima" w:cs="Arial"/>
          <w:sz w:val="22"/>
          <w:szCs w:val="22"/>
          <w:lang w:val="en-US"/>
        </w:rPr>
        <w:t xml:space="preserve">Bowen, A., McKenna, K., &amp; Tallis, R. C. (1999). Reasons for Variability in the Reported Rate of Occurrence of Unilateral Spatial Neglect After Stroke. Stroke, 30(6), 1196–1202. </w:t>
      </w:r>
      <w:hyperlink r:id="rId19" w:history="1">
        <w:r w:rsidRPr="006401FB">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44A84A19" w14:textId="0CF83840" w:rsidR="00D23577" w:rsidRDefault="00D23577" w:rsidP="00D23577">
      <w:pPr>
        <w:pStyle w:val="StandardWeb"/>
        <w:spacing w:before="0" w:beforeAutospacing="0" w:after="120" w:afterAutospacing="0" w:line="276" w:lineRule="auto"/>
        <w:ind w:left="720" w:hanging="720"/>
        <w:jc w:val="both"/>
        <w:rPr>
          <w:rFonts w:ascii="Ebrima" w:hAnsi="Ebrima" w:cs="Arial"/>
          <w:sz w:val="22"/>
          <w:szCs w:val="22"/>
          <w:lang w:val="en-US"/>
        </w:rPr>
      </w:pPr>
      <w:bookmarkStart w:id="37" w:name="bushnell2018"/>
      <w:r w:rsidRPr="00D23577">
        <w:rPr>
          <w:rFonts w:ascii="Ebrima" w:hAnsi="Ebrima" w:cs="Arial"/>
          <w:sz w:val="22"/>
          <w:szCs w:val="22"/>
          <w:lang w:val="en-US"/>
        </w:rPr>
        <w:t xml:space="preserve">Bushnell, C. D., Chaturvedi, S., Gage, K. R., Herson, P. S., Hurn, P. D., Jiménez, M. C., Kittner, S. J., Madsen, T. E., McCullough, L. D., McDermott, M., Reeves, M. J. &amp; Rundek, T. (2018). Sex differences in stroke: Challenges and opportunities. Journal of Cerebral Blood Flow &amp; Metabolism, 38(12), 2179–2191. </w:t>
      </w:r>
      <w:hyperlink r:id="rId20" w:history="1">
        <w:r w:rsidRPr="00CA4045">
          <w:rPr>
            <w:rStyle w:val="Hyperlink"/>
            <w:rFonts w:ascii="Ebrima" w:hAnsi="Ebrima" w:cs="Arial"/>
            <w:sz w:val="22"/>
            <w:szCs w:val="22"/>
            <w:lang w:val="en-US"/>
          </w:rPr>
          <w:t>https://doi.org/10.1177/0271678x18793324</w:t>
        </w:r>
      </w:hyperlink>
      <w:r>
        <w:rPr>
          <w:rFonts w:ascii="Ebrima" w:hAnsi="Ebrima" w:cs="Arial"/>
          <w:sz w:val="22"/>
          <w:szCs w:val="22"/>
          <w:lang w:val="en-US"/>
        </w:rPr>
        <w:t xml:space="preserve"> </w:t>
      </w:r>
    </w:p>
    <w:p w14:paraId="270DFC1A" w14:textId="6227F0AF" w:rsidR="00576C77" w:rsidRDefault="00576C77"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38" w:name="buxbaum2004"/>
      <w:bookmarkEnd w:id="36"/>
      <w:bookmarkEnd w:id="37"/>
      <w:r w:rsidRPr="00576C77">
        <w:rPr>
          <w:rFonts w:ascii="Ebrima" w:hAnsi="Ebrima" w:cs="Arial"/>
          <w:sz w:val="22"/>
          <w:szCs w:val="22"/>
          <w:lang w:val="en-US"/>
        </w:rPr>
        <w:t xml:space="preserve">Buxbaum, L., Ferraro, M., Veramonti, T., Farne, A., Whyte, J., Ladavas, E., Frassinetti, F., &amp; Coslett, H. (2004). Hemispatial neglect: Subtypes, neuroanatomy, and disability. Neurology, 62(5), 749–756. </w:t>
      </w:r>
      <w:hyperlink r:id="rId21" w:history="1">
        <w:r w:rsidRPr="006401FB">
          <w:rPr>
            <w:rStyle w:val="Hyperlink"/>
            <w:rFonts w:ascii="Ebrima" w:hAnsi="Ebrima" w:cs="Arial"/>
            <w:sz w:val="22"/>
            <w:szCs w:val="22"/>
            <w:lang w:val="en-US"/>
          </w:rPr>
          <w:t>https://doi.org/10.1212/01.wnl.0000113730.73031.f4</w:t>
        </w:r>
      </w:hyperlink>
      <w:r>
        <w:rPr>
          <w:rFonts w:ascii="Ebrima" w:hAnsi="Ebrima" w:cs="Arial"/>
          <w:sz w:val="22"/>
          <w:szCs w:val="22"/>
          <w:lang w:val="en-US"/>
        </w:rPr>
        <w:t xml:space="preserve"> </w:t>
      </w:r>
    </w:p>
    <w:p w14:paraId="314963B5" w14:textId="0CBF4D91" w:rsidR="00832BF8" w:rsidRDefault="00832BF8"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39" w:name="corbetta"/>
      <w:r w:rsidRPr="00832BF8">
        <w:rPr>
          <w:rFonts w:ascii="Ebrima" w:hAnsi="Ebrima" w:cs="Arial"/>
          <w:sz w:val="22"/>
          <w:szCs w:val="22"/>
          <w:lang w:val="en-US"/>
        </w:rPr>
        <w:t xml:space="preserve">Corbetta, M. (2014). Hemispatial Neglect: Clinic, Pathogenesis, and Treatment. Seminars in Neurology, 34(05), 514–523. </w:t>
      </w:r>
      <w:hyperlink r:id="rId22" w:history="1">
        <w:r w:rsidRPr="006401FB">
          <w:rPr>
            <w:rStyle w:val="Hyperlink"/>
            <w:rFonts w:ascii="Ebrima" w:hAnsi="Ebrima" w:cs="Arial"/>
            <w:sz w:val="22"/>
            <w:szCs w:val="22"/>
            <w:lang w:val="en-US"/>
          </w:rPr>
          <w:t>https://doi.org/10.1055/s-0034-1396005</w:t>
        </w:r>
      </w:hyperlink>
      <w:r>
        <w:rPr>
          <w:rFonts w:ascii="Ebrima" w:hAnsi="Ebrima" w:cs="Arial"/>
          <w:sz w:val="22"/>
          <w:szCs w:val="22"/>
          <w:lang w:val="en-US"/>
        </w:rPr>
        <w:t xml:space="preserve"> </w:t>
      </w:r>
    </w:p>
    <w:bookmarkEnd w:id="31"/>
    <w:bookmarkEnd w:id="34"/>
    <w:bookmarkEnd w:id="35"/>
    <w:bookmarkEnd w:id="38"/>
    <w:bookmarkEnd w:id="39"/>
    <w:p w14:paraId="60223057" w14:textId="3229AF44" w:rsidR="00610D0A" w:rsidRPr="00DC3681" w:rsidRDefault="00610D0A" w:rsidP="00232F09">
      <w:pPr>
        <w:pStyle w:val="StandardWeb"/>
        <w:spacing w:before="0" w:beforeAutospacing="0" w:after="120" w:afterAutospacing="0" w:line="276" w:lineRule="auto"/>
        <w:ind w:left="720" w:hanging="720"/>
        <w:jc w:val="both"/>
        <w:rPr>
          <w:rFonts w:ascii="Ebrima" w:hAnsi="Ebrima" w:cs="Arial"/>
          <w:sz w:val="22"/>
          <w:szCs w:val="22"/>
          <w:lang w:val="en-US"/>
        </w:rPr>
      </w:pPr>
      <w:r w:rsidRPr="00610D0A">
        <w:rPr>
          <w:rFonts w:ascii="Ebrima" w:hAnsi="Ebrima" w:cs="Arial"/>
          <w:sz w:val="22"/>
          <w:szCs w:val="22"/>
          <w:lang w:val="en-US"/>
        </w:rPr>
        <w:t xml:space="preserve">de Haan, B., Clas, P., Juenger, H., Wilke, M., &amp; Karnath, H. O. (2015). Fast semi-automated lesion demarcation in stroke. </w:t>
      </w:r>
      <w:r w:rsidRPr="00DC3681">
        <w:rPr>
          <w:rFonts w:ascii="Ebrima" w:hAnsi="Ebrima" w:cs="Arial"/>
          <w:sz w:val="22"/>
          <w:szCs w:val="22"/>
          <w:lang w:val="en-US"/>
        </w:rPr>
        <w:t xml:space="preserve">NeuroImage: Clinical, 9, 69–74. </w:t>
      </w:r>
      <w:hyperlink r:id="rId23" w:history="1">
        <w:r w:rsidRPr="00DC3681">
          <w:rPr>
            <w:rStyle w:val="Hyperlink"/>
            <w:rFonts w:ascii="Ebrima" w:hAnsi="Ebrima" w:cs="Arial"/>
            <w:sz w:val="22"/>
            <w:szCs w:val="22"/>
            <w:lang w:val="en-US"/>
          </w:rPr>
          <w:t>https://doi.org/10.1016/j.nicl.2015.06.013</w:t>
        </w:r>
      </w:hyperlink>
      <w:r w:rsidRPr="00DC3681">
        <w:rPr>
          <w:rFonts w:ascii="Ebrima" w:hAnsi="Ebrima" w:cs="Arial"/>
          <w:sz w:val="22"/>
          <w:szCs w:val="22"/>
          <w:lang w:val="en-US"/>
        </w:rPr>
        <w:t xml:space="preserve"> </w:t>
      </w:r>
    </w:p>
    <w:p w14:paraId="0402330F" w14:textId="32E2CA8F" w:rsidR="00610D0A" w:rsidRPr="0028026F" w:rsidRDefault="00610D0A"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40" w:name="dehaankarnath2018"/>
      <w:bookmarkEnd w:id="32"/>
      <w:r w:rsidRPr="000E6E5F">
        <w:rPr>
          <w:rFonts w:ascii="Ebrima" w:hAnsi="Ebrima" w:cs="Arial"/>
          <w:sz w:val="22"/>
          <w:szCs w:val="22"/>
          <w:lang w:val="de-DE"/>
        </w:rPr>
        <w:lastRenderedPageBreak/>
        <w:t xml:space="preserve">de Haan, B., &amp; Karnath, H. O. (2018). </w:t>
      </w:r>
      <w:r w:rsidRPr="00610D0A">
        <w:rPr>
          <w:rFonts w:ascii="Ebrima" w:hAnsi="Ebrima" w:cs="Arial"/>
          <w:sz w:val="22"/>
          <w:szCs w:val="22"/>
          <w:lang w:val="en-US"/>
        </w:rPr>
        <w:t xml:space="preserve">A hitchhiker’s guide to lesion-behaviour mapping. </w:t>
      </w:r>
      <w:r w:rsidRPr="0028026F">
        <w:rPr>
          <w:rFonts w:ascii="Ebrima" w:hAnsi="Ebrima" w:cs="Arial"/>
          <w:sz w:val="22"/>
          <w:szCs w:val="22"/>
          <w:lang w:val="en-US"/>
        </w:rPr>
        <w:t xml:space="preserve">Neuropsychologia, 115, 5–16. </w:t>
      </w:r>
      <w:hyperlink r:id="rId24" w:history="1">
        <w:r w:rsidRPr="0028026F">
          <w:rPr>
            <w:rStyle w:val="Hyperlink"/>
            <w:rFonts w:ascii="Ebrima" w:hAnsi="Ebrima" w:cs="Arial"/>
            <w:sz w:val="22"/>
            <w:szCs w:val="22"/>
            <w:lang w:val="en-US"/>
          </w:rPr>
          <w:t>https://doi.org/10.1016/j.neuropsychologia.2017.10.021</w:t>
        </w:r>
      </w:hyperlink>
      <w:r w:rsidRPr="0028026F">
        <w:rPr>
          <w:rFonts w:ascii="Ebrima" w:hAnsi="Ebrima" w:cs="Arial"/>
          <w:sz w:val="22"/>
          <w:szCs w:val="22"/>
          <w:lang w:val="en-US"/>
        </w:rPr>
        <w:t xml:space="preserve"> </w:t>
      </w:r>
    </w:p>
    <w:p w14:paraId="41819C4D" w14:textId="50D06443" w:rsidR="00A579A3" w:rsidRPr="0028026F" w:rsidRDefault="00A579A3"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41" w:name="feigin2014"/>
      <w:r w:rsidRPr="0028026F">
        <w:rPr>
          <w:rFonts w:ascii="Ebrima" w:hAnsi="Ebrima" w:cs="Arial"/>
          <w:sz w:val="22"/>
          <w:szCs w:val="22"/>
          <w:lang w:val="en-US"/>
        </w:rPr>
        <w:t xml:space="preserve">Feigin, V. L., Forouzanfar, M. H., Krishnamurthi, R., Mensah, G. A., Connor, M., Bennett, D. A., Moran, A. E., Sacco, R. L., Anderson, L., Truelsen, T., O’Donnell, M., Venketasubramanian, N., Barker-Collo, S., Lawes, C. M. M., Wang, W., Shinohara, Y., Witt, E., Ezzati, M., Naghavi, M., &amp; Murray, C. (2014). </w:t>
      </w:r>
      <w:r w:rsidRPr="00A579A3">
        <w:rPr>
          <w:rFonts w:ascii="Ebrima" w:hAnsi="Ebrima" w:cs="Arial"/>
          <w:sz w:val="22"/>
          <w:szCs w:val="22"/>
          <w:lang w:val="en-US"/>
        </w:rPr>
        <w:t xml:space="preserve">Global and regional burden of stroke during 1990–2010: findings from the Global Burden of Disease Study 2010. </w:t>
      </w:r>
      <w:r w:rsidRPr="0028026F">
        <w:rPr>
          <w:rFonts w:ascii="Ebrima" w:hAnsi="Ebrima" w:cs="Arial"/>
          <w:sz w:val="22"/>
          <w:szCs w:val="22"/>
          <w:lang w:val="en-US"/>
        </w:rPr>
        <w:t xml:space="preserve">The Lancet, 383(9913), 245–255. </w:t>
      </w:r>
      <w:hyperlink r:id="rId25" w:history="1">
        <w:r w:rsidRPr="0028026F">
          <w:rPr>
            <w:rStyle w:val="Hyperlink"/>
            <w:rFonts w:ascii="Ebrima" w:hAnsi="Ebrima" w:cs="Arial"/>
            <w:sz w:val="22"/>
            <w:szCs w:val="22"/>
            <w:lang w:val="en-US"/>
          </w:rPr>
          <w:t>https://doi.org/10.1016/s0140-6736(13)61953-4</w:t>
        </w:r>
      </w:hyperlink>
      <w:r w:rsidRPr="0028026F">
        <w:rPr>
          <w:rFonts w:ascii="Ebrima" w:hAnsi="Ebrima" w:cs="Arial"/>
          <w:sz w:val="22"/>
          <w:szCs w:val="22"/>
          <w:lang w:val="en-US"/>
        </w:rPr>
        <w:t xml:space="preserve"> </w:t>
      </w:r>
    </w:p>
    <w:bookmarkEnd w:id="40"/>
    <w:bookmarkEnd w:id="41"/>
    <w:p w14:paraId="13EA937F" w14:textId="676E24DE" w:rsidR="0089785B" w:rsidRDefault="0089785B" w:rsidP="00232F09">
      <w:pPr>
        <w:pStyle w:val="StandardWeb"/>
        <w:spacing w:before="0" w:beforeAutospacing="0" w:after="120" w:afterAutospacing="0" w:line="276" w:lineRule="auto"/>
        <w:ind w:left="720" w:hanging="720"/>
        <w:jc w:val="both"/>
        <w:rPr>
          <w:rFonts w:ascii="Ebrima" w:hAnsi="Ebrima" w:cs="Arial"/>
          <w:sz w:val="22"/>
          <w:szCs w:val="22"/>
        </w:rPr>
      </w:pPr>
      <w:r w:rsidRPr="0028026F">
        <w:rPr>
          <w:rFonts w:ascii="Ebrima" w:hAnsi="Ebrima" w:cs="Arial"/>
          <w:sz w:val="22"/>
          <w:szCs w:val="22"/>
          <w:lang w:val="en-US"/>
        </w:rPr>
        <w:t xml:space="preserve">Gauthier, L., Dehaut, F., &amp; Joanette, Y. (1989). </w:t>
      </w:r>
      <w:r w:rsidRPr="0089785B">
        <w:rPr>
          <w:rFonts w:ascii="Ebrima" w:hAnsi="Ebrima" w:cs="Arial"/>
          <w:sz w:val="22"/>
          <w:szCs w:val="22"/>
        </w:rPr>
        <w:t xml:space="preserve">The Bells Test: A Quantitative and Qualitative Test for Visual Neglect. </w:t>
      </w:r>
      <w:r w:rsidRPr="0089785B">
        <w:rPr>
          <w:rFonts w:ascii="Ebrima" w:hAnsi="Ebrima" w:cs="Arial"/>
          <w:i/>
          <w:iCs/>
          <w:sz w:val="22"/>
          <w:szCs w:val="22"/>
        </w:rPr>
        <w:t>International Journal of Clinical Neuropsychology</w:t>
      </w:r>
      <w:r w:rsidRPr="0089785B">
        <w:rPr>
          <w:rFonts w:ascii="Ebrima" w:hAnsi="Ebrima" w:cs="Arial"/>
          <w:sz w:val="22"/>
          <w:szCs w:val="22"/>
        </w:rPr>
        <w:t xml:space="preserve">, </w:t>
      </w:r>
      <w:r w:rsidRPr="0089785B">
        <w:rPr>
          <w:rFonts w:ascii="Ebrima" w:hAnsi="Ebrima" w:cs="Arial"/>
          <w:i/>
          <w:iCs/>
          <w:sz w:val="22"/>
          <w:szCs w:val="22"/>
        </w:rPr>
        <w:t>XI</w:t>
      </w:r>
      <w:r w:rsidRPr="0089785B">
        <w:rPr>
          <w:rFonts w:ascii="Ebrima" w:hAnsi="Ebrima" w:cs="Arial"/>
          <w:sz w:val="22"/>
          <w:szCs w:val="22"/>
        </w:rPr>
        <w:t xml:space="preserve">(2), 49–54. </w:t>
      </w:r>
    </w:p>
    <w:p w14:paraId="0789491F" w14:textId="48EB0026" w:rsidR="0039415E" w:rsidRDefault="0039415E" w:rsidP="00232F09">
      <w:pPr>
        <w:pStyle w:val="StandardWeb"/>
        <w:spacing w:before="0" w:beforeAutospacing="0" w:after="120" w:afterAutospacing="0" w:line="276" w:lineRule="auto"/>
        <w:ind w:left="720" w:hanging="720"/>
        <w:jc w:val="both"/>
        <w:rPr>
          <w:rFonts w:ascii="Ebrima" w:hAnsi="Ebrima" w:cs="Arial"/>
          <w:sz w:val="22"/>
          <w:szCs w:val="22"/>
        </w:rPr>
      </w:pPr>
      <w:bookmarkStart w:id="42" w:name="GBDstroke2021"/>
      <w:r w:rsidRPr="0039415E">
        <w:rPr>
          <w:rFonts w:ascii="Ebrima" w:hAnsi="Ebrima" w:cs="Arial"/>
          <w:sz w:val="22"/>
          <w:szCs w:val="22"/>
        </w:rPr>
        <w:t xml:space="preserve">GBD 2019 Stroke Collaborators. (2021). Global, regional, and national burden of stroke and its risk factors, 1990–2019: a systematic analysis for the Global Burden of Disease Study 2019. The Lancet Neurology, 20(10), 795–820. </w:t>
      </w:r>
      <w:hyperlink r:id="rId26" w:history="1">
        <w:r w:rsidRPr="0033763D">
          <w:rPr>
            <w:rStyle w:val="Hyperlink"/>
            <w:rFonts w:ascii="Ebrima" w:hAnsi="Ebrima" w:cs="Arial"/>
            <w:sz w:val="22"/>
            <w:szCs w:val="22"/>
          </w:rPr>
          <w:t>https://doi.org/10.1016/S1474-4422(21)00252-0</w:t>
        </w:r>
      </w:hyperlink>
      <w:r>
        <w:rPr>
          <w:rFonts w:ascii="Ebrima" w:hAnsi="Ebrima" w:cs="Arial"/>
          <w:sz w:val="22"/>
          <w:szCs w:val="22"/>
        </w:rPr>
        <w:t xml:space="preserve"> </w:t>
      </w:r>
    </w:p>
    <w:p w14:paraId="7A719F6C" w14:textId="3147C2B0" w:rsidR="00687525" w:rsidRDefault="00687525" w:rsidP="00232F09">
      <w:pPr>
        <w:pStyle w:val="StandardWeb"/>
        <w:spacing w:before="0" w:beforeAutospacing="0" w:after="120" w:afterAutospacing="0" w:line="276" w:lineRule="auto"/>
        <w:ind w:left="720" w:hanging="720"/>
        <w:jc w:val="both"/>
        <w:rPr>
          <w:rFonts w:ascii="Ebrima" w:hAnsi="Ebrima" w:cs="Arial"/>
          <w:sz w:val="22"/>
          <w:szCs w:val="22"/>
        </w:rPr>
      </w:pPr>
      <w:bookmarkStart w:id="43" w:name="gibson2013"/>
      <w:r w:rsidRPr="00687525">
        <w:rPr>
          <w:rFonts w:ascii="Ebrima" w:hAnsi="Ebrima" w:cs="Arial"/>
          <w:sz w:val="22"/>
          <w:szCs w:val="22"/>
        </w:rPr>
        <w:t xml:space="preserve">Gibson, C. L. (2013). Cerebral Ischemic Stroke: is Gender Important? Journal of Cerebral Blood Flow &amp; Metabolism, 33(9), 1355–1361. </w:t>
      </w:r>
      <w:hyperlink r:id="rId27" w:history="1">
        <w:r w:rsidRPr="00CA4045">
          <w:rPr>
            <w:rStyle w:val="Hyperlink"/>
            <w:rFonts w:ascii="Ebrima" w:hAnsi="Ebrima" w:cs="Arial"/>
            <w:sz w:val="22"/>
            <w:szCs w:val="22"/>
          </w:rPr>
          <w:t>https://doi.org/10.1038/jcbfm.2013.102</w:t>
        </w:r>
      </w:hyperlink>
      <w:r>
        <w:rPr>
          <w:rFonts w:ascii="Ebrima" w:hAnsi="Ebrima" w:cs="Arial"/>
          <w:sz w:val="22"/>
          <w:szCs w:val="22"/>
        </w:rPr>
        <w:t xml:space="preserve"> </w:t>
      </w:r>
    </w:p>
    <w:p w14:paraId="29049E20" w14:textId="09371FA6" w:rsidR="00E92B95" w:rsidRDefault="00E92B95" w:rsidP="00232F09">
      <w:pPr>
        <w:pStyle w:val="StandardWeb"/>
        <w:spacing w:before="0" w:beforeAutospacing="0" w:after="120" w:afterAutospacing="0" w:line="276" w:lineRule="auto"/>
        <w:ind w:left="720" w:hanging="720"/>
        <w:jc w:val="both"/>
        <w:rPr>
          <w:rFonts w:ascii="Ebrima" w:hAnsi="Ebrima" w:cs="Arial"/>
          <w:sz w:val="22"/>
          <w:szCs w:val="22"/>
        </w:rPr>
      </w:pPr>
      <w:bookmarkStart w:id="44" w:name="gibson2009"/>
      <w:r w:rsidRPr="00E92B95">
        <w:rPr>
          <w:rFonts w:ascii="Ebrima" w:hAnsi="Ebrima" w:cs="Arial"/>
          <w:sz w:val="22"/>
          <w:szCs w:val="22"/>
        </w:rPr>
        <w:t xml:space="preserve">Gibson, C. L., Coomber, B., &amp; Rathbone, J. (2009). Is Progesterone a Candidate Neuroprotective Factor for Treatment following Ischemic Stroke? The Neuroscientist, 15(4), 324–332. </w:t>
      </w:r>
      <w:hyperlink r:id="rId28" w:history="1">
        <w:r w:rsidRPr="00CA4045">
          <w:rPr>
            <w:rStyle w:val="Hyperlink"/>
            <w:rFonts w:ascii="Ebrima" w:hAnsi="Ebrima" w:cs="Arial"/>
            <w:sz w:val="22"/>
            <w:szCs w:val="22"/>
          </w:rPr>
          <w:t>https://doi.org/10.1177/1073858409333069</w:t>
        </w:r>
      </w:hyperlink>
      <w:r>
        <w:rPr>
          <w:rFonts w:ascii="Ebrima" w:hAnsi="Ebrima" w:cs="Arial"/>
          <w:sz w:val="22"/>
          <w:szCs w:val="22"/>
        </w:rPr>
        <w:t xml:space="preserve"> </w:t>
      </w:r>
    </w:p>
    <w:p w14:paraId="22C5E698" w14:textId="4E6DBC5C" w:rsidR="000E18A1" w:rsidRDefault="000E18A1" w:rsidP="00232F09">
      <w:pPr>
        <w:pStyle w:val="StandardWeb"/>
        <w:spacing w:before="0" w:beforeAutospacing="0" w:after="120" w:afterAutospacing="0" w:line="276" w:lineRule="auto"/>
        <w:ind w:left="720" w:hanging="720"/>
        <w:jc w:val="both"/>
        <w:rPr>
          <w:rFonts w:ascii="Ebrima" w:hAnsi="Ebrima" w:cs="Arial"/>
          <w:sz w:val="22"/>
          <w:szCs w:val="22"/>
        </w:rPr>
      </w:pPr>
      <w:bookmarkStart w:id="45" w:name="hendersonlobo2012"/>
      <w:r w:rsidRPr="000E18A1">
        <w:rPr>
          <w:rFonts w:ascii="Ebrima" w:hAnsi="Ebrima" w:cs="Arial"/>
          <w:sz w:val="22"/>
          <w:szCs w:val="22"/>
          <w:lang w:val="de-DE"/>
        </w:rPr>
        <w:t xml:space="preserve">Henderson, V. W., &amp; Lobo, R. A. (2012). </w:t>
      </w:r>
      <w:r w:rsidRPr="000E18A1">
        <w:rPr>
          <w:rFonts w:ascii="Ebrima" w:hAnsi="Ebrima" w:cs="Arial"/>
          <w:sz w:val="22"/>
          <w:szCs w:val="22"/>
        </w:rPr>
        <w:t xml:space="preserve">Hormone therapy and the risk of stroke: perspectives 10 years after the Women's Health Initiative trials. Climacteric, 15(3), 229–234. </w:t>
      </w:r>
      <w:hyperlink r:id="rId29" w:history="1">
        <w:r w:rsidRPr="00CA4045">
          <w:rPr>
            <w:rStyle w:val="Hyperlink"/>
            <w:rFonts w:ascii="Ebrima" w:hAnsi="Ebrima" w:cs="Arial"/>
            <w:sz w:val="22"/>
            <w:szCs w:val="22"/>
          </w:rPr>
          <w:t>https://doi.org/10.3109/13697137.2012.656254</w:t>
        </w:r>
      </w:hyperlink>
      <w:r>
        <w:rPr>
          <w:rFonts w:ascii="Ebrima" w:hAnsi="Ebrima" w:cs="Arial"/>
          <w:sz w:val="22"/>
          <w:szCs w:val="22"/>
        </w:rPr>
        <w:t xml:space="preserve"> </w:t>
      </w:r>
    </w:p>
    <w:p w14:paraId="5CA0F9CA" w14:textId="2A8E46D8" w:rsidR="006639D2" w:rsidRPr="000E6E5F" w:rsidRDefault="006639D2"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46" w:name="karnathdieterich2006"/>
      <w:bookmarkEnd w:id="42"/>
      <w:bookmarkEnd w:id="43"/>
      <w:bookmarkEnd w:id="44"/>
      <w:bookmarkEnd w:id="45"/>
      <w:r w:rsidRPr="00687525">
        <w:rPr>
          <w:rFonts w:ascii="Ebrima" w:hAnsi="Ebrima" w:cs="Arial"/>
          <w:sz w:val="22"/>
          <w:szCs w:val="22"/>
          <w:lang w:val="de-DE"/>
        </w:rPr>
        <w:t xml:space="preserve">Karnath, H. O., &amp; Dieterich, M. (2006). </w:t>
      </w:r>
      <w:r w:rsidRPr="006639D2">
        <w:rPr>
          <w:rFonts w:ascii="Ebrima" w:hAnsi="Ebrima" w:cs="Arial"/>
          <w:sz w:val="22"/>
          <w:szCs w:val="22"/>
        </w:rPr>
        <w:t xml:space="preserve">Spatial neglect—a vestibular disorder? </w:t>
      </w:r>
      <w:r w:rsidRPr="000E6E5F">
        <w:rPr>
          <w:rFonts w:ascii="Ebrima" w:hAnsi="Ebrima" w:cs="Arial"/>
          <w:sz w:val="22"/>
          <w:szCs w:val="22"/>
          <w:lang w:val="en-US"/>
        </w:rPr>
        <w:t xml:space="preserve">Brain, 129(2), 293–305. </w:t>
      </w:r>
      <w:hyperlink r:id="rId30" w:history="1">
        <w:r w:rsidRPr="000E6E5F">
          <w:rPr>
            <w:rStyle w:val="Hyperlink"/>
            <w:rFonts w:ascii="Ebrima" w:hAnsi="Ebrima" w:cs="Arial"/>
            <w:sz w:val="22"/>
            <w:szCs w:val="22"/>
            <w:lang w:val="en-US"/>
          </w:rPr>
          <w:t>https://doi.org/10.1093/brain/awh698</w:t>
        </w:r>
      </w:hyperlink>
      <w:r w:rsidRPr="000E6E5F">
        <w:rPr>
          <w:rFonts w:ascii="Ebrima" w:hAnsi="Ebrima" w:cs="Arial"/>
          <w:sz w:val="22"/>
          <w:szCs w:val="22"/>
          <w:lang w:val="en-US"/>
        </w:rPr>
        <w:t xml:space="preserve"> </w:t>
      </w:r>
    </w:p>
    <w:p w14:paraId="2F408F28" w14:textId="375C0E39" w:rsidR="006639D2" w:rsidRDefault="006639D2" w:rsidP="00232F09">
      <w:pPr>
        <w:pStyle w:val="StandardWeb"/>
        <w:spacing w:before="0" w:beforeAutospacing="0" w:after="120" w:afterAutospacing="0" w:line="276" w:lineRule="auto"/>
        <w:ind w:left="720" w:hanging="720"/>
        <w:jc w:val="both"/>
        <w:rPr>
          <w:rFonts w:ascii="Ebrima" w:hAnsi="Ebrima" w:cs="Arial"/>
          <w:sz w:val="22"/>
          <w:szCs w:val="22"/>
          <w:lang w:val="de-DE"/>
        </w:rPr>
      </w:pPr>
      <w:bookmarkStart w:id="47" w:name="karnath2015"/>
      <w:bookmarkEnd w:id="46"/>
      <w:r w:rsidRPr="006639D2">
        <w:rPr>
          <w:rFonts w:ascii="Ebrima" w:hAnsi="Ebrima" w:cs="Arial"/>
          <w:sz w:val="22"/>
          <w:szCs w:val="22"/>
          <w:lang w:val="en-US"/>
        </w:rPr>
        <w:t xml:space="preserve">Karnath, H. O. (2015). Spatial attention systems in spatial neglect. </w:t>
      </w:r>
      <w:r w:rsidRPr="006639D2">
        <w:rPr>
          <w:rFonts w:ascii="Ebrima" w:hAnsi="Ebrima" w:cs="Arial"/>
          <w:sz w:val="22"/>
          <w:szCs w:val="22"/>
          <w:lang w:val="de-DE"/>
        </w:rPr>
        <w:t xml:space="preserve">Neuropsychologia, 75, 61–73. </w:t>
      </w:r>
      <w:hyperlink r:id="rId31" w:history="1">
        <w:r w:rsidRPr="00A708D4">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22BA3CC9" w14:textId="0F55CAEA" w:rsidR="006639D2" w:rsidRPr="006639D2" w:rsidRDefault="006639D2" w:rsidP="00232F09">
      <w:pPr>
        <w:pStyle w:val="StandardWeb"/>
        <w:spacing w:before="0" w:beforeAutospacing="0" w:after="120" w:afterAutospacing="0" w:line="276" w:lineRule="auto"/>
        <w:ind w:left="720" w:hanging="720"/>
        <w:jc w:val="both"/>
        <w:rPr>
          <w:rFonts w:ascii="Ebrima" w:hAnsi="Ebrima" w:cs="Arial"/>
          <w:sz w:val="22"/>
          <w:szCs w:val="22"/>
          <w:lang w:val="de-DE"/>
        </w:rPr>
      </w:pPr>
      <w:bookmarkStart w:id="48" w:name="karnathrorden2012"/>
      <w:bookmarkEnd w:id="47"/>
      <w:r w:rsidRPr="006639D2">
        <w:rPr>
          <w:rFonts w:ascii="Ebrima" w:hAnsi="Ebrima" w:cs="Arial"/>
          <w:sz w:val="22"/>
          <w:szCs w:val="22"/>
          <w:lang w:val="de-DE"/>
        </w:rPr>
        <w:t xml:space="preserve">Karnath, H. O., &amp; Rorden, C. (2012). </w:t>
      </w:r>
      <w:r w:rsidRPr="006639D2">
        <w:rPr>
          <w:rFonts w:ascii="Ebrima" w:hAnsi="Ebrima" w:cs="Arial"/>
          <w:sz w:val="22"/>
          <w:szCs w:val="22"/>
          <w:lang w:val="en-US"/>
        </w:rPr>
        <w:t xml:space="preserve">The anatomy of spatial neglect. </w:t>
      </w:r>
      <w:r w:rsidRPr="006639D2">
        <w:rPr>
          <w:rFonts w:ascii="Ebrima" w:hAnsi="Ebrima" w:cs="Arial"/>
          <w:sz w:val="22"/>
          <w:szCs w:val="22"/>
          <w:lang w:val="de-DE"/>
        </w:rPr>
        <w:t xml:space="preserve">Neuropsychologia, 50(6), 1010–1017. </w:t>
      </w:r>
      <w:hyperlink r:id="rId32" w:history="1">
        <w:r w:rsidRPr="00A708D4">
          <w:rPr>
            <w:rStyle w:val="Hyperlink"/>
            <w:rFonts w:ascii="Ebrima" w:hAnsi="Ebrima" w:cs="Arial"/>
            <w:sz w:val="22"/>
            <w:szCs w:val="22"/>
            <w:lang w:val="de-DE"/>
          </w:rPr>
          <w:t>https://doi.org/10.1016/j.neuropsychologia.2011.06.027</w:t>
        </w:r>
      </w:hyperlink>
      <w:bookmarkEnd w:id="48"/>
      <w:r>
        <w:rPr>
          <w:rFonts w:ascii="Ebrima" w:hAnsi="Ebrima" w:cs="Arial"/>
          <w:sz w:val="22"/>
          <w:szCs w:val="22"/>
          <w:lang w:val="de-DE"/>
        </w:rPr>
        <w:t xml:space="preserve"> </w:t>
      </w:r>
    </w:p>
    <w:p w14:paraId="51C27F14" w14:textId="43ED1D0E" w:rsidR="009D6F84" w:rsidRDefault="009D6F84" w:rsidP="00232F09">
      <w:pPr>
        <w:pStyle w:val="StandardWeb"/>
        <w:spacing w:before="0" w:beforeAutospacing="0" w:after="120" w:afterAutospacing="0" w:line="276" w:lineRule="auto"/>
        <w:ind w:left="720" w:hanging="720"/>
        <w:jc w:val="both"/>
        <w:rPr>
          <w:rFonts w:ascii="Ebrima" w:hAnsi="Ebrima" w:cs="Arial"/>
          <w:sz w:val="22"/>
          <w:szCs w:val="22"/>
        </w:rPr>
      </w:pPr>
      <w:bookmarkStart w:id="49" w:name="karnath2019"/>
      <w:r w:rsidRPr="006639D2">
        <w:rPr>
          <w:rFonts w:ascii="Ebrima" w:hAnsi="Ebrima" w:cs="Arial"/>
          <w:sz w:val="22"/>
          <w:szCs w:val="22"/>
          <w:lang w:val="de-DE"/>
        </w:rPr>
        <w:t xml:space="preserve">Karnath, H. O., Sperber, C., Wiesen, D., &amp; de Haan, B. (2019). </w:t>
      </w:r>
      <w:r w:rsidRPr="009D6F84">
        <w:rPr>
          <w:rFonts w:ascii="Ebrima" w:hAnsi="Ebrima" w:cs="Arial"/>
          <w:sz w:val="22"/>
          <w:szCs w:val="22"/>
        </w:rPr>
        <w:t xml:space="preserve">Lesion-Behavior Mapping in Cognitive Neuroscience: A Practical Guide to Univariate and Multivariate Approaches. Spatial Learning and Attention Guidance, 209–238. </w:t>
      </w:r>
      <w:hyperlink r:id="rId33" w:history="1">
        <w:r w:rsidRPr="003A00C0">
          <w:rPr>
            <w:rStyle w:val="Hyperlink"/>
            <w:rFonts w:ascii="Ebrima" w:hAnsi="Ebrima" w:cs="Arial"/>
            <w:sz w:val="22"/>
            <w:szCs w:val="22"/>
          </w:rPr>
          <w:t>https://doi.org/10.1007/7657_2019_18</w:t>
        </w:r>
      </w:hyperlink>
      <w:r>
        <w:rPr>
          <w:rFonts w:ascii="Ebrima" w:hAnsi="Ebrima" w:cs="Arial"/>
          <w:sz w:val="22"/>
          <w:szCs w:val="22"/>
        </w:rPr>
        <w:t xml:space="preserve"> </w:t>
      </w:r>
    </w:p>
    <w:p w14:paraId="7A8081EA" w14:textId="7575E133" w:rsidR="00A579A3" w:rsidRDefault="00A579A3" w:rsidP="00232F09">
      <w:pPr>
        <w:pStyle w:val="StandardWeb"/>
        <w:spacing w:before="0" w:beforeAutospacing="0" w:after="120" w:afterAutospacing="0" w:line="276" w:lineRule="auto"/>
        <w:ind w:left="720" w:hanging="720"/>
        <w:jc w:val="both"/>
        <w:rPr>
          <w:rFonts w:ascii="Ebrima" w:hAnsi="Ebrima" w:cs="Arial"/>
          <w:sz w:val="22"/>
          <w:szCs w:val="22"/>
        </w:rPr>
      </w:pPr>
      <w:bookmarkStart w:id="50" w:name="katanluft2018"/>
      <w:r w:rsidRPr="00A579A3">
        <w:rPr>
          <w:rFonts w:ascii="Ebrima" w:hAnsi="Ebrima" w:cs="Arial"/>
          <w:sz w:val="22"/>
          <w:szCs w:val="22"/>
        </w:rPr>
        <w:t xml:space="preserve">Katan, M., &amp; Luft, A. (2018). Global Burden of Stroke. Seminars in Neurology, 38(02), 208–211. </w:t>
      </w:r>
      <w:hyperlink r:id="rId34" w:history="1">
        <w:r w:rsidRPr="0033763D">
          <w:rPr>
            <w:rStyle w:val="Hyperlink"/>
            <w:rFonts w:ascii="Ebrima" w:hAnsi="Ebrima" w:cs="Arial"/>
            <w:sz w:val="22"/>
            <w:szCs w:val="22"/>
          </w:rPr>
          <w:t>https://doi.org/10.1055/s-0038-1649503</w:t>
        </w:r>
      </w:hyperlink>
      <w:r>
        <w:rPr>
          <w:rFonts w:ascii="Ebrima" w:hAnsi="Ebrima" w:cs="Arial"/>
          <w:sz w:val="22"/>
          <w:szCs w:val="22"/>
        </w:rPr>
        <w:t xml:space="preserve"> </w:t>
      </w:r>
    </w:p>
    <w:p w14:paraId="6DE8DA9C" w14:textId="613EC692" w:rsidR="006639D2" w:rsidRDefault="006639D2" w:rsidP="00232F09">
      <w:pPr>
        <w:pStyle w:val="StandardWeb"/>
        <w:spacing w:before="0" w:beforeAutospacing="0" w:after="120" w:afterAutospacing="0" w:line="276" w:lineRule="auto"/>
        <w:ind w:left="720" w:hanging="720"/>
        <w:jc w:val="both"/>
        <w:rPr>
          <w:rFonts w:ascii="Ebrima" w:hAnsi="Ebrima" w:cs="Arial"/>
          <w:sz w:val="22"/>
          <w:szCs w:val="22"/>
        </w:rPr>
      </w:pPr>
      <w:bookmarkStart w:id="51" w:name="limalhotra2015"/>
      <w:bookmarkEnd w:id="50"/>
      <w:r w:rsidRPr="000E6E5F">
        <w:rPr>
          <w:rFonts w:ascii="Ebrima" w:hAnsi="Ebrima" w:cs="Arial"/>
          <w:sz w:val="22"/>
          <w:szCs w:val="22"/>
          <w:lang w:val="en-US"/>
        </w:rPr>
        <w:t xml:space="preserve">Li, K., &amp; Malhotra, P. A. (2015). </w:t>
      </w:r>
      <w:r w:rsidRPr="006639D2">
        <w:rPr>
          <w:rFonts w:ascii="Ebrima" w:hAnsi="Ebrima" w:cs="Arial"/>
          <w:sz w:val="22"/>
          <w:szCs w:val="22"/>
        </w:rPr>
        <w:t xml:space="preserve">Spatial neglect. Practical Neurology, 15(5), 333–339. </w:t>
      </w:r>
      <w:hyperlink r:id="rId35" w:history="1">
        <w:r w:rsidRPr="00A708D4">
          <w:rPr>
            <w:rStyle w:val="Hyperlink"/>
            <w:rFonts w:ascii="Ebrima" w:hAnsi="Ebrima" w:cs="Arial"/>
            <w:sz w:val="22"/>
            <w:szCs w:val="22"/>
          </w:rPr>
          <w:t>https://doi.org/10.1136/practneurol-2015-001115</w:t>
        </w:r>
      </w:hyperlink>
      <w:r>
        <w:rPr>
          <w:rFonts w:ascii="Ebrima" w:hAnsi="Ebrima" w:cs="Arial"/>
          <w:sz w:val="22"/>
          <w:szCs w:val="22"/>
        </w:rPr>
        <w:t xml:space="preserve"> </w:t>
      </w:r>
    </w:p>
    <w:p w14:paraId="4054C8F3" w14:textId="21A61A3A" w:rsidR="00687525" w:rsidRDefault="00687525" w:rsidP="00232F09">
      <w:pPr>
        <w:pStyle w:val="StandardWeb"/>
        <w:spacing w:before="0" w:beforeAutospacing="0" w:after="120" w:afterAutospacing="0" w:line="276" w:lineRule="auto"/>
        <w:ind w:left="720" w:hanging="720"/>
        <w:jc w:val="both"/>
        <w:rPr>
          <w:rFonts w:ascii="Ebrima" w:hAnsi="Ebrima" w:cs="Arial"/>
          <w:sz w:val="22"/>
          <w:szCs w:val="22"/>
        </w:rPr>
      </w:pPr>
      <w:bookmarkStart w:id="52" w:name="li2005"/>
      <w:r w:rsidRPr="00687525">
        <w:rPr>
          <w:rFonts w:ascii="Ebrima" w:hAnsi="Ebrima" w:cs="Arial"/>
          <w:sz w:val="22"/>
          <w:szCs w:val="22"/>
        </w:rPr>
        <w:lastRenderedPageBreak/>
        <w:t xml:space="preserve">Li, H., Pin, S., Zeng, Z., Wang, M. M., Andreasson, K. A., &amp; McCullough, L. D. (2005). Sex differences in cell death. Annals of Neurology, 58(2), 317–321. </w:t>
      </w:r>
      <w:hyperlink r:id="rId36" w:history="1">
        <w:r w:rsidRPr="00CA4045">
          <w:rPr>
            <w:rStyle w:val="Hyperlink"/>
            <w:rFonts w:ascii="Ebrima" w:hAnsi="Ebrima" w:cs="Arial"/>
            <w:sz w:val="22"/>
            <w:szCs w:val="22"/>
          </w:rPr>
          <w:t>https://doi.org/10.1002/ana.20538</w:t>
        </w:r>
      </w:hyperlink>
      <w:r>
        <w:rPr>
          <w:rFonts w:ascii="Ebrima" w:hAnsi="Ebrima" w:cs="Arial"/>
          <w:sz w:val="22"/>
          <w:szCs w:val="22"/>
        </w:rPr>
        <w:t xml:space="preserve"> </w:t>
      </w:r>
    </w:p>
    <w:p w14:paraId="7C48F111" w14:textId="465FC5BF" w:rsidR="00E92B95" w:rsidRPr="00E92B95" w:rsidRDefault="00E92B95" w:rsidP="00E92B95">
      <w:pPr>
        <w:pStyle w:val="StandardWeb"/>
        <w:spacing w:before="0" w:beforeAutospacing="0" w:after="120" w:afterAutospacing="0" w:line="276" w:lineRule="auto"/>
        <w:ind w:left="720" w:hanging="720"/>
        <w:jc w:val="both"/>
        <w:rPr>
          <w:rFonts w:ascii="Ebrima" w:hAnsi="Ebrima" w:cs="Arial"/>
          <w:sz w:val="22"/>
          <w:szCs w:val="22"/>
          <w:lang w:val="en-US"/>
        </w:rPr>
      </w:pPr>
      <w:bookmarkStart w:id="53" w:name="liu2010"/>
      <w:r w:rsidRPr="00E92B95">
        <w:rPr>
          <w:rFonts w:ascii="Ebrima" w:hAnsi="Ebrima" w:cs="Arial"/>
          <w:sz w:val="22"/>
          <w:szCs w:val="22"/>
          <w:lang w:val="en-US"/>
        </w:rPr>
        <w:t>Liu, M., Kelley, M. H., Herson, P. S., &amp; Hurn, P. D. (2010). Neuroprotection of Sex Steroids. Minerva Endocrinologica, 35(2), 127–143.</w:t>
      </w:r>
      <w:r>
        <w:rPr>
          <w:rFonts w:ascii="Ebrima" w:hAnsi="Ebrima" w:cs="Arial"/>
          <w:sz w:val="22"/>
          <w:szCs w:val="22"/>
          <w:lang w:val="en-US"/>
        </w:rPr>
        <w:t xml:space="preserve"> </w:t>
      </w:r>
    </w:p>
    <w:p w14:paraId="7213064C" w14:textId="35F9DB7E" w:rsidR="00687525" w:rsidRDefault="00687525" w:rsidP="00687525">
      <w:pPr>
        <w:pStyle w:val="StandardWeb"/>
        <w:spacing w:before="0" w:beforeAutospacing="0" w:after="120" w:afterAutospacing="0" w:line="276" w:lineRule="auto"/>
        <w:ind w:left="720" w:hanging="720"/>
        <w:jc w:val="both"/>
        <w:rPr>
          <w:rFonts w:ascii="Ebrima" w:hAnsi="Ebrima" w:cs="Arial"/>
          <w:sz w:val="22"/>
          <w:szCs w:val="22"/>
        </w:rPr>
      </w:pPr>
      <w:bookmarkStart w:id="54" w:name="liu2008"/>
      <w:bookmarkEnd w:id="53"/>
      <w:r w:rsidRPr="00687525">
        <w:rPr>
          <w:rFonts w:ascii="Ebrima" w:hAnsi="Ebrima" w:cs="Arial"/>
          <w:sz w:val="22"/>
          <w:szCs w:val="22"/>
        </w:rPr>
        <w:t xml:space="preserve">Liu, M., Oyarzabal, E. A., Yang, R., Murphy, S. J., &amp; Hurn, P. D. (2008). A novel method for assessing sex-specific and genotype-specific response to injury in astrocyte culture. Journal of Neuroscience Methods, 171(2), 214–217. </w:t>
      </w:r>
      <w:hyperlink r:id="rId37" w:history="1">
        <w:r w:rsidRPr="00CA4045">
          <w:rPr>
            <w:rStyle w:val="Hyperlink"/>
            <w:rFonts w:ascii="Ebrima" w:hAnsi="Ebrima" w:cs="Arial"/>
            <w:sz w:val="22"/>
            <w:szCs w:val="22"/>
          </w:rPr>
          <w:t>https://doi.org/10.1016/j.jneumeth.2008.03.002</w:t>
        </w:r>
      </w:hyperlink>
      <w:r>
        <w:rPr>
          <w:rFonts w:ascii="Ebrima" w:hAnsi="Ebrima" w:cs="Arial"/>
          <w:sz w:val="22"/>
          <w:szCs w:val="22"/>
        </w:rPr>
        <w:t xml:space="preserve"> </w:t>
      </w:r>
    </w:p>
    <w:p w14:paraId="4D6634E2" w14:textId="0BBDE67E" w:rsidR="00E92B95" w:rsidRDefault="00E92B95" w:rsidP="00687525">
      <w:pPr>
        <w:pStyle w:val="StandardWeb"/>
        <w:spacing w:before="0" w:beforeAutospacing="0" w:after="120" w:afterAutospacing="0" w:line="276" w:lineRule="auto"/>
        <w:ind w:left="720" w:hanging="720"/>
        <w:jc w:val="both"/>
        <w:rPr>
          <w:rFonts w:ascii="Ebrima" w:hAnsi="Ebrima" w:cs="Arial"/>
          <w:sz w:val="22"/>
          <w:szCs w:val="22"/>
        </w:rPr>
      </w:pPr>
      <w:bookmarkStart w:id="55" w:name="liuyang2013"/>
      <w:r w:rsidRPr="00E92B95">
        <w:rPr>
          <w:rFonts w:ascii="Ebrima" w:hAnsi="Ebrima" w:cs="Arial"/>
          <w:sz w:val="22"/>
          <w:szCs w:val="22"/>
          <w:lang w:val="de-DE"/>
        </w:rPr>
        <w:t xml:space="preserve">Liu, R., &amp; Yang, S.-H. (2013). </w:t>
      </w:r>
      <w:r w:rsidRPr="00E92B95">
        <w:rPr>
          <w:rFonts w:ascii="Ebrima" w:hAnsi="Ebrima" w:cs="Arial"/>
          <w:sz w:val="22"/>
          <w:szCs w:val="22"/>
        </w:rPr>
        <w:t xml:space="preserve">Window of opportunity: Estrogen as a treatment for ischemic stroke. Brain Research, 1514, 83–90. </w:t>
      </w:r>
      <w:hyperlink r:id="rId38" w:history="1">
        <w:r w:rsidRPr="00CA4045">
          <w:rPr>
            <w:rStyle w:val="Hyperlink"/>
            <w:rFonts w:ascii="Ebrima" w:hAnsi="Ebrima" w:cs="Arial"/>
            <w:sz w:val="22"/>
            <w:szCs w:val="22"/>
          </w:rPr>
          <w:t>https://doi.org/10.1016/j.brainres.2013.01.023</w:t>
        </w:r>
      </w:hyperlink>
      <w:r>
        <w:rPr>
          <w:rFonts w:ascii="Ebrima" w:hAnsi="Ebrima" w:cs="Arial"/>
          <w:sz w:val="22"/>
          <w:szCs w:val="22"/>
        </w:rPr>
        <w:t xml:space="preserve"> </w:t>
      </w:r>
    </w:p>
    <w:p w14:paraId="15830F08" w14:textId="13FF8AF6" w:rsidR="00C16AA8" w:rsidRPr="0089785B" w:rsidRDefault="00C16AA8" w:rsidP="00687525">
      <w:pPr>
        <w:pStyle w:val="StandardWeb"/>
        <w:spacing w:before="0" w:beforeAutospacing="0" w:after="120" w:afterAutospacing="0" w:line="276" w:lineRule="auto"/>
        <w:ind w:left="720" w:hanging="720"/>
        <w:jc w:val="both"/>
        <w:rPr>
          <w:rFonts w:ascii="Ebrima" w:hAnsi="Ebrima" w:cs="Arial"/>
          <w:sz w:val="22"/>
          <w:szCs w:val="22"/>
        </w:rPr>
      </w:pPr>
      <w:bookmarkStart w:id="56" w:name="manwani2014"/>
      <w:bookmarkEnd w:id="55"/>
      <w:r w:rsidRPr="00C16AA8">
        <w:rPr>
          <w:rFonts w:ascii="Ebrima" w:hAnsi="Ebrima" w:cs="Arial"/>
          <w:sz w:val="22"/>
          <w:szCs w:val="22"/>
        </w:rPr>
        <w:t xml:space="preserve">Manwani, B., Bentivegna, K., Benashski, S. E., Venna, V. R., Xu, Y., Arnold, A. P., &amp; McCullough, L. D. (2014). Sex Differences in Ischemic Stroke Sensitivity Are Influenced by Gonadal Hormones, Not by Sex Chromosome Complement. Journal of Cerebral Blood Flow &amp; Metabolism, 35(2), 221–229. </w:t>
      </w:r>
      <w:hyperlink r:id="rId39" w:history="1">
        <w:r w:rsidRPr="00CA4045">
          <w:rPr>
            <w:rStyle w:val="Hyperlink"/>
            <w:rFonts w:ascii="Ebrima" w:hAnsi="Ebrima" w:cs="Arial"/>
            <w:sz w:val="22"/>
            <w:szCs w:val="22"/>
          </w:rPr>
          <w:t>https://doi.org/10.1038/jcbfm.2014.186</w:t>
        </w:r>
      </w:hyperlink>
      <w:r>
        <w:rPr>
          <w:rFonts w:ascii="Ebrima" w:hAnsi="Ebrima" w:cs="Arial"/>
          <w:sz w:val="22"/>
          <w:szCs w:val="22"/>
        </w:rPr>
        <w:t xml:space="preserve"> </w:t>
      </w:r>
    </w:p>
    <w:p w14:paraId="6D2D6E1A" w14:textId="5D5EF2BE" w:rsidR="00A32570" w:rsidRDefault="00A32570" w:rsidP="00232F09">
      <w:pPr>
        <w:pStyle w:val="StandardWeb"/>
        <w:spacing w:before="0" w:beforeAutospacing="0" w:after="120" w:afterAutospacing="0" w:line="276" w:lineRule="auto"/>
        <w:ind w:left="720" w:hanging="720"/>
        <w:jc w:val="both"/>
        <w:rPr>
          <w:rFonts w:ascii="Ebrima" w:hAnsi="Ebrima" w:cs="Arial"/>
          <w:color w:val="FF0000"/>
          <w:sz w:val="22"/>
          <w:szCs w:val="22"/>
          <w:lang w:val="en-US"/>
        </w:rPr>
      </w:pPr>
      <w:bookmarkStart w:id="57" w:name="rorden2012"/>
      <w:bookmarkEnd w:id="33"/>
      <w:bookmarkEnd w:id="49"/>
      <w:bookmarkEnd w:id="51"/>
      <w:bookmarkEnd w:id="52"/>
      <w:bookmarkEnd w:id="54"/>
      <w:bookmarkEnd w:id="56"/>
      <w:r w:rsidRPr="00687525">
        <w:rPr>
          <w:rFonts w:ascii="Ebrima" w:hAnsi="Ebrima" w:cs="Arial"/>
          <w:sz w:val="22"/>
          <w:szCs w:val="22"/>
          <w:lang w:val="de-DE"/>
        </w:rPr>
        <w:t xml:space="preserve">Rorden, C., Bonilha, L., Fridriksson, J., Bender, B., &amp; Karnath, H. O. (2012). </w:t>
      </w:r>
      <w:r w:rsidRPr="00A32570">
        <w:rPr>
          <w:rFonts w:ascii="Ebrima" w:hAnsi="Ebrima" w:cs="Arial"/>
          <w:sz w:val="22"/>
          <w:szCs w:val="22"/>
          <w:lang w:val="en-US"/>
        </w:rPr>
        <w:t xml:space="preserve">Age-specific CT and MRI templates for spatial normalization. NeuroImage, 61(4), 957–965. </w:t>
      </w:r>
      <w:hyperlink r:id="rId40" w:history="1">
        <w:r w:rsidRPr="003A00C0">
          <w:rPr>
            <w:rStyle w:val="Hyperlink"/>
            <w:rFonts w:ascii="Ebrima" w:hAnsi="Ebrima" w:cs="Arial"/>
            <w:sz w:val="22"/>
            <w:szCs w:val="22"/>
            <w:lang w:val="en-US"/>
          </w:rPr>
          <w:t>https://doi.org/10.1016/j.neuroimage.2012.03.020</w:t>
        </w:r>
      </w:hyperlink>
      <w:r>
        <w:rPr>
          <w:rFonts w:ascii="Ebrima" w:hAnsi="Ebrima" w:cs="Arial"/>
          <w:color w:val="FF0000"/>
          <w:sz w:val="22"/>
          <w:szCs w:val="22"/>
          <w:lang w:val="en-US"/>
        </w:rPr>
        <w:t xml:space="preserve"> </w:t>
      </w:r>
    </w:p>
    <w:p w14:paraId="1E933885" w14:textId="17B53464" w:rsidR="00E72797" w:rsidRPr="00A32570" w:rsidRDefault="00E72797" w:rsidP="00232F09">
      <w:pPr>
        <w:pStyle w:val="StandardWeb"/>
        <w:spacing w:before="0" w:beforeAutospacing="0" w:after="120" w:afterAutospacing="0" w:line="276" w:lineRule="auto"/>
        <w:ind w:left="720" w:hanging="720"/>
        <w:jc w:val="both"/>
        <w:rPr>
          <w:rFonts w:ascii="Ebrima" w:hAnsi="Ebrima" w:cs="Arial"/>
          <w:color w:val="FF0000"/>
          <w:sz w:val="22"/>
          <w:szCs w:val="22"/>
          <w:lang w:val="en-US"/>
        </w:rPr>
      </w:pPr>
      <w:r w:rsidRPr="00E72797">
        <w:rPr>
          <w:rFonts w:ascii="Ebrima" w:hAnsi="Ebrima" w:cs="Arial"/>
          <w:sz w:val="22"/>
          <w:szCs w:val="22"/>
          <w:lang w:val="en-US"/>
        </w:rPr>
        <w:t xml:space="preserve">Rorden, C., &amp; Brett, M. (2000). Stereotaxic Display of Brain Lesions. Behavioural Neurology, 12(4), 191–200. </w:t>
      </w:r>
      <w:hyperlink r:id="rId41" w:history="1">
        <w:r w:rsidRPr="00CA4045">
          <w:rPr>
            <w:rStyle w:val="Hyperlink"/>
            <w:rFonts w:ascii="Ebrima" w:hAnsi="Ebrima" w:cs="Arial"/>
            <w:sz w:val="22"/>
            <w:szCs w:val="22"/>
            <w:lang w:val="en-US"/>
          </w:rPr>
          <w:t>https://doi.org/10.1155/2000/421719</w:t>
        </w:r>
      </w:hyperlink>
      <w:r>
        <w:rPr>
          <w:rFonts w:ascii="Ebrima" w:hAnsi="Ebrima" w:cs="Arial"/>
          <w:color w:val="FF0000"/>
          <w:sz w:val="22"/>
          <w:szCs w:val="22"/>
          <w:lang w:val="en-US"/>
        </w:rPr>
        <w:t xml:space="preserve"> </w:t>
      </w:r>
    </w:p>
    <w:p w14:paraId="09AAC2F6" w14:textId="0D72E98D" w:rsidR="009F4AD7" w:rsidRPr="000E6E5F" w:rsidRDefault="0089785B" w:rsidP="009F4AD7">
      <w:pPr>
        <w:pStyle w:val="StandardWeb"/>
        <w:spacing w:before="0" w:beforeAutospacing="0" w:after="120" w:afterAutospacing="0" w:line="276" w:lineRule="auto"/>
        <w:ind w:left="720" w:hanging="720"/>
        <w:jc w:val="both"/>
        <w:rPr>
          <w:rStyle w:val="Hyperlink"/>
          <w:rFonts w:ascii="Ebrima" w:hAnsi="Ebrima" w:cs="Arial"/>
          <w:sz w:val="22"/>
          <w:szCs w:val="22"/>
          <w:lang w:val="en-US"/>
        </w:rPr>
      </w:pPr>
      <w:bookmarkStart w:id="58" w:name="rordenkarnath2010"/>
      <w:bookmarkEnd w:id="57"/>
      <w:r w:rsidRPr="00E72797">
        <w:rPr>
          <w:rFonts w:ascii="Ebrima" w:hAnsi="Ebrima" w:cs="Arial"/>
          <w:sz w:val="22"/>
          <w:szCs w:val="22"/>
          <w:lang w:val="de-DE"/>
        </w:rPr>
        <w:t xml:space="preserve">Rorden, C., &amp; Karnath, H. O. (2010). </w:t>
      </w:r>
      <w:r w:rsidRPr="0089785B">
        <w:rPr>
          <w:rFonts w:ascii="Ebrima" w:hAnsi="Ebrima" w:cs="Arial"/>
          <w:sz w:val="22"/>
          <w:szCs w:val="22"/>
        </w:rPr>
        <w:t xml:space="preserve">A simple measure of neglect severity. </w:t>
      </w:r>
      <w:r w:rsidRPr="000E6E5F">
        <w:rPr>
          <w:rFonts w:ascii="Ebrima" w:hAnsi="Ebrima" w:cs="Arial"/>
          <w:i/>
          <w:iCs/>
          <w:sz w:val="22"/>
          <w:szCs w:val="22"/>
          <w:lang w:val="en-US"/>
        </w:rPr>
        <w:t>Neuropsychologia</w:t>
      </w:r>
      <w:r w:rsidRPr="000E6E5F">
        <w:rPr>
          <w:rFonts w:ascii="Ebrima" w:hAnsi="Ebrima" w:cs="Arial"/>
          <w:sz w:val="22"/>
          <w:szCs w:val="22"/>
          <w:lang w:val="en-US"/>
        </w:rPr>
        <w:t xml:space="preserve">, </w:t>
      </w:r>
      <w:r w:rsidRPr="000E6E5F">
        <w:rPr>
          <w:rFonts w:ascii="Ebrima" w:hAnsi="Ebrima" w:cs="Arial"/>
          <w:i/>
          <w:iCs/>
          <w:sz w:val="22"/>
          <w:szCs w:val="22"/>
          <w:lang w:val="en-US"/>
        </w:rPr>
        <w:t>48</w:t>
      </w:r>
      <w:r w:rsidRPr="000E6E5F">
        <w:rPr>
          <w:rFonts w:ascii="Ebrima" w:hAnsi="Ebrima" w:cs="Arial"/>
          <w:sz w:val="22"/>
          <w:szCs w:val="22"/>
          <w:lang w:val="en-US"/>
        </w:rPr>
        <w:t xml:space="preserve">(9), 2758–2763. </w:t>
      </w:r>
      <w:hyperlink r:id="rId42" w:history="1">
        <w:r w:rsidR="00F76B93" w:rsidRPr="000E6E5F">
          <w:rPr>
            <w:rStyle w:val="Hyperlink"/>
            <w:rFonts w:ascii="Ebrima" w:hAnsi="Ebrima" w:cs="Arial"/>
            <w:sz w:val="22"/>
            <w:szCs w:val="22"/>
            <w:lang w:val="en-US"/>
          </w:rPr>
          <w:t>https://doi.org/10.1016/j.neuropsychologia.2010.04.018</w:t>
        </w:r>
      </w:hyperlink>
    </w:p>
    <w:p w14:paraId="1D828A98" w14:textId="20AC00D7" w:rsidR="009F4AD7" w:rsidRDefault="009F4AD7" w:rsidP="00784EDD">
      <w:pPr>
        <w:pStyle w:val="StandardWeb"/>
        <w:spacing w:before="0" w:beforeAutospacing="0" w:after="120" w:afterAutospacing="0" w:line="276" w:lineRule="auto"/>
        <w:ind w:left="720" w:hanging="720"/>
        <w:jc w:val="both"/>
        <w:rPr>
          <w:rFonts w:ascii="Ebrima" w:hAnsi="Ebrima" w:cs="Arial"/>
          <w:sz w:val="22"/>
          <w:szCs w:val="22"/>
          <w:lang w:val="en-US"/>
        </w:rPr>
      </w:pPr>
      <w:bookmarkStart w:id="59" w:name="weintraubmesulam1985"/>
      <w:bookmarkStart w:id="60" w:name="stone1993"/>
      <w:bookmarkEnd w:id="58"/>
      <w:r w:rsidRPr="009F4AD7">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0E6E5F">
        <w:rPr>
          <w:rFonts w:ascii="Ebrima" w:hAnsi="Ebrima" w:cs="Arial"/>
          <w:sz w:val="22"/>
          <w:szCs w:val="22"/>
          <w:lang w:val="en-US"/>
        </w:rPr>
        <w:t xml:space="preserve">Age and Ageing, 22(1), 46–52. </w:t>
      </w:r>
      <w:hyperlink r:id="rId43" w:history="1">
        <w:r w:rsidRPr="000E6E5F">
          <w:rPr>
            <w:rStyle w:val="Hyperlink"/>
            <w:rFonts w:ascii="Ebrima" w:hAnsi="Ebrima" w:cs="Arial"/>
            <w:sz w:val="22"/>
            <w:szCs w:val="22"/>
            <w:lang w:val="en-US"/>
          </w:rPr>
          <w:t>https://doi.org/10.1093/ageing/22.1.46</w:t>
        </w:r>
      </w:hyperlink>
      <w:r w:rsidRPr="000E6E5F">
        <w:rPr>
          <w:rFonts w:ascii="Ebrima" w:hAnsi="Ebrima" w:cs="Arial"/>
          <w:sz w:val="22"/>
          <w:szCs w:val="22"/>
          <w:lang w:val="en-US"/>
        </w:rPr>
        <w:t xml:space="preserve"> </w:t>
      </w:r>
    </w:p>
    <w:p w14:paraId="01A90BBB" w14:textId="270B18D2" w:rsidR="00E92B95" w:rsidRPr="00E92B95" w:rsidRDefault="00E92B95" w:rsidP="00784EDD">
      <w:pPr>
        <w:pStyle w:val="StandardWeb"/>
        <w:spacing w:before="0" w:beforeAutospacing="0" w:after="120" w:afterAutospacing="0" w:line="276" w:lineRule="auto"/>
        <w:ind w:left="720" w:hanging="720"/>
        <w:jc w:val="both"/>
        <w:rPr>
          <w:rFonts w:ascii="Ebrima" w:hAnsi="Ebrima" w:cs="Arial"/>
          <w:sz w:val="22"/>
          <w:szCs w:val="22"/>
        </w:rPr>
      </w:pPr>
      <w:bookmarkStart w:id="61" w:name="suzuki2009"/>
      <w:r w:rsidRPr="00E92B95">
        <w:rPr>
          <w:rFonts w:ascii="Ebrima" w:hAnsi="Ebrima" w:cs="Arial"/>
          <w:sz w:val="22"/>
          <w:szCs w:val="22"/>
        </w:rPr>
        <w:t xml:space="preserve">Suzuki, S., Brown, C. M., &amp; Wise, P. M. (2009). Neuroprotective effects of estrogens following ischemic stroke. Frontiers in Neuroendocrinology, 30(2), 201–211. </w:t>
      </w:r>
      <w:hyperlink r:id="rId44" w:history="1">
        <w:r w:rsidR="00E72797" w:rsidRPr="00CA4045">
          <w:rPr>
            <w:rStyle w:val="Hyperlink"/>
            <w:rFonts w:ascii="Ebrima" w:hAnsi="Ebrima" w:cs="Arial"/>
            <w:sz w:val="22"/>
            <w:szCs w:val="22"/>
          </w:rPr>
          <w:t>https://doi.org/10.1016/j.yfrne.2009.04.007</w:t>
        </w:r>
      </w:hyperlink>
      <w:r w:rsidR="00E72797">
        <w:rPr>
          <w:rFonts w:ascii="Ebrima" w:hAnsi="Ebrima" w:cs="Arial"/>
          <w:sz w:val="22"/>
          <w:szCs w:val="22"/>
        </w:rPr>
        <w:t xml:space="preserve"> </w:t>
      </w:r>
    </w:p>
    <w:p w14:paraId="76EE3172" w14:textId="5EE6DF82" w:rsidR="00526DFC" w:rsidRPr="000E6E5F" w:rsidRDefault="00526DFC" w:rsidP="00784EDD">
      <w:pPr>
        <w:pStyle w:val="StandardWeb"/>
        <w:spacing w:before="0" w:beforeAutospacing="0" w:after="120" w:afterAutospacing="0" w:line="276" w:lineRule="auto"/>
        <w:ind w:left="720" w:hanging="720"/>
        <w:jc w:val="both"/>
        <w:rPr>
          <w:rFonts w:ascii="Ebrima" w:hAnsi="Ebrima" w:cs="Arial"/>
          <w:sz w:val="22"/>
          <w:szCs w:val="22"/>
          <w:lang w:val="en-US"/>
        </w:rPr>
      </w:pPr>
      <w:bookmarkStart w:id="62" w:name="tenbrink2016"/>
      <w:bookmarkEnd w:id="61"/>
      <w:r w:rsidRPr="00630392">
        <w:rPr>
          <w:rFonts w:ascii="Ebrima" w:hAnsi="Ebrima" w:cs="Arial"/>
          <w:sz w:val="22"/>
          <w:szCs w:val="22"/>
          <w:lang w:val="en-US"/>
        </w:rPr>
        <w:t xml:space="preserve">Ten Brink, A. F., Verwer, J. H., Biesbroek, J. M., Visser-Meily, J. M. A., &amp; Nijboer, T. C. W. (2016). </w:t>
      </w:r>
      <w:r w:rsidRPr="00526DFC">
        <w:rPr>
          <w:rFonts w:ascii="Ebrima" w:hAnsi="Ebrima" w:cs="Arial"/>
          <w:sz w:val="22"/>
          <w:szCs w:val="22"/>
          <w:lang w:val="en-US"/>
        </w:rPr>
        <w:t xml:space="preserve">Differences between left- and right-sided neglect revisited: A large cohort study across multiple domains. Journal of Clinical and Experimental Neuropsychology, 39(7), 707–723. </w:t>
      </w:r>
      <w:hyperlink r:id="rId45" w:history="1">
        <w:r w:rsidRPr="006401FB">
          <w:rPr>
            <w:rStyle w:val="Hyperlink"/>
            <w:rFonts w:ascii="Ebrima" w:hAnsi="Ebrima" w:cs="Arial"/>
            <w:sz w:val="22"/>
            <w:szCs w:val="22"/>
            <w:lang w:val="en-US"/>
          </w:rPr>
          <w:t>https://doi.org/10.1080/13803395.2016.1262333</w:t>
        </w:r>
      </w:hyperlink>
      <w:r>
        <w:rPr>
          <w:rFonts w:ascii="Ebrima" w:hAnsi="Ebrima" w:cs="Arial"/>
          <w:sz w:val="22"/>
          <w:szCs w:val="22"/>
          <w:lang w:val="en-US"/>
        </w:rPr>
        <w:t xml:space="preserve"> </w:t>
      </w:r>
    </w:p>
    <w:bookmarkEnd w:id="60"/>
    <w:bookmarkEnd w:id="62"/>
    <w:p w14:paraId="1CA9BB46" w14:textId="029B508D" w:rsidR="00784EDD" w:rsidRDefault="00784EDD" w:rsidP="00784EDD">
      <w:pPr>
        <w:pStyle w:val="StandardWeb"/>
        <w:spacing w:before="0" w:beforeAutospacing="0" w:after="120" w:afterAutospacing="0" w:line="276" w:lineRule="auto"/>
        <w:ind w:left="720" w:hanging="720"/>
        <w:jc w:val="both"/>
        <w:rPr>
          <w:rFonts w:ascii="Ebrima" w:hAnsi="Ebrima" w:cs="Arial"/>
          <w:sz w:val="22"/>
          <w:szCs w:val="22"/>
        </w:rPr>
      </w:pPr>
      <w:r w:rsidRPr="00E92B95">
        <w:rPr>
          <w:rFonts w:ascii="Ebrima" w:hAnsi="Ebrima" w:cs="Arial"/>
          <w:sz w:val="22"/>
          <w:szCs w:val="22"/>
          <w:lang w:val="de-DE"/>
        </w:rPr>
        <w:t xml:space="preserve">Weintraub, S., &amp; Mesulam, M. M. (1985). </w:t>
      </w:r>
      <w:r w:rsidRPr="002B5F04">
        <w:rPr>
          <w:rFonts w:ascii="Ebrima" w:hAnsi="Ebrima" w:cs="Arial"/>
          <w:sz w:val="22"/>
          <w:szCs w:val="22"/>
        </w:rPr>
        <w:t xml:space="preserve">Mental state assessment of the young and elderly adults in behavioral neurology. In M. M. Mesulam (Ed.), Principles of Behavioral Neurology (pp. 71–123). Philadelphia, PA: FA Davis </w:t>
      </w:r>
    </w:p>
    <w:p w14:paraId="1B6DDABC" w14:textId="3C0170D9" w:rsidR="00E92B95" w:rsidRPr="002B5F04" w:rsidRDefault="00E92B95" w:rsidP="00784EDD">
      <w:pPr>
        <w:pStyle w:val="StandardWeb"/>
        <w:spacing w:before="0" w:beforeAutospacing="0" w:after="120" w:afterAutospacing="0" w:line="276" w:lineRule="auto"/>
        <w:ind w:left="720" w:hanging="720"/>
        <w:jc w:val="both"/>
        <w:rPr>
          <w:rFonts w:ascii="Ebrima" w:hAnsi="Ebrima" w:cs="Arial"/>
          <w:sz w:val="22"/>
          <w:szCs w:val="22"/>
        </w:rPr>
      </w:pPr>
      <w:bookmarkStart w:id="63" w:name="wise2001"/>
      <w:r w:rsidRPr="00E92B95">
        <w:rPr>
          <w:rFonts w:ascii="Ebrima" w:hAnsi="Ebrima" w:cs="Arial"/>
          <w:sz w:val="22"/>
          <w:szCs w:val="22"/>
        </w:rPr>
        <w:t xml:space="preserve">Wise, P. M., Dubal, D. B., Wilson, M. E., Rau, S. W., Böttner, M., &amp; Rosewell, K. L. (2001). Estradiol is a protective factor in the adult and aging brain: understanding of mechanisms </w:t>
      </w:r>
      <w:r w:rsidRPr="00E92B95">
        <w:rPr>
          <w:rFonts w:ascii="Ebrima" w:hAnsi="Ebrima" w:cs="Arial"/>
          <w:sz w:val="22"/>
          <w:szCs w:val="22"/>
        </w:rPr>
        <w:lastRenderedPageBreak/>
        <w:t xml:space="preserve">derived from in vivo and in vitro studies. Brain Research Reviews, 37(1-3), 313–319. </w:t>
      </w:r>
      <w:hyperlink r:id="rId46" w:history="1">
        <w:r w:rsidRPr="00CA4045">
          <w:rPr>
            <w:rStyle w:val="Hyperlink"/>
            <w:rFonts w:ascii="Ebrima" w:hAnsi="Ebrima" w:cs="Arial"/>
            <w:sz w:val="22"/>
            <w:szCs w:val="22"/>
          </w:rPr>
          <w:t>https://doi.org/10.1016/s0165-0173(01)00136-9</w:t>
        </w:r>
      </w:hyperlink>
      <w:r>
        <w:rPr>
          <w:rFonts w:ascii="Ebrima" w:hAnsi="Ebrima" w:cs="Arial"/>
          <w:sz w:val="22"/>
          <w:szCs w:val="22"/>
        </w:rPr>
        <w:t xml:space="preserve"> </w:t>
      </w:r>
    </w:p>
    <w:bookmarkEnd w:id="59"/>
    <w:bookmarkEnd w:id="63"/>
    <w:p w14:paraId="609FBC30" w14:textId="77777777" w:rsidR="00784EDD" w:rsidRDefault="00784EDD" w:rsidP="00232F09">
      <w:pPr>
        <w:pStyle w:val="StandardWeb"/>
        <w:spacing w:before="0" w:beforeAutospacing="0" w:after="120" w:afterAutospacing="0" w:line="276" w:lineRule="auto"/>
        <w:ind w:left="720" w:hanging="720"/>
        <w:jc w:val="both"/>
        <w:rPr>
          <w:rFonts w:ascii="Ebrima" w:hAnsi="Ebrima" w:cs="Arial"/>
          <w:sz w:val="22"/>
          <w:szCs w:val="22"/>
        </w:rPr>
      </w:pPr>
    </w:p>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4828141B" w14:textId="2F3E09A8" w:rsidR="00F76B93" w:rsidRPr="00F76B93" w:rsidRDefault="00F76B93" w:rsidP="00F76B93">
      <w:pPr>
        <w:pStyle w:val="berschrift2"/>
        <w:rPr>
          <w:b w:val="0"/>
          <w:bCs w:val="0"/>
        </w:rPr>
      </w:pPr>
      <w:bookmarkStart w:id="64" w:name="_Toc108612561"/>
      <w:r w:rsidRPr="00F76B93">
        <w:rPr>
          <w:b w:val="0"/>
          <w:bCs w:val="0"/>
        </w:rPr>
        <w:lastRenderedPageBreak/>
        <w:t>Appendix</w:t>
      </w:r>
      <w:bookmarkEnd w:id="64"/>
    </w:p>
    <w:p w14:paraId="147D8AAF" w14:textId="77777777" w:rsidR="00F76B93" w:rsidRPr="00F76B93" w:rsidRDefault="00F76B93" w:rsidP="00F76B93"/>
    <w:p w14:paraId="2CAAA965" w14:textId="33904D51" w:rsidR="0089785B" w:rsidRDefault="00F76B93" w:rsidP="00F76B93">
      <w:pPr>
        <w:pStyle w:val="berschrift3"/>
      </w:pPr>
      <w:bookmarkStart w:id="65" w:name="_Toc108612562"/>
      <w:r>
        <w:t>Appendix A: List of Abbreviations</w:t>
      </w:r>
      <w:bookmarkEnd w:id="65"/>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F76B93" w14:paraId="007BC30F" w14:textId="77777777" w:rsidTr="00F76B93">
        <w:tc>
          <w:tcPr>
            <w:tcW w:w="4531" w:type="dxa"/>
          </w:tcPr>
          <w:p w14:paraId="7BC286C3" w14:textId="55824AF6" w:rsidR="00F76B93" w:rsidRDefault="00F76B93" w:rsidP="00F76B93">
            <w:r>
              <w:t>CoC</w:t>
            </w:r>
          </w:p>
        </w:tc>
        <w:tc>
          <w:tcPr>
            <w:tcW w:w="4531" w:type="dxa"/>
          </w:tcPr>
          <w:p w14:paraId="70B8E6D1" w14:textId="5AF68FD7" w:rsidR="00F76B93" w:rsidRDefault="00F76B93" w:rsidP="00F76B93">
            <w:r>
              <w:t>Centre of Cancellation</w:t>
            </w:r>
          </w:p>
        </w:tc>
      </w:tr>
    </w:tbl>
    <w:p w14:paraId="62F642AE" w14:textId="6D53E6C1" w:rsidR="00F76B93" w:rsidRPr="00F76B93" w:rsidRDefault="00F76B93" w:rsidP="00F76B93"/>
    <w:p w14:paraId="722532CD" w14:textId="77777777" w:rsidR="0089785B" w:rsidRPr="0089785B" w:rsidRDefault="0089785B" w:rsidP="0089785B"/>
    <w:sectPr w:rsidR="0089785B" w:rsidRPr="0089785B"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E26B07" w14:textId="77777777" w:rsidR="007554C4" w:rsidRDefault="007554C4" w:rsidP="00CB3E93">
      <w:pPr>
        <w:spacing w:after="0" w:line="240" w:lineRule="auto"/>
      </w:pPr>
      <w:r>
        <w:separator/>
      </w:r>
    </w:p>
  </w:endnote>
  <w:endnote w:type="continuationSeparator" w:id="0">
    <w:p w14:paraId="6B3B8271" w14:textId="77777777" w:rsidR="007554C4" w:rsidRDefault="007554C4"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rima">
    <w:altName w:val="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AFF" w:usb1="C0007843" w:usb2="00000009" w:usb3="00000000" w:csb0="000001FF"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3F9A3F" w14:textId="77777777" w:rsidR="007554C4" w:rsidRDefault="007554C4" w:rsidP="00CB3E93">
      <w:pPr>
        <w:spacing w:after="0" w:line="240" w:lineRule="auto"/>
      </w:pPr>
      <w:r>
        <w:separator/>
      </w:r>
    </w:p>
  </w:footnote>
  <w:footnote w:type="continuationSeparator" w:id="0">
    <w:p w14:paraId="57DC9D5F" w14:textId="77777777" w:rsidR="007554C4" w:rsidRDefault="007554C4"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1"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4E11F94"/>
    <w:multiLevelType w:val="hybridMultilevel"/>
    <w:tmpl w:val="2A7C29FA"/>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C024D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14094"/>
    <w:rsid w:val="000202B2"/>
    <w:rsid w:val="0002238E"/>
    <w:rsid w:val="0002756A"/>
    <w:rsid w:val="00041584"/>
    <w:rsid w:val="000516EB"/>
    <w:rsid w:val="0005473C"/>
    <w:rsid w:val="00086760"/>
    <w:rsid w:val="000B5533"/>
    <w:rsid w:val="000E18A1"/>
    <w:rsid w:val="000E5F13"/>
    <w:rsid w:val="000E6E5F"/>
    <w:rsid w:val="001046FF"/>
    <w:rsid w:val="001075F2"/>
    <w:rsid w:val="00112A19"/>
    <w:rsid w:val="00147B1C"/>
    <w:rsid w:val="001576FC"/>
    <w:rsid w:val="0016305E"/>
    <w:rsid w:val="00164442"/>
    <w:rsid w:val="00165A5A"/>
    <w:rsid w:val="0018191A"/>
    <w:rsid w:val="00186647"/>
    <w:rsid w:val="001A7EFA"/>
    <w:rsid w:val="001C577B"/>
    <w:rsid w:val="001D1988"/>
    <w:rsid w:val="001D4A41"/>
    <w:rsid w:val="001D5A1E"/>
    <w:rsid w:val="0020779B"/>
    <w:rsid w:val="00211340"/>
    <w:rsid w:val="00232B4F"/>
    <w:rsid w:val="00232F09"/>
    <w:rsid w:val="00242682"/>
    <w:rsid w:val="00243C12"/>
    <w:rsid w:val="00246198"/>
    <w:rsid w:val="002571FF"/>
    <w:rsid w:val="0028026F"/>
    <w:rsid w:val="002865F3"/>
    <w:rsid w:val="002A492C"/>
    <w:rsid w:val="002A50CB"/>
    <w:rsid w:val="002A737C"/>
    <w:rsid w:val="002B5F04"/>
    <w:rsid w:val="002C04FD"/>
    <w:rsid w:val="002C341C"/>
    <w:rsid w:val="002C590D"/>
    <w:rsid w:val="002D7D48"/>
    <w:rsid w:val="00302C6D"/>
    <w:rsid w:val="00312819"/>
    <w:rsid w:val="003230D5"/>
    <w:rsid w:val="003231E9"/>
    <w:rsid w:val="00326D20"/>
    <w:rsid w:val="003454B0"/>
    <w:rsid w:val="00350FC4"/>
    <w:rsid w:val="0037625B"/>
    <w:rsid w:val="00391FEC"/>
    <w:rsid w:val="0039238E"/>
    <w:rsid w:val="0039415E"/>
    <w:rsid w:val="003B65EB"/>
    <w:rsid w:val="003E4337"/>
    <w:rsid w:val="003E6FF7"/>
    <w:rsid w:val="00413D4E"/>
    <w:rsid w:val="004148D1"/>
    <w:rsid w:val="00414B1A"/>
    <w:rsid w:val="00430B12"/>
    <w:rsid w:val="00431907"/>
    <w:rsid w:val="004331E1"/>
    <w:rsid w:val="00444BBB"/>
    <w:rsid w:val="00471D19"/>
    <w:rsid w:val="004779C8"/>
    <w:rsid w:val="00483B4A"/>
    <w:rsid w:val="004A4ACD"/>
    <w:rsid w:val="004B4F48"/>
    <w:rsid w:val="004C0C4D"/>
    <w:rsid w:val="004D0CF4"/>
    <w:rsid w:val="004D5A5E"/>
    <w:rsid w:val="004F1D60"/>
    <w:rsid w:val="005040E8"/>
    <w:rsid w:val="00517FAB"/>
    <w:rsid w:val="00524012"/>
    <w:rsid w:val="00526DFC"/>
    <w:rsid w:val="00542A58"/>
    <w:rsid w:val="005436F9"/>
    <w:rsid w:val="00560247"/>
    <w:rsid w:val="00571F7F"/>
    <w:rsid w:val="00576C77"/>
    <w:rsid w:val="00590084"/>
    <w:rsid w:val="005973D0"/>
    <w:rsid w:val="005A7ED5"/>
    <w:rsid w:val="005B4C29"/>
    <w:rsid w:val="005B5334"/>
    <w:rsid w:val="005B6533"/>
    <w:rsid w:val="005C04EA"/>
    <w:rsid w:val="005C0690"/>
    <w:rsid w:val="005C2706"/>
    <w:rsid w:val="00606AF9"/>
    <w:rsid w:val="00610D0A"/>
    <w:rsid w:val="00610E4A"/>
    <w:rsid w:val="00630392"/>
    <w:rsid w:val="00640AD0"/>
    <w:rsid w:val="006616EB"/>
    <w:rsid w:val="006639D2"/>
    <w:rsid w:val="00673040"/>
    <w:rsid w:val="00673432"/>
    <w:rsid w:val="00674295"/>
    <w:rsid w:val="00675330"/>
    <w:rsid w:val="00685B48"/>
    <w:rsid w:val="00687525"/>
    <w:rsid w:val="00695745"/>
    <w:rsid w:val="006A5AAF"/>
    <w:rsid w:val="006C4739"/>
    <w:rsid w:val="006C6739"/>
    <w:rsid w:val="006D687B"/>
    <w:rsid w:val="006F4663"/>
    <w:rsid w:val="00702D92"/>
    <w:rsid w:val="00714546"/>
    <w:rsid w:val="007328BA"/>
    <w:rsid w:val="007554C4"/>
    <w:rsid w:val="0076190C"/>
    <w:rsid w:val="00761D5C"/>
    <w:rsid w:val="00762A97"/>
    <w:rsid w:val="00784EDD"/>
    <w:rsid w:val="00794574"/>
    <w:rsid w:val="00795A1D"/>
    <w:rsid w:val="0079758D"/>
    <w:rsid w:val="007A78F7"/>
    <w:rsid w:val="007B1076"/>
    <w:rsid w:val="007B6976"/>
    <w:rsid w:val="007C0498"/>
    <w:rsid w:val="007C6FEB"/>
    <w:rsid w:val="007E629A"/>
    <w:rsid w:val="00813963"/>
    <w:rsid w:val="008223D8"/>
    <w:rsid w:val="00830D58"/>
    <w:rsid w:val="00832BF8"/>
    <w:rsid w:val="00834B09"/>
    <w:rsid w:val="00864208"/>
    <w:rsid w:val="008708D1"/>
    <w:rsid w:val="00875CAE"/>
    <w:rsid w:val="0089785B"/>
    <w:rsid w:val="008A06EC"/>
    <w:rsid w:val="008C25F3"/>
    <w:rsid w:val="008C577B"/>
    <w:rsid w:val="00905EE0"/>
    <w:rsid w:val="00915BD7"/>
    <w:rsid w:val="0091657D"/>
    <w:rsid w:val="00950A3D"/>
    <w:rsid w:val="009731CF"/>
    <w:rsid w:val="009C0B9C"/>
    <w:rsid w:val="009D2496"/>
    <w:rsid w:val="009D6F84"/>
    <w:rsid w:val="009F4233"/>
    <w:rsid w:val="009F4AD7"/>
    <w:rsid w:val="00A0198A"/>
    <w:rsid w:val="00A022ED"/>
    <w:rsid w:val="00A02678"/>
    <w:rsid w:val="00A06922"/>
    <w:rsid w:val="00A17362"/>
    <w:rsid w:val="00A21640"/>
    <w:rsid w:val="00A32570"/>
    <w:rsid w:val="00A34918"/>
    <w:rsid w:val="00A40F89"/>
    <w:rsid w:val="00A579A3"/>
    <w:rsid w:val="00A75CFC"/>
    <w:rsid w:val="00A90A65"/>
    <w:rsid w:val="00A92737"/>
    <w:rsid w:val="00A963A4"/>
    <w:rsid w:val="00A96B43"/>
    <w:rsid w:val="00A971AC"/>
    <w:rsid w:val="00AB2066"/>
    <w:rsid w:val="00AC7987"/>
    <w:rsid w:val="00AE4D79"/>
    <w:rsid w:val="00AF7E97"/>
    <w:rsid w:val="00B20FE2"/>
    <w:rsid w:val="00B32336"/>
    <w:rsid w:val="00B34F2E"/>
    <w:rsid w:val="00B4546E"/>
    <w:rsid w:val="00B635A7"/>
    <w:rsid w:val="00B72E11"/>
    <w:rsid w:val="00B95806"/>
    <w:rsid w:val="00BA3830"/>
    <w:rsid w:val="00BA71B9"/>
    <w:rsid w:val="00BC4A5A"/>
    <w:rsid w:val="00BD519E"/>
    <w:rsid w:val="00BE0402"/>
    <w:rsid w:val="00BF46F4"/>
    <w:rsid w:val="00C02C4C"/>
    <w:rsid w:val="00C0607F"/>
    <w:rsid w:val="00C11106"/>
    <w:rsid w:val="00C12040"/>
    <w:rsid w:val="00C16AA8"/>
    <w:rsid w:val="00C16B0E"/>
    <w:rsid w:val="00C3717E"/>
    <w:rsid w:val="00C3765C"/>
    <w:rsid w:val="00C611B1"/>
    <w:rsid w:val="00C654D1"/>
    <w:rsid w:val="00C7619D"/>
    <w:rsid w:val="00C9119D"/>
    <w:rsid w:val="00CA0BD8"/>
    <w:rsid w:val="00CA589B"/>
    <w:rsid w:val="00CB3E93"/>
    <w:rsid w:val="00CD5323"/>
    <w:rsid w:val="00D042B6"/>
    <w:rsid w:val="00D06FE6"/>
    <w:rsid w:val="00D2171B"/>
    <w:rsid w:val="00D23577"/>
    <w:rsid w:val="00D31EC1"/>
    <w:rsid w:val="00D3582F"/>
    <w:rsid w:val="00D5222F"/>
    <w:rsid w:val="00D55BE9"/>
    <w:rsid w:val="00D734A2"/>
    <w:rsid w:val="00D847CA"/>
    <w:rsid w:val="00DA3C71"/>
    <w:rsid w:val="00DA4271"/>
    <w:rsid w:val="00DB4813"/>
    <w:rsid w:val="00DC3681"/>
    <w:rsid w:val="00DF6977"/>
    <w:rsid w:val="00E0356F"/>
    <w:rsid w:val="00E16000"/>
    <w:rsid w:val="00E25D0D"/>
    <w:rsid w:val="00E72797"/>
    <w:rsid w:val="00E74554"/>
    <w:rsid w:val="00E755F0"/>
    <w:rsid w:val="00E8007F"/>
    <w:rsid w:val="00E81901"/>
    <w:rsid w:val="00E918BD"/>
    <w:rsid w:val="00E924CB"/>
    <w:rsid w:val="00E92B95"/>
    <w:rsid w:val="00EA18A1"/>
    <w:rsid w:val="00EA6BA6"/>
    <w:rsid w:val="00EA784A"/>
    <w:rsid w:val="00EB1083"/>
    <w:rsid w:val="00EB2D5A"/>
    <w:rsid w:val="00EB6BC9"/>
    <w:rsid w:val="00ED13AD"/>
    <w:rsid w:val="00EE167C"/>
    <w:rsid w:val="00EE67DD"/>
    <w:rsid w:val="00F0498E"/>
    <w:rsid w:val="00F21ABC"/>
    <w:rsid w:val="00F37C63"/>
    <w:rsid w:val="00F540D7"/>
    <w:rsid w:val="00F76B93"/>
    <w:rsid w:val="00F81109"/>
    <w:rsid w:val="00F94A8F"/>
    <w:rsid w:val="00FC151A"/>
    <w:rsid w:val="00FE4CA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A784A"/>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UnresolvedMention">
    <w:name w:val="Unresolved Mention"/>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mathworks.com/products/matlab.html" TargetMode="External"/><Relationship Id="rId13" Type="http://schemas.openxmlformats.org/officeDocument/2006/relationships/hyperlink" Target="https://www.nitrc.org/projects/mricron/" TargetMode="External"/><Relationship Id="rId18" Type="http://schemas.openxmlformats.org/officeDocument/2006/relationships/hyperlink" Target="https://doi.org/10.1038/s41467-021-23492-3" TargetMode="External"/><Relationship Id="rId26" Type="http://schemas.openxmlformats.org/officeDocument/2006/relationships/hyperlink" Target="https://doi.org/10.1016/S1474-4422(21)00252-0" TargetMode="External"/><Relationship Id="rId39" Type="http://schemas.openxmlformats.org/officeDocument/2006/relationships/hyperlink" Target="https://doi.org/10.1038/jcbfm.2014.186" TargetMode="External"/><Relationship Id="rId3" Type="http://schemas.openxmlformats.org/officeDocument/2006/relationships/styles" Target="styles.xml"/><Relationship Id="rId21" Type="http://schemas.openxmlformats.org/officeDocument/2006/relationships/hyperlink" Target="https://doi.org/10.1212/01.wnl.0000113730.73031.f4" TargetMode="External"/><Relationship Id="rId34" Type="http://schemas.openxmlformats.org/officeDocument/2006/relationships/hyperlink" Target="https://doi.org/10.1055/s-0038-1649503" TargetMode="External"/><Relationship Id="rId42" Type="http://schemas.openxmlformats.org/officeDocument/2006/relationships/hyperlink" Target="https://doi.org/10.1016/j.neuropsychologia.2010.04.018"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nitrc.org/projects/mricron/" TargetMode="External"/><Relationship Id="rId17" Type="http://schemas.openxmlformats.org/officeDocument/2006/relationships/hyperlink" Target="https://doi.org/10.1016/s0010-9452(78)80016-1" TargetMode="External"/><Relationship Id="rId25" Type="http://schemas.openxmlformats.org/officeDocument/2006/relationships/hyperlink" Target="https://doi.org/10.1016/s0140-6736(13)61953-4" TargetMode="External"/><Relationship Id="rId33" Type="http://schemas.openxmlformats.org/officeDocument/2006/relationships/hyperlink" Target="https://doi.org/10.1007/7657_2019_18" TargetMode="External"/><Relationship Id="rId38" Type="http://schemas.openxmlformats.org/officeDocument/2006/relationships/hyperlink" Target="https://doi.org/10.1016/j.brainres.2013.01.023" TargetMode="External"/><Relationship Id="rId46" Type="http://schemas.openxmlformats.org/officeDocument/2006/relationships/hyperlink" Target="https://doi.org/10.1016/s0165-0173(01)00136-9" TargetMode="External"/><Relationship Id="rId2" Type="http://schemas.openxmlformats.org/officeDocument/2006/relationships/numbering" Target="numbering.xml"/><Relationship Id="rId16" Type="http://schemas.openxmlformats.org/officeDocument/2006/relationships/hyperlink" Target="https://doi.org/10.1016/s0010-9452(97)80002-0" TargetMode="External"/><Relationship Id="rId20" Type="http://schemas.openxmlformats.org/officeDocument/2006/relationships/hyperlink" Target="https://doi.org/10.1177/0271678x18793324" TargetMode="External"/><Relationship Id="rId29" Type="http://schemas.openxmlformats.org/officeDocument/2006/relationships/hyperlink" Target="https://doi.org/10.3109/13697137.2012.656254" TargetMode="External"/><Relationship Id="rId41" Type="http://schemas.openxmlformats.org/officeDocument/2006/relationships/hyperlink" Target="https://doi.org/10.1155/2000/4217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itrc.org/projects/clinicaltbx" TargetMode="External"/><Relationship Id="rId24" Type="http://schemas.openxmlformats.org/officeDocument/2006/relationships/hyperlink" Target="https://doi.org/10.1016/j.neuropsychologia.2017.10.021" TargetMode="External"/><Relationship Id="rId32" Type="http://schemas.openxmlformats.org/officeDocument/2006/relationships/hyperlink" Target="https://doi.org/10.1016/j.neuropsychologia.2011.06.027" TargetMode="External"/><Relationship Id="rId37" Type="http://schemas.openxmlformats.org/officeDocument/2006/relationships/hyperlink" Target="https://doi.org/10.1016/j.jneumeth.2008.03.002" TargetMode="External"/><Relationship Id="rId40" Type="http://schemas.openxmlformats.org/officeDocument/2006/relationships/hyperlink" Target="https://doi.org/10.1016/j.neuroimage.2012.03.020" TargetMode="External"/><Relationship Id="rId45" Type="http://schemas.openxmlformats.org/officeDocument/2006/relationships/hyperlink" Target="https://doi.org/10.1080/13803395.2016.1262333" TargetMode="External"/><Relationship Id="rId5" Type="http://schemas.openxmlformats.org/officeDocument/2006/relationships/webSettings" Target="webSettings.xml"/><Relationship Id="rId15" Type="http://schemas.openxmlformats.org/officeDocument/2006/relationships/hyperlink" Target="https://doi.org/10.1093/brain/awq011" TargetMode="External"/><Relationship Id="rId23" Type="http://schemas.openxmlformats.org/officeDocument/2006/relationships/hyperlink" Target="https://doi.org/10.1016/j.nicl.2015.06.013" TargetMode="External"/><Relationship Id="rId28" Type="http://schemas.openxmlformats.org/officeDocument/2006/relationships/hyperlink" Target="https://doi.org/10.1177/1073858409333069" TargetMode="External"/><Relationship Id="rId36" Type="http://schemas.openxmlformats.org/officeDocument/2006/relationships/hyperlink" Target="https://doi.org/10.1002/ana.20538" TargetMode="External"/><Relationship Id="rId10" Type="http://schemas.openxmlformats.org/officeDocument/2006/relationships/hyperlink" Target="https://www.nitrc.org/projects/mricron/" TargetMode="External"/><Relationship Id="rId19" Type="http://schemas.openxmlformats.org/officeDocument/2006/relationships/hyperlink" Target="https://doi.org/10.1161/01.str.30.6.1196" TargetMode="External"/><Relationship Id="rId31" Type="http://schemas.openxmlformats.org/officeDocument/2006/relationships/hyperlink" Target="https://doi.org/10.1016/j.neuropsychologia.2015.05.019" TargetMode="External"/><Relationship Id="rId44" Type="http://schemas.openxmlformats.org/officeDocument/2006/relationships/hyperlink" Target="https://doi.org/10.1016/j.yfrne.2009.04.007" TargetMode="External"/><Relationship Id="rId4" Type="http://schemas.openxmlformats.org/officeDocument/2006/relationships/settings" Target="settings.xml"/><Relationship Id="rId9" Type="http://schemas.openxmlformats.org/officeDocument/2006/relationships/hyperlink" Target="https://www.fil.ion.ucl.ac.uk/spm/software/spm12/" TargetMode="External"/><Relationship Id="rId14" Type="http://schemas.openxmlformats.org/officeDocument/2006/relationships/image" Target="media/image1.png"/><Relationship Id="rId22" Type="http://schemas.openxmlformats.org/officeDocument/2006/relationships/hyperlink" Target="https://doi.org/10.1055/s-0034-1396005" TargetMode="External"/><Relationship Id="rId27" Type="http://schemas.openxmlformats.org/officeDocument/2006/relationships/hyperlink" Target="https://doi.org/10.1038/jcbfm.2013.102" TargetMode="External"/><Relationship Id="rId30" Type="http://schemas.openxmlformats.org/officeDocument/2006/relationships/hyperlink" Target="https://doi.org/10.1093/brain/awh698" TargetMode="External"/><Relationship Id="rId35" Type="http://schemas.openxmlformats.org/officeDocument/2006/relationships/hyperlink" Target="https://doi.org/10.1136/practneurol-2015-001115" TargetMode="External"/><Relationship Id="rId43" Type="http://schemas.openxmlformats.org/officeDocument/2006/relationships/hyperlink" Target="https://doi.org/10.1093/ageing/22.1.46" TargetMode="External"/><Relationship Id="rId48" Type="http://schemas.openxmlformats.org/officeDocument/2006/relationships/theme" Target="theme/theme1.xm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05EFB-DD78-4134-8DD5-CA7515FCE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7056</Words>
  <Characters>40224</Characters>
  <Application>Microsoft Office Word</Application>
  <DocSecurity>0</DocSecurity>
  <Lines>335</Lines>
  <Paragraphs>94</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47186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61</cp:revision>
  <dcterms:created xsi:type="dcterms:W3CDTF">2022-04-28T07:58:00Z</dcterms:created>
  <dcterms:modified xsi:type="dcterms:W3CDTF">2022-08-01T13:24:00Z</dcterms:modified>
</cp:coreProperties>
</file>