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39A0E113" w:rsidR="00FC151A" w:rsidRPr="00FC151A" w:rsidRDefault="00E73160" w:rsidP="002A492C">
      <w:pPr>
        <w:pStyle w:val="Kopfzeile"/>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4B9D0629" w14:textId="1B497AC7" w:rsidR="00B73858" w:rsidRPr="00980B66" w:rsidRDefault="0020779B" w:rsidP="0020779B">
      <w:pPr>
        <w:pBdr>
          <w:top w:val="single" w:sz="6" w:space="1" w:color="auto"/>
          <w:bottom w:val="single" w:sz="6" w:space="1" w:color="auto"/>
        </w:pBdr>
        <w:jc w:val="center"/>
        <w:rPr>
          <w:rFonts w:cs="Arial"/>
          <w:bCs/>
          <w:sz w:val="28"/>
          <w:szCs w:val="28"/>
        </w:rPr>
      </w:pPr>
      <w:r w:rsidRPr="00980B66">
        <w:rPr>
          <w:rFonts w:cs="Arial"/>
          <w:bCs/>
          <w:sz w:val="28"/>
          <w:szCs w:val="28"/>
        </w:rPr>
        <w:t>“</w:t>
      </w:r>
      <w:r w:rsidR="00B73858" w:rsidRPr="00980B66">
        <w:rPr>
          <w:rFonts w:cs="Arial"/>
          <w:bCs/>
          <w:sz w:val="28"/>
          <w:szCs w:val="28"/>
        </w:rPr>
        <w:t>Let’s Talk About Sex (Differences), Baby -</w:t>
      </w:r>
    </w:p>
    <w:p w14:paraId="076C78D7" w14:textId="49228033" w:rsidR="0020779B" w:rsidRPr="00FC151A" w:rsidRDefault="0020779B" w:rsidP="0020779B">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r w:rsidRPr="00BC4A5A">
        <w:rPr>
          <w:sz w:val="24"/>
          <w:szCs w:val="24"/>
          <w:lang w:val="de-DE"/>
        </w:rPr>
        <w:t xml:space="preserve">Presented by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r w:rsidRPr="00BC4A5A">
        <w:rPr>
          <w:sz w:val="24"/>
          <w:szCs w:val="24"/>
          <w:lang w:val="de-DE"/>
        </w:rPr>
        <w:t>born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p w14:paraId="424ECEC8" w14:textId="69510F81" w:rsidR="00164442" w:rsidRDefault="00D91FE5" w:rsidP="00834B09">
      <w:r>
        <w:lastRenderedPageBreak/>
        <w:t>Table</w:t>
      </w:r>
      <w:r w:rsidR="00ED13AD">
        <w:t xml:space="preserv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00D5F79A" w14:textId="6ACFB3C1"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rPr>
            <w:t>1.</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rPr>
            <w:t>Introduction: Sex Differences in Neuropsychology</w:t>
          </w:r>
          <w:r>
            <w:rPr>
              <w:noProof/>
              <w:webHidden/>
            </w:rPr>
            <w:tab/>
            <w:t>7</w:t>
          </w:r>
        </w:p>
        <w:p w14:paraId="2B887875" w14:textId="1BF29AB3"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rPr>
            <w:t>1.1.</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 xml:space="preserve">Sex Differences in </w:t>
          </w:r>
          <w:r w:rsidRPr="00747EBA">
            <w:rPr>
              <w:rFonts w:ascii="Avenir Next LT Pro Light" w:eastAsiaTheme="majorEastAsia" w:hAnsi="Avenir Next LT Pro Light" w:cstheme="majorBidi"/>
              <w:noProof/>
              <w:spacing w:val="4"/>
              <w:lang w:val="en-US"/>
            </w:rPr>
            <w:t>Brain Connectivity</w:t>
          </w:r>
          <w:r>
            <w:rPr>
              <w:noProof/>
              <w:webHidden/>
            </w:rPr>
            <w:tab/>
            <w:t>7</w:t>
          </w:r>
        </w:p>
        <w:p w14:paraId="2D81EC1C" w14:textId="746BF969"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lang w:val="en-US"/>
            </w:rPr>
            <w:t>1.2.</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 xml:space="preserve">Sex Differences in </w:t>
          </w:r>
          <w:r w:rsidRPr="00747EBA">
            <w:rPr>
              <w:rFonts w:ascii="Avenir Next LT Pro Light" w:eastAsiaTheme="majorEastAsia" w:hAnsi="Avenir Next LT Pro Light" w:cstheme="majorBidi"/>
              <w:noProof/>
              <w:spacing w:val="4"/>
              <w:lang w:val="en-US"/>
            </w:rPr>
            <w:t>Stroke</w:t>
          </w:r>
          <w:r>
            <w:rPr>
              <w:noProof/>
              <w:webHidden/>
            </w:rPr>
            <w:tab/>
            <w:t>10</w:t>
          </w:r>
        </w:p>
        <w:p w14:paraId="6C4BB7B6" w14:textId="47D6EE75"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rPr>
            <w:t>1.3.</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Visuospatial Neglect</w:t>
          </w:r>
          <w:r>
            <w:rPr>
              <w:noProof/>
              <w:webHidden/>
            </w:rPr>
            <w:tab/>
            <w:t>13</w:t>
          </w:r>
        </w:p>
        <w:p w14:paraId="2FD3B8E4" w14:textId="47A742BC"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rPr>
            <w:t>1.4.</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Motivation</w:t>
          </w:r>
          <w:r>
            <w:rPr>
              <w:noProof/>
              <w:webHidden/>
            </w:rPr>
            <w:tab/>
            <w:t>17</w:t>
          </w:r>
        </w:p>
        <w:p w14:paraId="6868D71F" w14:textId="240861BF"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2.</w:t>
          </w:r>
          <w:r w:rsidRPr="00747EBA">
            <w:rPr>
              <w:rFonts w:asciiTheme="minorHAnsi" w:hAnsiTheme="minorHAnsi"/>
              <w:noProof/>
              <w:lang w:val="en-US" w:eastAsia="de-DE"/>
            </w:rPr>
            <w:tab/>
          </w:r>
          <w:r w:rsidRPr="00747EBA">
            <w:rPr>
              <w:rFonts w:ascii="Avenir Next LT Pro Light" w:hAnsi="Avenir Next LT Pro Light"/>
              <w:noProof/>
            </w:rPr>
            <w:t>Material &amp; Methods</w:t>
          </w:r>
          <w:r>
            <w:rPr>
              <w:noProof/>
              <w:webHidden/>
            </w:rPr>
            <w:tab/>
            <w:t>18</w:t>
          </w:r>
        </w:p>
        <w:p w14:paraId="1911A75E" w14:textId="5E9C5D64"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2.1.</w:t>
          </w:r>
          <w:r w:rsidRPr="00747EBA">
            <w:rPr>
              <w:rFonts w:asciiTheme="minorHAnsi" w:hAnsiTheme="minorHAnsi"/>
              <w:noProof/>
              <w:lang w:val="en-US" w:eastAsia="de-DE"/>
            </w:rPr>
            <w:tab/>
          </w:r>
          <w:r w:rsidRPr="00747EBA">
            <w:rPr>
              <w:rFonts w:ascii="Avenir Next LT Pro Light" w:hAnsi="Avenir Next LT Pro Light"/>
              <w:noProof/>
            </w:rPr>
            <w:t>Patient Sample</w:t>
          </w:r>
          <w:r>
            <w:rPr>
              <w:noProof/>
              <w:webHidden/>
            </w:rPr>
            <w:tab/>
            <w:t>18</w:t>
          </w:r>
        </w:p>
        <w:p w14:paraId="554E723A" w14:textId="16872213"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2.2.</w:t>
          </w:r>
          <w:r w:rsidRPr="00747EBA">
            <w:rPr>
              <w:rFonts w:asciiTheme="minorHAnsi" w:hAnsiTheme="minorHAnsi"/>
              <w:noProof/>
              <w:lang w:val="en-US" w:eastAsia="de-DE"/>
            </w:rPr>
            <w:tab/>
          </w:r>
          <w:r w:rsidRPr="00747EBA">
            <w:rPr>
              <w:rFonts w:ascii="Avenir Next LT Pro Light" w:hAnsi="Avenir Next LT Pro Light"/>
              <w:noProof/>
            </w:rPr>
            <w:t>Behavioural Data</w:t>
          </w:r>
          <w:r>
            <w:rPr>
              <w:noProof/>
              <w:webHidden/>
            </w:rPr>
            <w:tab/>
            <w:t>19</w:t>
          </w:r>
        </w:p>
        <w:p w14:paraId="3D80F3F0" w14:textId="1529C66E"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2.3.</w:t>
          </w:r>
          <w:r w:rsidRPr="00747EBA">
            <w:rPr>
              <w:rFonts w:asciiTheme="minorHAnsi" w:hAnsiTheme="minorHAnsi"/>
              <w:noProof/>
              <w:lang w:val="en-US" w:eastAsia="de-DE"/>
            </w:rPr>
            <w:tab/>
          </w:r>
          <w:r w:rsidRPr="00747EBA">
            <w:rPr>
              <w:rFonts w:ascii="Avenir Next LT Pro Light" w:hAnsi="Avenir Next LT Pro Light"/>
              <w:noProof/>
            </w:rPr>
            <w:t>Neuroimaging Data</w:t>
          </w:r>
          <w:r>
            <w:rPr>
              <w:noProof/>
              <w:webHidden/>
            </w:rPr>
            <w:tab/>
            <w:t>20</w:t>
          </w:r>
        </w:p>
        <w:p w14:paraId="171B0200" w14:textId="21FA16AA"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3.</w:t>
          </w:r>
          <w:r w:rsidRPr="00747EBA">
            <w:rPr>
              <w:rFonts w:asciiTheme="minorHAnsi" w:hAnsiTheme="minorHAnsi"/>
              <w:noProof/>
              <w:lang w:val="en-US" w:eastAsia="de-DE"/>
            </w:rPr>
            <w:tab/>
          </w:r>
          <w:r w:rsidRPr="00747EBA">
            <w:rPr>
              <w:rFonts w:ascii="Avenir Next LT Pro Light" w:hAnsi="Avenir Next LT Pro Light"/>
              <w:noProof/>
            </w:rPr>
            <w:t>Data Analysis</w:t>
          </w:r>
          <w:r>
            <w:rPr>
              <w:noProof/>
              <w:webHidden/>
            </w:rPr>
            <w:tab/>
            <w:t>22</w:t>
          </w:r>
        </w:p>
        <w:p w14:paraId="02287C3E" w14:textId="6E67B326"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3.1.</w:t>
          </w:r>
          <w:r w:rsidRPr="00747EBA">
            <w:rPr>
              <w:rFonts w:asciiTheme="minorHAnsi" w:hAnsiTheme="minorHAnsi"/>
              <w:noProof/>
              <w:lang w:val="en-US" w:eastAsia="de-DE"/>
            </w:rPr>
            <w:tab/>
          </w:r>
          <w:r w:rsidRPr="00747EBA">
            <w:rPr>
              <w:rFonts w:ascii="Avenir Next LT Pro Light" w:hAnsi="Avenir Next LT Pro Light"/>
              <w:noProof/>
            </w:rPr>
            <w:t>Voxel-based Lesion-Behaviour Mapping</w:t>
          </w:r>
          <w:r>
            <w:rPr>
              <w:noProof/>
              <w:webHidden/>
            </w:rPr>
            <w:tab/>
            <w:t>22</w:t>
          </w:r>
        </w:p>
        <w:p w14:paraId="6632F983" w14:textId="2A22B61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3.2.</w:t>
          </w:r>
          <w:r w:rsidRPr="00747EBA">
            <w:rPr>
              <w:rFonts w:asciiTheme="minorHAnsi" w:hAnsiTheme="minorHAnsi"/>
              <w:noProof/>
              <w:lang w:val="en-US" w:eastAsia="de-DE"/>
            </w:rPr>
            <w:tab/>
          </w:r>
          <w:r w:rsidRPr="00747EBA">
            <w:rPr>
              <w:rFonts w:ascii="Avenir Next LT Pro Light" w:hAnsi="Avenir Next LT Pro Light"/>
              <w:noProof/>
              <w:lang w:val="en-US"/>
            </w:rPr>
            <w:t>Whole-Brain Disconnectivity</w:t>
          </w:r>
          <w:r>
            <w:rPr>
              <w:noProof/>
              <w:webHidden/>
            </w:rPr>
            <w:tab/>
            <w:t>22</w:t>
          </w:r>
        </w:p>
        <w:p w14:paraId="4C9B1020" w14:textId="4EF4F746"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3.3.</w:t>
          </w:r>
          <w:r w:rsidRPr="00747EBA">
            <w:rPr>
              <w:rFonts w:asciiTheme="minorHAnsi" w:hAnsiTheme="minorHAnsi"/>
              <w:noProof/>
              <w:lang w:val="en-US" w:eastAsia="de-DE"/>
            </w:rPr>
            <w:tab/>
          </w:r>
          <w:r w:rsidRPr="00747EBA">
            <w:rPr>
              <w:rFonts w:ascii="Avenir Next LT Pro Light" w:hAnsi="Avenir Next LT Pro Light"/>
              <w:noProof/>
              <w:lang w:val="en-US"/>
            </w:rPr>
            <w:t>Region-to-Region Disconnectivity</w:t>
          </w:r>
          <w:r>
            <w:rPr>
              <w:noProof/>
              <w:webHidden/>
            </w:rPr>
            <w:tab/>
            <w:t>23</w:t>
          </w:r>
        </w:p>
        <w:p w14:paraId="73C67DEE" w14:textId="273639C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3.4.</w:t>
          </w:r>
          <w:r w:rsidRPr="00747EBA">
            <w:rPr>
              <w:rFonts w:asciiTheme="minorHAnsi" w:hAnsiTheme="minorHAnsi"/>
              <w:noProof/>
              <w:lang w:val="en-US" w:eastAsia="de-DE"/>
            </w:rPr>
            <w:tab/>
          </w:r>
          <w:r w:rsidRPr="00747EBA">
            <w:rPr>
              <w:rFonts w:ascii="Avenir Next LT Pro Light" w:hAnsi="Avenir Next LT Pro Light"/>
              <w:noProof/>
            </w:rPr>
            <w:t>Lesion-induced Increase in Shortest Structural Path Lengths (SSPLs)</w:t>
          </w:r>
          <w:r>
            <w:rPr>
              <w:noProof/>
              <w:webHidden/>
            </w:rPr>
            <w:tab/>
            <w:t>23</w:t>
          </w:r>
        </w:p>
        <w:p w14:paraId="20D9F94A" w14:textId="1A976A9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3.5.</w:t>
          </w:r>
          <w:r w:rsidRPr="00747EBA">
            <w:rPr>
              <w:rFonts w:asciiTheme="minorHAnsi" w:hAnsiTheme="minorHAnsi"/>
              <w:noProof/>
              <w:lang w:val="en-US" w:eastAsia="de-DE"/>
            </w:rPr>
            <w:tab/>
          </w:r>
          <w:r w:rsidRPr="00747EBA">
            <w:rPr>
              <w:rFonts w:ascii="Avenir Next LT Pro Light" w:hAnsi="Avenir Next LT Pro Light"/>
              <w:noProof/>
            </w:rPr>
            <w:t>Prediction of Patient Status</w:t>
          </w:r>
          <w:r>
            <w:rPr>
              <w:noProof/>
              <w:webHidden/>
            </w:rPr>
            <w:tab/>
            <w:t>24</w:t>
          </w:r>
        </w:p>
        <w:p w14:paraId="653D6006" w14:textId="110156B5"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4.</w:t>
          </w:r>
          <w:r w:rsidRPr="00747EBA">
            <w:rPr>
              <w:rFonts w:asciiTheme="minorHAnsi" w:hAnsiTheme="minorHAnsi"/>
              <w:noProof/>
              <w:lang w:val="en-US" w:eastAsia="de-DE"/>
            </w:rPr>
            <w:tab/>
          </w:r>
          <w:r w:rsidRPr="00747EBA">
            <w:rPr>
              <w:rFonts w:ascii="Avenir Next LT Pro Light" w:hAnsi="Avenir Next LT Pro Light"/>
              <w:noProof/>
            </w:rPr>
            <w:t>Results</w:t>
          </w:r>
          <w:r>
            <w:rPr>
              <w:noProof/>
              <w:webHidden/>
            </w:rPr>
            <w:tab/>
            <w:t>26</w:t>
          </w:r>
        </w:p>
        <w:p w14:paraId="7E99C5B4" w14:textId="6C2F261F"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4.1.</w:t>
          </w:r>
          <w:r w:rsidRPr="00747EBA">
            <w:rPr>
              <w:rFonts w:asciiTheme="minorHAnsi" w:hAnsiTheme="minorHAnsi"/>
              <w:noProof/>
              <w:lang w:val="en-US" w:eastAsia="de-DE"/>
            </w:rPr>
            <w:tab/>
          </w:r>
          <w:r w:rsidRPr="00747EBA">
            <w:rPr>
              <w:rFonts w:ascii="Avenir Next LT Pro Light" w:hAnsi="Avenir Next LT Pro Light"/>
              <w:noProof/>
              <w:lang w:val="en-US"/>
            </w:rPr>
            <w:t>Clinical and Demographic Data</w:t>
          </w:r>
          <w:r>
            <w:rPr>
              <w:noProof/>
              <w:webHidden/>
            </w:rPr>
            <w:tab/>
            <w:t>26</w:t>
          </w:r>
        </w:p>
        <w:p w14:paraId="6C42906F" w14:textId="6F8FAAF5"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4.2.</w:t>
          </w:r>
          <w:r w:rsidRPr="00747EBA">
            <w:rPr>
              <w:rFonts w:asciiTheme="minorHAnsi" w:hAnsiTheme="minorHAnsi"/>
              <w:noProof/>
              <w:lang w:val="en-US" w:eastAsia="de-DE"/>
            </w:rPr>
            <w:tab/>
          </w:r>
          <w:r w:rsidRPr="00747EBA">
            <w:rPr>
              <w:rFonts w:ascii="Avenir Next LT Pro Light" w:hAnsi="Avenir Next LT Pro Light"/>
              <w:noProof/>
            </w:rPr>
            <w:t>Voxel-based Lesion-Behaviour Mapping</w:t>
          </w:r>
          <w:r>
            <w:rPr>
              <w:noProof/>
              <w:webHidden/>
            </w:rPr>
            <w:tab/>
            <w:t>27</w:t>
          </w:r>
        </w:p>
        <w:p w14:paraId="50ABF0E1" w14:textId="2E27638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4.3.</w:t>
          </w:r>
          <w:r w:rsidRPr="00747EBA">
            <w:rPr>
              <w:rFonts w:asciiTheme="minorHAnsi" w:hAnsiTheme="minorHAnsi"/>
              <w:noProof/>
              <w:lang w:val="en-US" w:eastAsia="de-DE"/>
            </w:rPr>
            <w:tab/>
          </w:r>
          <w:r w:rsidRPr="00747EBA">
            <w:rPr>
              <w:rFonts w:ascii="Avenir Next LT Pro Light" w:hAnsi="Avenir Next LT Pro Light"/>
              <w:noProof/>
              <w:lang w:val="en-US"/>
            </w:rPr>
            <w:t>Whole-Brain Disconnectivity Mapping</w:t>
          </w:r>
          <w:r>
            <w:rPr>
              <w:noProof/>
              <w:webHidden/>
            </w:rPr>
            <w:tab/>
            <w:t>29</w:t>
          </w:r>
        </w:p>
        <w:p w14:paraId="6F44B9A2" w14:textId="45E111B6"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4.4.</w:t>
          </w:r>
          <w:r w:rsidRPr="00747EBA">
            <w:rPr>
              <w:rFonts w:asciiTheme="minorHAnsi" w:hAnsiTheme="minorHAnsi"/>
              <w:noProof/>
              <w:lang w:val="en-US" w:eastAsia="de-DE"/>
            </w:rPr>
            <w:tab/>
          </w:r>
          <w:r w:rsidRPr="00747EBA">
            <w:rPr>
              <w:rFonts w:ascii="Avenir Next LT Pro Light" w:hAnsi="Avenir Next LT Pro Light"/>
              <w:noProof/>
              <w:lang w:val="en-US"/>
            </w:rPr>
            <w:t>Region-to-Region Disconnectivity</w:t>
          </w:r>
          <w:r>
            <w:rPr>
              <w:noProof/>
              <w:webHidden/>
            </w:rPr>
            <w:tab/>
            <w:t>31</w:t>
          </w:r>
        </w:p>
        <w:p w14:paraId="3A926A26" w14:textId="4539ECB8"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4.5.</w:t>
          </w:r>
          <w:r w:rsidRPr="00747EBA">
            <w:rPr>
              <w:rFonts w:asciiTheme="minorHAnsi" w:hAnsiTheme="minorHAnsi"/>
              <w:noProof/>
              <w:lang w:val="en-US" w:eastAsia="de-DE"/>
            </w:rPr>
            <w:tab/>
          </w:r>
          <w:r w:rsidRPr="00747EBA">
            <w:rPr>
              <w:rFonts w:ascii="Avenir Next LT Pro Light" w:hAnsi="Avenir Next LT Pro Light"/>
              <w:noProof/>
              <w:lang w:val="en-US"/>
            </w:rPr>
            <w:t>Lesion-induced Increase in Shortest Structural Path Lengths (SSPLs)</w:t>
          </w:r>
          <w:r>
            <w:rPr>
              <w:noProof/>
              <w:webHidden/>
            </w:rPr>
            <w:tab/>
            <w:t>34</w:t>
          </w:r>
        </w:p>
        <w:p w14:paraId="1DFEF5AB" w14:textId="07DDA3C8"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4.6.</w:t>
          </w:r>
          <w:r w:rsidRPr="00747EBA">
            <w:rPr>
              <w:rFonts w:asciiTheme="minorHAnsi" w:hAnsiTheme="minorHAnsi"/>
              <w:noProof/>
              <w:lang w:val="en-US" w:eastAsia="de-DE"/>
            </w:rPr>
            <w:tab/>
          </w:r>
          <w:r w:rsidRPr="00747EBA">
            <w:rPr>
              <w:rFonts w:ascii="Avenir Next LT Pro Light" w:hAnsi="Avenir Next LT Pro Light"/>
              <w:noProof/>
              <w:lang w:val="en-US"/>
            </w:rPr>
            <w:t>Prediction of Patient Status</w:t>
          </w:r>
          <w:r>
            <w:rPr>
              <w:noProof/>
              <w:webHidden/>
            </w:rPr>
            <w:tab/>
            <w:t>35</w:t>
          </w:r>
        </w:p>
        <w:p w14:paraId="59236DFF" w14:textId="3021E155"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5.</w:t>
          </w:r>
          <w:r w:rsidRPr="00747EBA">
            <w:rPr>
              <w:rFonts w:asciiTheme="minorHAnsi" w:hAnsiTheme="minorHAnsi"/>
              <w:noProof/>
              <w:lang w:val="en-US" w:eastAsia="de-DE"/>
            </w:rPr>
            <w:tab/>
          </w:r>
          <w:r w:rsidRPr="00747EBA">
            <w:rPr>
              <w:rFonts w:ascii="Avenir Next LT Pro Light" w:hAnsi="Avenir Next LT Pro Light"/>
              <w:noProof/>
            </w:rPr>
            <w:t>Discussion</w:t>
          </w:r>
          <w:r>
            <w:rPr>
              <w:noProof/>
              <w:webHidden/>
            </w:rPr>
            <w:tab/>
            <w:t>37</w:t>
          </w:r>
        </w:p>
        <w:p w14:paraId="3F3FB76A" w14:textId="48482525"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5.1.</w:t>
          </w:r>
          <w:r w:rsidRPr="00747EBA">
            <w:rPr>
              <w:rFonts w:asciiTheme="minorHAnsi" w:hAnsiTheme="minorHAnsi"/>
              <w:noProof/>
              <w:lang w:val="en-US" w:eastAsia="de-DE"/>
            </w:rPr>
            <w:tab/>
          </w:r>
          <w:r w:rsidRPr="00747EBA">
            <w:rPr>
              <w:rFonts w:ascii="Avenir Next LT Pro Light" w:hAnsi="Avenir Next LT Pro Light"/>
              <w:noProof/>
            </w:rPr>
            <w:t>Clinical and Demographic Data</w:t>
          </w:r>
          <w:r>
            <w:rPr>
              <w:noProof/>
              <w:webHidden/>
            </w:rPr>
            <w:tab/>
            <w:t>37</w:t>
          </w:r>
        </w:p>
        <w:p w14:paraId="0A6C26F1" w14:textId="7F45A842"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5.2.</w:t>
          </w:r>
          <w:r w:rsidRPr="00747EBA">
            <w:rPr>
              <w:rFonts w:asciiTheme="minorHAnsi" w:hAnsiTheme="minorHAnsi"/>
              <w:noProof/>
              <w:lang w:val="en-US" w:eastAsia="de-DE"/>
            </w:rPr>
            <w:tab/>
          </w:r>
          <w:r w:rsidRPr="00747EBA">
            <w:rPr>
              <w:rFonts w:ascii="Avenir Next LT Pro Light" w:hAnsi="Avenir Next LT Pro Light"/>
              <w:noProof/>
            </w:rPr>
            <w:t>Voxel-based Lesion-Behaviour Mapping</w:t>
          </w:r>
          <w:r>
            <w:rPr>
              <w:noProof/>
              <w:webHidden/>
            </w:rPr>
            <w:tab/>
            <w:t>37</w:t>
          </w:r>
        </w:p>
        <w:p w14:paraId="721E9F53" w14:textId="02D20282"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5.3.</w:t>
          </w:r>
          <w:r w:rsidRPr="00747EBA">
            <w:rPr>
              <w:rFonts w:asciiTheme="minorHAnsi" w:hAnsiTheme="minorHAnsi"/>
              <w:noProof/>
              <w:lang w:val="en-US" w:eastAsia="de-DE"/>
            </w:rPr>
            <w:tab/>
          </w:r>
          <w:r w:rsidRPr="00747EBA">
            <w:rPr>
              <w:rFonts w:ascii="Avenir Next LT Pro Light" w:hAnsi="Avenir Next LT Pro Light"/>
              <w:noProof/>
            </w:rPr>
            <w:t>Whole-brain Disconnectivity</w:t>
          </w:r>
          <w:r>
            <w:rPr>
              <w:noProof/>
              <w:webHidden/>
            </w:rPr>
            <w:tab/>
            <w:t>37</w:t>
          </w:r>
        </w:p>
        <w:p w14:paraId="1BD320B3" w14:textId="114DFAAD"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5.4.</w:t>
          </w:r>
          <w:r w:rsidRPr="00747EBA">
            <w:rPr>
              <w:rFonts w:asciiTheme="minorHAnsi" w:hAnsiTheme="minorHAnsi"/>
              <w:noProof/>
              <w:lang w:val="en-US" w:eastAsia="de-DE"/>
            </w:rPr>
            <w:tab/>
          </w:r>
          <w:r w:rsidRPr="00747EBA">
            <w:rPr>
              <w:rFonts w:ascii="Avenir Next LT Pro Light" w:hAnsi="Avenir Next LT Pro Light"/>
              <w:noProof/>
            </w:rPr>
            <w:t>Region-to-Region Disconnectivity</w:t>
          </w:r>
          <w:r>
            <w:rPr>
              <w:noProof/>
              <w:webHidden/>
            </w:rPr>
            <w:tab/>
            <w:t>38</w:t>
          </w:r>
        </w:p>
        <w:p w14:paraId="0D9A3C16" w14:textId="02D257D9"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5.5.</w:t>
          </w:r>
          <w:r w:rsidRPr="00747EBA">
            <w:rPr>
              <w:rFonts w:asciiTheme="minorHAnsi" w:hAnsiTheme="minorHAnsi"/>
              <w:noProof/>
              <w:lang w:val="en-US" w:eastAsia="de-DE"/>
            </w:rPr>
            <w:tab/>
          </w:r>
          <w:r w:rsidRPr="00747EBA">
            <w:rPr>
              <w:rFonts w:ascii="Avenir Next LT Pro Light" w:hAnsi="Avenir Next LT Pro Light"/>
              <w:noProof/>
              <w:lang w:val="en-US"/>
            </w:rPr>
            <w:t xml:space="preserve">Lesion-induced Increase in </w:t>
          </w:r>
          <w:r w:rsidRPr="00747EBA">
            <w:rPr>
              <w:rFonts w:ascii="Avenir Next LT Pro Light" w:hAnsi="Avenir Next LT Pro Light"/>
              <w:noProof/>
            </w:rPr>
            <w:t>SSPLs</w:t>
          </w:r>
          <w:r>
            <w:rPr>
              <w:noProof/>
              <w:webHidden/>
            </w:rPr>
            <w:tab/>
            <w:t>38</w:t>
          </w:r>
        </w:p>
        <w:p w14:paraId="70FFCF49" w14:textId="06C4A214"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5.6.</w:t>
          </w:r>
          <w:r w:rsidRPr="00747EBA">
            <w:rPr>
              <w:rFonts w:asciiTheme="minorHAnsi" w:hAnsiTheme="minorHAnsi"/>
              <w:noProof/>
              <w:lang w:val="en-US" w:eastAsia="de-DE"/>
            </w:rPr>
            <w:tab/>
          </w:r>
          <w:r w:rsidRPr="00747EBA">
            <w:rPr>
              <w:rFonts w:ascii="Avenir Next LT Pro Light" w:hAnsi="Avenir Next LT Pro Light"/>
              <w:noProof/>
            </w:rPr>
            <w:t>Prediction of Patient Status</w:t>
          </w:r>
          <w:r>
            <w:rPr>
              <w:noProof/>
              <w:webHidden/>
            </w:rPr>
            <w:tab/>
            <w:t>38</w:t>
          </w:r>
        </w:p>
        <w:p w14:paraId="20C025AC" w14:textId="7D20EA97"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5.7.</w:t>
          </w:r>
          <w:r w:rsidRPr="00747EBA">
            <w:rPr>
              <w:rFonts w:asciiTheme="minorHAnsi" w:hAnsiTheme="minorHAnsi"/>
              <w:noProof/>
              <w:lang w:val="en-US" w:eastAsia="de-DE"/>
            </w:rPr>
            <w:tab/>
          </w:r>
          <w:r w:rsidRPr="00747EBA">
            <w:rPr>
              <w:rFonts w:ascii="Avenir Next LT Pro Light" w:hAnsi="Avenir Next LT Pro Light"/>
              <w:noProof/>
            </w:rPr>
            <w:t>Limitations</w:t>
          </w:r>
          <w:r>
            <w:rPr>
              <w:noProof/>
              <w:webHidden/>
            </w:rPr>
            <w:tab/>
            <w:t>38</w:t>
          </w:r>
        </w:p>
        <w:p w14:paraId="0671FE98" w14:textId="209FA25E"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5.8.</w:t>
          </w:r>
          <w:r w:rsidRPr="00747EBA">
            <w:rPr>
              <w:rFonts w:asciiTheme="minorHAnsi" w:hAnsiTheme="minorHAnsi"/>
              <w:noProof/>
              <w:lang w:val="en-US" w:eastAsia="de-DE"/>
            </w:rPr>
            <w:tab/>
          </w:r>
          <w:r w:rsidRPr="00747EBA">
            <w:rPr>
              <w:rFonts w:ascii="Avenir Next LT Pro Light" w:hAnsi="Avenir Next LT Pro Light"/>
              <w:noProof/>
            </w:rPr>
            <w:t>Outlook</w:t>
          </w:r>
          <w:r>
            <w:rPr>
              <w:noProof/>
              <w:webHidden/>
            </w:rPr>
            <w:tab/>
            <w:t>38</w:t>
          </w:r>
        </w:p>
        <w:p w14:paraId="5E40CF27" w14:textId="7FFD0568"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6.</w:t>
          </w:r>
          <w:r w:rsidRPr="00747EBA">
            <w:rPr>
              <w:rFonts w:asciiTheme="minorHAnsi" w:hAnsiTheme="minorHAnsi"/>
              <w:noProof/>
              <w:lang w:val="en-US" w:eastAsia="de-DE"/>
            </w:rPr>
            <w:tab/>
          </w:r>
          <w:r w:rsidRPr="00747EBA">
            <w:rPr>
              <w:rFonts w:ascii="Avenir Next LT Pro Light" w:hAnsi="Avenir Next LT Pro Light"/>
              <w:noProof/>
            </w:rPr>
            <w:t>Conclusion</w:t>
          </w:r>
          <w:r>
            <w:rPr>
              <w:noProof/>
              <w:webHidden/>
            </w:rPr>
            <w:tab/>
            <w:t>39</w:t>
          </w:r>
        </w:p>
        <w:p w14:paraId="7758055F" w14:textId="47DA9450"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lastRenderedPageBreak/>
            <w:t>References</w:t>
          </w:r>
          <w:r>
            <w:rPr>
              <w:noProof/>
              <w:webHidden/>
            </w:rPr>
            <w:tab/>
            <w:t>40</w:t>
          </w:r>
        </w:p>
        <w:p w14:paraId="06D31789" w14:textId="4C31C83D"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Acknowledgements</w:t>
          </w:r>
          <w:r>
            <w:rPr>
              <w:noProof/>
              <w:webHidden/>
            </w:rPr>
            <w:tab/>
            <w:t>54</w:t>
          </w:r>
        </w:p>
        <w:p w14:paraId="6B3A865C" w14:textId="579F7219"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Data Usage Statement</w:t>
          </w:r>
          <w:r>
            <w:rPr>
              <w:noProof/>
              <w:webHidden/>
            </w:rPr>
            <w:tab/>
            <w:t>55</w:t>
          </w:r>
        </w:p>
        <w:p w14:paraId="3F415BFA" w14:textId="4A97B7DB"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Appendix</w:t>
          </w:r>
          <w:r>
            <w:rPr>
              <w:noProof/>
              <w:webHidden/>
            </w:rPr>
            <w:tab/>
            <w:t>56</w:t>
          </w:r>
        </w:p>
        <w:p w14:paraId="497256AB" w14:textId="433AB398" w:rsidR="00B225D5" w:rsidRPr="00747EBA" w:rsidRDefault="00B225D5">
          <w:pPr>
            <w:pStyle w:val="Verzeichnis3"/>
            <w:tabs>
              <w:tab w:val="right" w:leader="dot" w:pos="9062"/>
            </w:tabs>
            <w:rPr>
              <w:rFonts w:asciiTheme="minorHAnsi" w:hAnsiTheme="minorHAnsi"/>
              <w:noProof/>
              <w:lang w:val="en-US" w:eastAsia="de-DE"/>
            </w:rPr>
          </w:pPr>
          <w:r w:rsidRPr="00747EBA">
            <w:rPr>
              <w:rFonts w:ascii="Avenir Next LT Pro Light" w:hAnsi="Avenir Next LT Pro Light"/>
              <w:noProof/>
            </w:rPr>
            <w:t>Appendix A: List of Abbreviations</w:t>
          </w:r>
          <w:r>
            <w:rPr>
              <w:noProof/>
              <w:webHidden/>
            </w:rPr>
            <w:tab/>
            <w:t>56</w:t>
          </w:r>
        </w:p>
        <w:p w14:paraId="4273B796" w14:textId="6F066897" w:rsidR="00B225D5" w:rsidRPr="00747EBA" w:rsidRDefault="00B225D5">
          <w:pPr>
            <w:pStyle w:val="Verzeichnis3"/>
            <w:tabs>
              <w:tab w:val="right" w:leader="dot" w:pos="9062"/>
            </w:tabs>
            <w:rPr>
              <w:rFonts w:asciiTheme="minorHAnsi" w:hAnsiTheme="minorHAnsi"/>
              <w:noProof/>
              <w:lang w:val="en-US" w:eastAsia="de-DE"/>
            </w:rPr>
          </w:pPr>
          <w:r w:rsidRPr="00747EBA">
            <w:rPr>
              <w:rFonts w:ascii="Avenir Next LT Pro Light" w:hAnsi="Avenir Next LT Pro Light"/>
              <w:noProof/>
            </w:rPr>
            <w:t>Appendix B: Supplementary Tables and Figures</w:t>
          </w:r>
          <w:r>
            <w:rPr>
              <w:noProof/>
              <w:webHidden/>
            </w:rPr>
            <w:tab/>
            <w:t>57</w:t>
          </w:r>
        </w:p>
        <w:p w14:paraId="144A3B86" w14:textId="36515FA9" w:rsidR="00164442" w:rsidRDefault="00071492"/>
      </w:sdtContent>
    </w:sdt>
    <w:p w14:paraId="776C6606" w14:textId="07E048A0" w:rsidR="00ED13AD" w:rsidRDefault="00ED13AD" w:rsidP="00834B09">
      <w:r>
        <w:br w:type="page"/>
      </w:r>
    </w:p>
    <w:p w14:paraId="61F8C4E7" w14:textId="018DDA54" w:rsidR="00ED13AD" w:rsidRPr="00211340" w:rsidRDefault="00ED13AD" w:rsidP="00211340">
      <w:r>
        <w:lastRenderedPageBreak/>
        <w:t>Abstract</w:t>
      </w:r>
    </w:p>
    <w:p w14:paraId="146CBB68" w14:textId="4732B473" w:rsidR="00211340" w:rsidRDefault="00ED13AD" w:rsidP="00F37C63">
      <w:r>
        <w:t>[200 words]</w:t>
      </w:r>
    </w:p>
    <w:p w14:paraId="1C9C4050" w14:textId="77777777" w:rsidR="004B2B45" w:rsidRDefault="00ED13AD" w:rsidP="004B2B45">
      <w:pPr>
        <w:pStyle w:val="Listenabsatz"/>
        <w:numPr>
          <w:ilvl w:val="0"/>
          <w:numId w:val="16"/>
        </w:numPr>
        <w:rPr>
          <w:rFonts w:cs="Arial"/>
        </w:rPr>
      </w:pPr>
      <w:r w:rsidRPr="004B2B45">
        <w:rPr>
          <w:rFonts w:cs="Arial"/>
        </w:rPr>
        <w:t>Cognition and brain health are influenced by many variables, one of them being biological sex.</w:t>
      </w:r>
      <w:r w:rsidR="00E3693F" w:rsidRPr="004B2B45">
        <w:rPr>
          <w:rFonts w:cs="Arial"/>
        </w:rPr>
        <w:t xml:space="preserve"> </w:t>
      </w:r>
    </w:p>
    <w:p w14:paraId="328EA89F" w14:textId="77777777" w:rsidR="004B2B45" w:rsidRDefault="00E3693F" w:rsidP="004B2B45">
      <w:pPr>
        <w:pStyle w:val="Listenabsatz"/>
        <w:numPr>
          <w:ilvl w:val="0"/>
          <w:numId w:val="16"/>
        </w:numPr>
        <w:rPr>
          <w:rFonts w:cs="Arial"/>
        </w:rPr>
      </w:pPr>
      <w:r w:rsidRPr="004B2B45">
        <w:rPr>
          <w:rFonts w:cs="Arial"/>
        </w:rPr>
        <w:t xml:space="preserve">While the exact </w:t>
      </w:r>
      <w:r w:rsidRPr="004B2B45">
        <w:rPr>
          <w:rFonts w:cs="Arial"/>
          <w:highlight w:val="yellow"/>
        </w:rPr>
        <w:t>mechanisms</w:t>
      </w:r>
      <w:r w:rsidRPr="004B2B45">
        <w:rPr>
          <w:rFonts w:cs="Arial"/>
        </w:rPr>
        <w:t xml:space="preserve"> underlying neurobiological sex differences have not been identified so far, it has been proposed that they might be rooted in sex-specific differences in brain connectivity. </w:t>
      </w:r>
    </w:p>
    <w:p w14:paraId="41F5ABBC" w14:textId="77777777" w:rsidR="004B2B45" w:rsidRDefault="00E3693F" w:rsidP="004B2B45">
      <w:pPr>
        <w:pStyle w:val="Listenabsatz"/>
        <w:numPr>
          <w:ilvl w:val="0"/>
          <w:numId w:val="16"/>
        </w:numPr>
        <w:rPr>
          <w:rFonts w:cs="Arial"/>
        </w:rPr>
      </w:pPr>
      <w:r w:rsidRPr="004B2B45">
        <w:rPr>
          <w:rFonts w:cs="Arial"/>
        </w:rPr>
        <w:t xml:space="preserve">Previous research has demonstrated that women </w:t>
      </w:r>
      <w:r w:rsidR="004B2B45" w:rsidRPr="004B2B45">
        <w:rPr>
          <w:rFonts w:cs="Arial"/>
        </w:rPr>
        <w:t xml:space="preserve">exhibit more interhemispheric connections, while men have more intrahemispheric connections. </w:t>
      </w:r>
    </w:p>
    <w:p w14:paraId="7FB64B40" w14:textId="08CA1E2C" w:rsidR="00ED13AD" w:rsidRDefault="004B2B45" w:rsidP="004B2B45">
      <w:pPr>
        <w:pStyle w:val="Listenabsatz"/>
        <w:numPr>
          <w:ilvl w:val="0"/>
          <w:numId w:val="16"/>
        </w:numPr>
        <w:rPr>
          <w:rFonts w:cs="Arial"/>
        </w:rPr>
      </w:pPr>
      <w:r w:rsidRPr="004B2B45">
        <w:rPr>
          <w:rFonts w:cs="Arial"/>
        </w:rPr>
        <w:t xml:space="preserve">Such differences in brain connectivity might influence how disconnections caused by focal strokes affect brain functioning and thus, how severe the symptoms of the stroke manifest. </w:t>
      </w:r>
    </w:p>
    <w:p w14:paraId="4CF42D6A" w14:textId="3781BB1E" w:rsidR="004B2B45" w:rsidRDefault="004B2B45" w:rsidP="004B2B45">
      <w:pPr>
        <w:pStyle w:val="Listenabsatz"/>
        <w:numPr>
          <w:ilvl w:val="0"/>
          <w:numId w:val="16"/>
        </w:numPr>
        <w:rPr>
          <w:rFonts w:cs="Arial"/>
        </w:rPr>
      </w:pPr>
      <w:r>
        <w:rPr>
          <w:rFonts w:cs="Arial"/>
        </w:rPr>
        <w:t xml:space="preserve">Previous research has demonstrated that women suffer from more severe strokes than men do, even if they are of the same age and their lesion sizes do not differ. </w:t>
      </w:r>
    </w:p>
    <w:p w14:paraId="06F43815" w14:textId="4913465E" w:rsidR="004B2B45" w:rsidRDefault="004B2B45" w:rsidP="004B2B45">
      <w:pPr>
        <w:pStyle w:val="Listenabsatz"/>
        <w:numPr>
          <w:ilvl w:val="0"/>
          <w:numId w:val="16"/>
        </w:numPr>
        <w:rPr>
          <w:rFonts w:cs="Arial"/>
        </w:rPr>
      </w:pPr>
      <w:r>
        <w:rPr>
          <w:rFonts w:cs="Arial"/>
        </w:rPr>
        <w:t>So far, barely any research has been conducted investigating if there are any sex differences in lesion patterns and the resulting disconnectome after acute stroke, and how it might affect disconnection syndromes such as visuospatial neglect.</w:t>
      </w:r>
    </w:p>
    <w:p w14:paraId="037F5DFE" w14:textId="151162C7" w:rsidR="00B73858" w:rsidRPr="004B2B45" w:rsidRDefault="00B73858" w:rsidP="004B2B45">
      <w:pPr>
        <w:pStyle w:val="Listenabsatz"/>
        <w:numPr>
          <w:ilvl w:val="0"/>
          <w:numId w:val="16"/>
        </w:numPr>
        <w:rPr>
          <w:rFonts w:cs="Arial"/>
        </w:rPr>
      </w:pPr>
      <w:r>
        <w:rPr>
          <w:rFonts w:cs="Arial"/>
        </w:rPr>
        <w:t xml:space="preserve">We investigated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0" w:name="_Toc116064595"/>
      <w:bookmarkStart w:id="1"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0"/>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2" w:name="_Toc116064596"/>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2"/>
    </w:p>
    <w:p w14:paraId="0C7715EF" w14:textId="4E4A8F92" w:rsidR="00546BD9" w:rsidRPr="009B1762" w:rsidRDefault="00546BD9" w:rsidP="00546BD9">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The so-called “gender differences hypothesis”, which maintain</w:t>
      </w:r>
      <w:r>
        <w:t>s</w:t>
      </w:r>
      <w:r w:rsidRPr="009B1762">
        <w:t xml:space="preserve"> that the brains and cognitive abilities of men and women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r w:rsidRPr="009B1762">
        <w:rPr>
          <w:color w:val="7F7F7F" w:themeColor="text1" w:themeTint="80"/>
        </w:rPr>
        <w:t>Hyde, 2005</w:t>
      </w:r>
      <w:r w:rsidRPr="009B1762">
        <w:t xml:space="preserve">; </w:t>
      </w:r>
      <w:r w:rsidRPr="009B1762">
        <w:rPr>
          <w:color w:val="7F7F7F" w:themeColor="text1" w:themeTint="80"/>
        </w:rPr>
        <w:t>Hirnstein et al., 2019</w:t>
      </w:r>
      <w:r w:rsidRPr="009B1762">
        <w:t>). However, contrary to popular conceptions of psychological sex differences, numerous meta-analyses and meta-syntheses demonstrated that if any gender differences are detectable in cognitive tests, they often are negligibly small (</w:t>
      </w:r>
      <w:r w:rsidRPr="006B070C">
        <w:rPr>
          <w:color w:val="7F7F7F" w:themeColor="text1" w:themeTint="80"/>
        </w:rPr>
        <w:t>Choleris et al., 2018</w:t>
      </w:r>
      <w:r>
        <w:t xml:space="preserve">; </w:t>
      </w:r>
      <w:r w:rsidRPr="009B1762">
        <w:rPr>
          <w:color w:val="7F7F7F" w:themeColor="text1" w:themeTint="80"/>
        </w:rPr>
        <w:t>Hirnstein et al., 2019</w:t>
      </w:r>
      <w:r w:rsidRPr="009B1762">
        <w:t xml:space="preserve">; </w:t>
      </w:r>
      <w:r w:rsidRPr="009B1762">
        <w:rPr>
          <w:color w:val="7F7F7F" w:themeColor="text1" w:themeTint="80"/>
        </w:rPr>
        <w:t>Hyde, 2005</w:t>
      </w:r>
      <w:r w:rsidRPr="009B1762">
        <w:t>;</w:t>
      </w:r>
      <w:r w:rsidRPr="009B1762">
        <w:rPr>
          <w:color w:val="7F7F7F" w:themeColor="text1" w:themeTint="80"/>
        </w:rPr>
        <w:t xml:space="preserve"> Zell et al., 2015</w:t>
      </w:r>
      <w:r w:rsidRPr="009B1762">
        <w:t xml:space="preserve">). </w:t>
      </w:r>
      <w:r w:rsidRPr="009B1762">
        <w:rPr>
          <w:color w:val="7F7F7F" w:themeColor="text1" w:themeTint="80"/>
        </w:rPr>
        <w:t xml:space="preserve">Hyde (2005 &amp; 2014) </w:t>
      </w:r>
      <w:r w:rsidRPr="009B1762">
        <w:t xml:space="preserve">found that in most cognitive tasks, women and men achieved equal performances. The strongest and most robust difference in cognitive tasks that a meta-synthesis by </w:t>
      </w:r>
      <w:r w:rsidRPr="009B1762">
        <w:rPr>
          <w:color w:val="7F7F7F" w:themeColor="text1" w:themeTint="80"/>
        </w:rPr>
        <w:t xml:space="preserve">Zell et al. (2015) </w:t>
      </w:r>
      <w:r w:rsidRPr="009B1762">
        <w:t xml:space="preserve">identified was better performance of men in mental rotation tasks. </w:t>
      </w:r>
      <w:r w:rsidRPr="009B1762">
        <w:rPr>
          <w:color w:val="7F7F7F" w:themeColor="text1" w:themeTint="80"/>
        </w:rPr>
        <w:t xml:space="preserve">Voyer et al.’s (2016)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r w:rsidRPr="009B1762">
        <w:rPr>
          <w:color w:val="7F7F7F" w:themeColor="text1" w:themeTint="80"/>
        </w:rPr>
        <w:t>Hyde, 2014 &amp; 2016</w:t>
      </w:r>
      <w:r w:rsidRPr="009B1762">
        <w:t xml:space="preserve">; </w:t>
      </w:r>
      <w:r w:rsidRPr="009B1762">
        <w:rPr>
          <w:color w:val="7F7F7F" w:themeColor="text1" w:themeTint="80"/>
        </w:rPr>
        <w:t>Sommer et al., 2004</w:t>
      </w:r>
      <w:r w:rsidRPr="009B1762">
        <w:t>). Since most existing differences tended to be small in magnitude, this led researchers to coin the “gender similarities hypothesis”, stating that men and women are similar in most, but not all, psychological domains (</w:t>
      </w:r>
      <w:r w:rsidRPr="009B1762">
        <w:rPr>
          <w:color w:val="7F7F7F" w:themeColor="text1" w:themeTint="80"/>
        </w:rPr>
        <w:t>Hyde, 2005</w:t>
      </w:r>
      <w:r w:rsidRPr="009B1762">
        <w:t xml:space="preserve">; </w:t>
      </w:r>
      <w:r w:rsidRPr="009B1762">
        <w:rPr>
          <w:color w:val="7F7F7F" w:themeColor="text1" w:themeTint="80"/>
        </w:rPr>
        <w:t>Zell et al., 2015</w:t>
      </w:r>
      <w:r w:rsidRPr="009B1762">
        <w:t>).</w:t>
      </w:r>
    </w:p>
    <w:p w14:paraId="4F9121C7" w14:textId="10A999EB" w:rsidR="00546BD9" w:rsidRDefault="00546BD9" w:rsidP="00546BD9">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r w:rsidRPr="00C65901">
        <w:rPr>
          <w:color w:val="7F7F7F" w:themeColor="text1" w:themeTint="80"/>
        </w:rPr>
        <w:t>Ceci et al., 2009</w:t>
      </w:r>
      <w:r w:rsidRPr="00E11E29">
        <w:rPr>
          <w:color w:val="7F7F7F" w:themeColor="text1" w:themeTint="80"/>
        </w:rPr>
        <w:t xml:space="preserve">; </w:t>
      </w:r>
      <w:r w:rsidR="00982497">
        <w:rPr>
          <w:color w:val="7F7F7F" w:themeColor="text1" w:themeTint="80"/>
        </w:rPr>
        <w:t xml:space="preserve">Hartley &amp; Sutton, 2013; </w:t>
      </w:r>
      <w:r w:rsidRPr="00E11E29">
        <w:rPr>
          <w:color w:val="7F7F7F" w:themeColor="text1" w:themeTint="80"/>
        </w:rPr>
        <w:t>Hirnstein et al., 2019</w:t>
      </w:r>
      <w:r>
        <w:t>), as well as for clinical applications and personalised medical care (</w:t>
      </w:r>
      <w:r w:rsidRPr="00E11E29">
        <w:rPr>
          <w:color w:val="7F7F7F" w:themeColor="text1" w:themeTint="80"/>
        </w:rPr>
        <w:t>Choleris et al., 2018; Ritchie et al., 2018</w:t>
      </w:r>
      <w:r>
        <w:t>). Still, there</w:t>
      </w:r>
      <w:r w:rsidRPr="009B1762">
        <w:t xml:space="preserve"> is no consensus regarding the exact neurobiological mechanisms underlying cognitive sex differences, but a complex interaction of nature and nurture has been proposed (</w:t>
      </w:r>
      <w:r w:rsidRPr="009B1762">
        <w:rPr>
          <w:color w:val="7F7F7F" w:themeColor="text1" w:themeTint="80"/>
        </w:rPr>
        <w:t>Hirnstein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r w:rsidRPr="004D7D8A">
        <w:rPr>
          <w:color w:val="7F7F7F" w:themeColor="text1" w:themeTint="80"/>
        </w:rPr>
        <w:t>Ingalhalikar et al., 2013; Pletzer, 2014;</w:t>
      </w:r>
      <w:r w:rsidRPr="00E11E29">
        <w:t xml:space="preserve"> see </w:t>
      </w:r>
      <w:r w:rsidRPr="004D7D8A">
        <w:rPr>
          <w:color w:val="7F7F7F" w:themeColor="text1" w:themeTint="80"/>
        </w:rPr>
        <w:t xml:space="preserve">Hirnstein et al., 2019 </w:t>
      </w:r>
      <w:r w:rsidRPr="00E11E29">
        <w:t>for a review</w:t>
      </w:r>
      <w:r w:rsidRPr="00906245">
        <w:t>).</w:t>
      </w:r>
      <w:r w:rsidRPr="009B1762">
        <w:t xml:space="preserve"> </w:t>
      </w:r>
    </w:p>
    <w:p w14:paraId="0DC9B2BA" w14:textId="7AE3432A" w:rsidR="00546BD9" w:rsidRPr="009B1762" w:rsidRDefault="00546BD9" w:rsidP="00546BD9">
      <w:r w:rsidRPr="009B1762">
        <w:t xml:space="preserve">A large-scale diffusion tensor imaging (DTI) study by </w:t>
      </w:r>
      <w:r w:rsidRPr="009B1762">
        <w:rPr>
          <w:color w:val="7F7F7F" w:themeColor="text1" w:themeTint="80"/>
        </w:rPr>
        <w:t xml:space="preserve">Ingalhalikar et al. (2013)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t>within between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77777777" w:rsidR="00546BD9" w:rsidRPr="009B1762" w:rsidRDefault="00546BD9" w:rsidP="00546BD9">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w:t>
      </w:r>
      <w:r w:rsidRPr="009B1762">
        <w:lastRenderedPageBreak/>
        <w:t>men possess a higher proportion of cortical WM, whereas women have larger corpora callosa in proportion to their total WM volume (</w:t>
      </w:r>
      <w:r w:rsidRPr="009B1762">
        <w:rPr>
          <w:color w:val="7F7F7F" w:themeColor="text1" w:themeTint="80"/>
        </w:rPr>
        <w:t xml:space="preserve">Allen et al., 1991; Allen et al., 2003; Dubb et al., 2003; </w:t>
      </w:r>
      <w:r w:rsidRPr="00FB2910">
        <w:rPr>
          <w:color w:val="7F7F7F" w:themeColor="text1" w:themeTint="80"/>
        </w:rPr>
        <w:t>Gur et al., 1999;</w:t>
      </w:r>
      <w:r w:rsidRPr="009B1762">
        <w:rPr>
          <w:color w:val="7F7F7F" w:themeColor="text1" w:themeTint="80"/>
        </w:rPr>
        <w:t xml:space="preserve"> Ingalhalikar et al., 2013</w:t>
      </w:r>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r w:rsidRPr="009B1762">
        <w:rPr>
          <w:color w:val="7F7F7F" w:themeColor="text1" w:themeTint="80"/>
        </w:rPr>
        <w:t>Boespflug et al., 2011; Kanaan et al., 2012; Zasler &amp; Kaplan, 2017</w:t>
      </w:r>
      <w:r w:rsidRPr="009B1762">
        <w:t xml:space="preserve">). </w:t>
      </w:r>
    </w:p>
    <w:p w14:paraId="089B6494" w14:textId="77777777" w:rsidR="00546BD9" w:rsidRPr="009B1762" w:rsidRDefault="00546BD9" w:rsidP="00546BD9">
      <w:r w:rsidRPr="009B1762">
        <w:t>Some researchers even claim that the increased interhemispheric connectivity, especially via the corpus callosum, makes female brains more efficient on a global level, compared to male brains, which are organized in a more modular manner (</w:t>
      </w:r>
      <w:r w:rsidRPr="009B1762">
        <w:rPr>
          <w:color w:val="7F7F7F" w:themeColor="text1" w:themeTint="80"/>
        </w:rPr>
        <w:t>Gong et al., 2009; Gur et al., 1999; Ingalhalikar et al., 2013; Yan et al., 2011</w:t>
      </w:r>
      <w:r w:rsidRPr="009B1762">
        <w:t xml:space="preserve">). Based on this, </w:t>
      </w:r>
      <w:r w:rsidRPr="009B1762">
        <w:rPr>
          <w:color w:val="7F7F7F" w:themeColor="text1" w:themeTint="80"/>
        </w:rPr>
        <w:t>it is</w:t>
      </w:r>
      <w:r w:rsidRPr="009B1762">
        <w:t xml:space="preserve"> argued that those sex differences in structural hemispheric asymmetry may give rise to differences in functional lateralisation (</w:t>
      </w:r>
      <w:r>
        <w:rPr>
          <w:color w:val="7F7F7F" w:themeColor="text1" w:themeTint="80"/>
        </w:rPr>
        <w:t>Grabowska, 2017</w:t>
      </w:r>
      <w:r w:rsidRPr="009B1762">
        <w:rPr>
          <w:color w:val="7F7F7F" w:themeColor="text1" w:themeTint="80"/>
        </w:rPr>
        <w:t>; Ingalhalikar et al., 2013; Kovalev et al., 2003</w:t>
      </w:r>
      <w:r w:rsidRPr="009B1762">
        <w:t xml:space="preserve">; see </w:t>
      </w:r>
      <w:r w:rsidRPr="009B1762">
        <w:rPr>
          <w:color w:val="7F7F7F" w:themeColor="text1" w:themeTint="80"/>
        </w:rPr>
        <w:t xml:space="preserve">Hirnstein et al., 2019 </w:t>
      </w:r>
      <w:r w:rsidRPr="009B1762">
        <w:t>for a review).</w:t>
      </w:r>
    </w:p>
    <w:p w14:paraId="4C6E3338" w14:textId="77777777" w:rsidR="00546BD9" w:rsidRPr="009B1762" w:rsidRDefault="00546BD9" w:rsidP="00546BD9">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r w:rsidRPr="009B1762">
        <w:rPr>
          <w:color w:val="7F7F7F" w:themeColor="text1" w:themeTint="80"/>
        </w:rPr>
        <w:t>Hausmann, 2016; Hirnstein et al., 2019</w:t>
      </w:r>
      <w:r w:rsidRPr="009B1762">
        <w:t>). Therefore, functional lateralisation is considered to be an instance of functional specialization within the brain (</w:t>
      </w:r>
      <w:r w:rsidRPr="009B1762">
        <w:rPr>
          <w:color w:val="7F7F7F" w:themeColor="text1" w:themeTint="80"/>
        </w:rPr>
        <w:t>Gotts et al., 2013</w:t>
      </w:r>
      <w:r w:rsidRPr="009B1762">
        <w:t>). Well-known examples are the left lateralisation of language and the right lateralisation of visuospatial processing (</w:t>
      </w:r>
      <w:r w:rsidRPr="009B1762">
        <w:rPr>
          <w:color w:val="7F7F7F" w:themeColor="text1" w:themeTint="80"/>
        </w:rPr>
        <w:t>Hausmann, 2016; Hirnstein et al., 2019; Ocklenburg &amp; Güntürkün, 2012</w:t>
      </w:r>
      <w:r w:rsidRPr="009B1762">
        <w:t>).</w:t>
      </w:r>
    </w:p>
    <w:p w14:paraId="3AAFC0B0" w14:textId="77777777" w:rsidR="00546BD9" w:rsidRPr="009B1762" w:rsidRDefault="00546BD9" w:rsidP="00546BD9">
      <w:pPr>
        <w:tabs>
          <w:tab w:val="left" w:pos="1185"/>
        </w:tabs>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r w:rsidRPr="009B1762">
        <w:rPr>
          <w:color w:val="7F7F7F" w:themeColor="text1" w:themeTint="80"/>
        </w:rPr>
        <w:t>Voyer, 1996</w:t>
      </w:r>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r w:rsidRPr="00EB124C">
        <w:rPr>
          <w:color w:val="7F7F7F" w:themeColor="text1" w:themeTint="80"/>
        </w:rPr>
        <w:t xml:space="preserve">Ingalhalikar et al. (2013)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7777777" w:rsidR="00546BD9" w:rsidRPr="009B1762" w:rsidRDefault="00546BD9" w:rsidP="00546BD9">
      <w:r w:rsidRPr="009B1762">
        <w:t xml:space="preserve">While so far there is not enough research to determine if anatomical WM asymmetries and functional lateralisation are really related in such a way (for reviews see </w:t>
      </w:r>
      <w:r w:rsidRPr="009B1762">
        <w:rPr>
          <w:color w:val="7F7F7F" w:themeColor="text1" w:themeTint="80"/>
        </w:rPr>
        <w:t>Corballis &amp; Häberling, 2017; Ocklenburg &amp; Güntürkün,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r>
        <w:rPr>
          <w:color w:val="7F7F7F" w:themeColor="text1" w:themeTint="80"/>
        </w:rPr>
        <w:t>Grabowska, 2017</w:t>
      </w:r>
      <w:r w:rsidRPr="009B1762">
        <w:rPr>
          <w:color w:val="7F7F7F" w:themeColor="text1" w:themeTint="80"/>
        </w:rPr>
        <w:t>; Hirnstein et al., 2019; Kimura &amp; Hampson, 1994</w:t>
      </w:r>
      <w:r w:rsidRPr="009B1762">
        <w:t>).</w:t>
      </w:r>
    </w:p>
    <w:p w14:paraId="5EFA4056" w14:textId="77777777" w:rsidR="00546BD9" w:rsidRPr="009B1762" w:rsidRDefault="00546BD9" w:rsidP="00546BD9">
      <w:r w:rsidRPr="009B1762">
        <w:t>Sex hormones, such as oestradiol, progesterone, and testosterone, have been shown to be able to alter neuronal excitability (</w:t>
      </w:r>
      <w:r w:rsidRPr="009B1762">
        <w:rPr>
          <w:color w:val="7F7F7F" w:themeColor="text1" w:themeTint="80"/>
        </w:rPr>
        <w:t>Hausmann, 2016</w:t>
      </w:r>
      <w:r w:rsidRPr="009B1762">
        <w:t xml:space="preserve">; </w:t>
      </w:r>
      <w:r w:rsidRPr="009B1762">
        <w:rPr>
          <w:color w:val="7F7F7F" w:themeColor="text1" w:themeTint="80"/>
        </w:rPr>
        <w:t>Rupprecht, 2003</w:t>
      </w:r>
      <w:r w:rsidRPr="009B1762">
        <w:t xml:space="preserve">) and there is great evidence that functional lateralisation fluctuates throughout the menstrual cycle due to the varying levels of those hormones (e.g., </w:t>
      </w:r>
      <w:r w:rsidRPr="009B1762">
        <w:rPr>
          <w:color w:val="7F7F7F" w:themeColor="text1" w:themeTint="80"/>
        </w:rPr>
        <w:t>Bibawi et al., 1995; Hausmann, 2005; Hausmann et al., 2002; Wisniewski, 1998</w:t>
      </w:r>
      <w:r w:rsidRPr="009B1762">
        <w:t xml:space="preserve">). Studies have established that lateralisation is stable over time in men, as </w:t>
      </w:r>
      <w:r w:rsidRPr="009B1762">
        <w:lastRenderedPageBreak/>
        <w:t>well as in post-menopausal women. Further, there is evidence that high levels of progesterone and oestradiol during the midluteal phase may down-regulate interhemispheric interactions and thus, further decrease lateralisation, whereas increased levels of functional lateralisation were found during the menses when levels of oestradiol and progesterone are the lowest (</w:t>
      </w:r>
      <w:r w:rsidRPr="009B1762">
        <w:rPr>
          <w:color w:val="7F7F7F" w:themeColor="text1" w:themeTint="80"/>
        </w:rPr>
        <w:t>Bibawi et al., 1995; Hausmann et al., 2002; Hausmann &amp; Güntürkün,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3" w:name="_Toc116064597"/>
      <w:r w:rsidRPr="00250B3C">
        <w:rPr>
          <w:rFonts w:ascii="Avenir Next LT Pro Light" w:eastAsiaTheme="majorEastAsia" w:hAnsi="Avenir Next LT Pro Light" w:cstheme="majorBidi"/>
          <w:spacing w:val="4"/>
          <w:sz w:val="24"/>
          <w:szCs w:val="24"/>
        </w:rPr>
        <w:lastRenderedPageBreak/>
        <w:t xml:space="preserve">Sex Differences in </w:t>
      </w:r>
      <w:r w:rsidRPr="00250B3C">
        <w:rPr>
          <w:rFonts w:ascii="Avenir Next LT Pro Light" w:eastAsiaTheme="majorEastAsia" w:hAnsi="Avenir Next LT Pro Light" w:cstheme="majorBidi"/>
          <w:spacing w:val="4"/>
          <w:sz w:val="24"/>
          <w:szCs w:val="24"/>
          <w:lang w:val="de-DE"/>
        </w:rPr>
        <w:t>Stroke</w:t>
      </w:r>
      <w:bookmarkEnd w:id="3"/>
    </w:p>
    <w:p w14:paraId="29855BFE" w14:textId="77777777" w:rsidR="00546BD9" w:rsidRPr="00250B3C" w:rsidRDefault="00546BD9" w:rsidP="00546BD9">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r w:rsidRPr="00C353D2">
        <w:rPr>
          <w:color w:val="7F7F7F" w:themeColor="text1" w:themeTint="80"/>
        </w:rPr>
        <w:t>Bonkhoff et al., 2021</w:t>
      </w:r>
      <w:r w:rsidRPr="00250B3C">
        <w:t xml:space="preserve">; </w:t>
      </w:r>
      <w:r w:rsidRPr="00C353D2">
        <w:rPr>
          <w:color w:val="7F7F7F" w:themeColor="text1" w:themeTint="80"/>
        </w:rPr>
        <w:t>Feigin et al., 2014</w:t>
      </w:r>
      <w:r w:rsidRPr="00250B3C">
        <w:t xml:space="preserve">; </w:t>
      </w:r>
      <w:r w:rsidRPr="00C353D2">
        <w:rPr>
          <w:color w:val="7F7F7F" w:themeColor="text1" w:themeTint="80"/>
        </w:rPr>
        <w:t>Katan &amp; Luft, 2018</w:t>
      </w:r>
      <w:r w:rsidRPr="00250B3C">
        <w:t>). The Lancet’s Global Burden of Disease review for the year 2019 reported 12.2 million global incident cases of stroke: 62.4% of those strokes were ischaemias/infarcts, while the remaining 37.6% were haemorrhages. They further identified stroke to be the second-leading cause of death, accounting for a total</w:t>
      </w:r>
      <w:r>
        <w:t xml:space="preserve"> of 6.55 million global deaths. </w:t>
      </w:r>
      <w:r w:rsidRPr="00250B3C">
        <w:t>Women suffered more often from strokes (6.44 million incident cases, 56.4 million prevalent cases) compared to men (5.79 million incident stroke</w:t>
      </w:r>
      <w:r>
        <w:t xml:space="preserve"> cases</w:t>
      </w:r>
      <w:r w:rsidRPr="00250B3C">
        <w:t>, 45.0 million prevalent cases) (</w:t>
      </w:r>
      <w:r w:rsidRPr="00C353D2">
        <w:rPr>
          <w:color w:val="7F7F7F" w:themeColor="text1" w:themeTint="80"/>
        </w:rPr>
        <w:t>Feigin et al., 2021</w:t>
      </w:r>
      <w:r w:rsidRPr="00250B3C">
        <w:t xml:space="preserve">). Most likely, this can </w:t>
      </w:r>
      <w:r>
        <w:t xml:space="preserve">be </w:t>
      </w:r>
      <w:r w:rsidRPr="00250B3C">
        <w:t>at least partially attributed to the higher life expectancy of women (</w:t>
      </w:r>
      <w:r w:rsidRPr="00C353D2">
        <w:rPr>
          <w:color w:val="7F7F7F" w:themeColor="text1" w:themeTint="80"/>
        </w:rPr>
        <w:t>Giroud et al., 2017</w:t>
      </w:r>
      <w:r w:rsidRPr="00250B3C">
        <w:t xml:space="preserve">; </w:t>
      </w:r>
      <w:r w:rsidRPr="00C353D2">
        <w:rPr>
          <w:color w:val="7F7F7F" w:themeColor="text1" w:themeTint="80"/>
        </w:rPr>
        <w:t>Bonkhoff et al., 2021</w:t>
      </w:r>
      <w:r w:rsidRPr="00250B3C">
        <w:t xml:space="preserve">). </w:t>
      </w:r>
    </w:p>
    <w:p w14:paraId="7C26F909" w14:textId="617D6A2D" w:rsidR="00546BD9" w:rsidRDefault="00546BD9" w:rsidP="00546BD9">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strokes. Since increased age is positively correlated with stroke risk and negatively correlated with functional outcomes, elderly women suffer the largest burden of stroke-induced disability and death (</w:t>
      </w:r>
      <w:r w:rsidRPr="00F371C5">
        <w:rPr>
          <w:rFonts w:cs="Arial"/>
          <w:color w:val="7F7F7F" w:themeColor="text1" w:themeTint="80"/>
        </w:rPr>
        <w:t>Appelros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r w:rsidRPr="00C65901">
        <w:rPr>
          <w:rFonts w:cs="Arial"/>
          <w:color w:val="7F7F7F" w:themeColor="text1" w:themeTint="80"/>
        </w:rPr>
        <w:t>Bonkhoff et al., 2021</w:t>
      </w:r>
      <w:r w:rsidRPr="00C65901">
        <w:rPr>
          <w:rFonts w:cs="Arial"/>
        </w:rPr>
        <w:t xml:space="preserve">; </w:t>
      </w:r>
      <w:r w:rsidRPr="00C65901">
        <w:rPr>
          <w:rFonts w:cs="Arial"/>
          <w:color w:val="7F7F7F" w:themeColor="text1" w:themeTint="80"/>
        </w:rPr>
        <w:t>Dehlendorff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546BD9">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4ED27F3" w:rsidR="00546BD9" w:rsidRPr="00250B3C" w:rsidRDefault="00546BD9" w:rsidP="00546BD9">
      <w:pPr>
        <w:spacing w:after="120" w:line="276" w:lineRule="auto"/>
        <w:rPr>
          <w:rFonts w:cs="Arial"/>
        </w:rPr>
      </w:pPr>
      <w:r w:rsidRPr="00250B3C">
        <w:rPr>
          <w:rFonts w:cs="Arial"/>
        </w:rPr>
        <w:t xml:space="preserve">In a large-scale study, </w:t>
      </w:r>
      <w:r w:rsidRPr="00F371C5">
        <w:rPr>
          <w:rFonts w:cs="Arial"/>
          <w:color w:val="7F7F7F" w:themeColor="text1" w:themeTint="80"/>
        </w:rPr>
        <w:t xml:space="preserve">Bonkhoff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w:t>
      </w:r>
      <w:r w:rsidRPr="00250B3C">
        <w:lastRenderedPageBreak/>
        <w:t xml:space="preserve">hemisphere were found to be likely responsible for more severe long-term disability, irrespective of the size of the lesion. </w:t>
      </w:r>
    </w:p>
    <w:p w14:paraId="15B523D5" w14:textId="43882023" w:rsidR="00546BD9" w:rsidRPr="00250B3C" w:rsidRDefault="00546BD9" w:rsidP="00546BD9">
      <w:pPr>
        <w:spacing w:after="120" w:line="276" w:lineRule="auto"/>
      </w:pPr>
      <w:r w:rsidRPr="00250B3C">
        <w:rPr>
          <w:rFonts w:cs="Arial"/>
        </w:rPr>
        <w:t xml:space="preserve">Further, </w:t>
      </w:r>
      <w:r w:rsidRPr="00F371C5">
        <w:rPr>
          <w:rFonts w:cs="Arial"/>
          <w:color w:val="7F7F7F" w:themeColor="text1" w:themeTint="80"/>
        </w:rPr>
        <w:t>Bonkhoff et al. (2021)</w:t>
      </w:r>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such as the hippocampus, thalamus, or precuneus.  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612C50E8" w14:textId="77777777" w:rsidR="00546BD9" w:rsidRPr="00250B3C" w:rsidRDefault="00546BD9" w:rsidP="00546BD9">
      <w:pPr>
        <w:spacing w:after="120" w:line="276" w:lineRule="auto"/>
        <w:rPr>
          <w:rFonts w:cs="Arial"/>
        </w:rPr>
      </w:pPr>
      <w:r w:rsidRPr="00E70EA6">
        <w:rPr>
          <w:rFonts w:cs="Arial"/>
        </w:rPr>
        <w:t>Many researchers believe that (neuro)biological sex differences, such as sex chromosomes or sex steroid hormones, contribute to different responses to cerebral ischemia</w:t>
      </w:r>
      <w:r w:rsidRPr="00250B3C">
        <w:rPr>
          <w:rFonts w:cs="Arial"/>
        </w:rPr>
        <w:t xml:space="preserve"> (</w:t>
      </w:r>
      <w:r w:rsidRPr="00F371C5">
        <w:rPr>
          <w:rFonts w:cs="Arial"/>
          <w:color w:val="7F7F7F" w:themeColor="text1" w:themeTint="80"/>
        </w:rPr>
        <w:t>Bonkhoff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Pr="00250B3C">
        <w:rPr>
          <w:rFonts w:cs="Arial"/>
        </w:rPr>
        <w:t>). Rodent models have well established that female brains sustain less injuries after experimental ischaemic stroke compared to male brains, which is attributed to the neuroprotective properties of sex steroid hormones, such as oestradiol and progesterone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Liu et al., 2010</w:t>
      </w:r>
      <w:r w:rsidRPr="00250B3C">
        <w:rPr>
          <w:rFonts w:cs="Arial"/>
        </w:rPr>
        <w:t xml:space="preserve">; </w:t>
      </w:r>
      <w:r w:rsidRPr="00F371C5">
        <w:rPr>
          <w:rFonts w:cs="Arial"/>
          <w:color w:val="7F7F7F" w:themeColor="text1" w:themeTint="80"/>
        </w:rPr>
        <w:t>Wise et al., 2001</w:t>
      </w:r>
      <w:r w:rsidRPr="00250B3C">
        <w:rPr>
          <w:rFonts w:cs="Arial"/>
        </w:rPr>
        <w:t>). These hormones, taken together with testosterone, are also referred to as “neuroactive steroids” or “neuro-steroids”, as they can be synthesised within the brain and are able to alter neuronal excitability (</w:t>
      </w:r>
      <w:r w:rsidRPr="00F371C5">
        <w:rPr>
          <w:rFonts w:cs="Arial"/>
          <w:color w:val="7F7F7F" w:themeColor="text1" w:themeTint="80"/>
        </w:rPr>
        <w:t>Rupprecht, 2003</w:t>
      </w:r>
      <w:r w:rsidRPr="00250B3C">
        <w:rPr>
          <w:rFonts w:cs="Arial"/>
        </w:rPr>
        <w:t xml:space="preserve">). </w:t>
      </w:r>
    </w:p>
    <w:p w14:paraId="7C28CCC3" w14:textId="77777777" w:rsidR="00546BD9" w:rsidRPr="00250B3C" w:rsidRDefault="00546BD9" w:rsidP="00546BD9">
      <w:pPr>
        <w:spacing w:after="120" w:line="276" w:lineRule="auto"/>
        <w:rPr>
          <w:rFonts w:cs="Arial"/>
        </w:rPr>
      </w:pPr>
      <w:r w:rsidRPr="00250B3C">
        <w:rPr>
          <w:rFonts w:cs="Arial"/>
        </w:rPr>
        <w:t>Testosterone, the primary male sex steroid, 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r w:rsidRPr="00F371C5">
        <w:rPr>
          <w:rFonts w:cs="Arial"/>
          <w:color w:val="7F7F7F" w:themeColor="text1" w:themeTint="80"/>
        </w:rPr>
        <w:t>Manwani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p>
    <w:p w14:paraId="4444580A" w14:textId="77777777" w:rsidR="00546BD9" w:rsidRPr="00250B3C" w:rsidRDefault="00546BD9" w:rsidP="00546BD9">
      <w:pPr>
        <w:spacing w:after="120" w:line="276" w:lineRule="auto"/>
        <w:rPr>
          <w:rFonts w:cs="Arial"/>
        </w:rPr>
      </w:pPr>
      <w:r w:rsidRPr="00250B3C">
        <w:rPr>
          <w:rFonts w:cs="Arial"/>
        </w:rPr>
        <w:t xml:space="preserve">There is some experimental evidence in animal models </w:t>
      </w:r>
      <w:r>
        <w:rPr>
          <w:rFonts w:cs="Arial"/>
        </w:rPr>
        <w:t>showing</w:t>
      </w:r>
      <w:r w:rsidRPr="00250B3C">
        <w:rPr>
          <w:rFonts w:cs="Arial"/>
        </w:rPr>
        <w:t xml:space="preserve"> that acute administration of oestradiol reduces infarct size and tissue damage, as well as improves post-infarct blood flow (</w:t>
      </w:r>
      <w:r w:rsidRPr="00F371C5">
        <w:rPr>
          <w:rFonts w:cs="Arial"/>
          <w:color w:val="7F7F7F" w:themeColor="text1" w:themeTint="80"/>
        </w:rPr>
        <w:t>Gibson et al., 2009</w:t>
      </w:r>
      <w:r w:rsidRPr="00250B3C">
        <w:rPr>
          <w:rFonts w:cs="Arial"/>
        </w:rPr>
        <w:t xml:space="preserve">; </w:t>
      </w:r>
      <w:r w:rsidRPr="00F371C5">
        <w:rPr>
          <w:rFonts w:cs="Arial"/>
          <w:color w:val="7F7F7F" w:themeColor="text1" w:themeTint="80"/>
        </w:rPr>
        <w:t>Liu &amp; Yang, 2013</w:t>
      </w:r>
      <w:r w:rsidRPr="00250B3C">
        <w:rPr>
          <w:rFonts w:cs="Arial"/>
        </w:rPr>
        <w:t xml:space="preserve">; </w:t>
      </w:r>
      <w:r w:rsidRPr="00F371C5">
        <w:rPr>
          <w:rFonts w:cs="Arial"/>
          <w:color w:val="7F7F7F" w:themeColor="text1" w:themeTint="80"/>
        </w:rPr>
        <w:t>McCullough et al., 2001</w:t>
      </w:r>
      <w:r w:rsidRPr="00250B3C">
        <w:rPr>
          <w:rFonts w:cs="Arial"/>
        </w:rPr>
        <w:t xml:space="preserve">; </w:t>
      </w:r>
      <w:r w:rsidRPr="00F371C5">
        <w:rPr>
          <w:rFonts w:cs="Arial"/>
          <w:color w:val="7F7F7F" w:themeColor="text1" w:themeTint="80"/>
        </w:rPr>
        <w:t>Suzuki et al, 2009</w:t>
      </w:r>
      <w:r w:rsidRPr="00250B3C">
        <w:rPr>
          <w:rFonts w:cs="Arial"/>
        </w:rPr>
        <w:t>). Interestingly, oestradiol administration also reduces injury in male animals, suggesting that its neuroprotective effects are independent of sex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Manwani et al., 2014</w:t>
      </w:r>
      <w:r w:rsidRPr="00250B3C">
        <w:rPr>
          <w:rFonts w:cs="Arial"/>
        </w:rPr>
        <w:t>). However, clinical trials in humans have not been successful so far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Henderson &amp; Lobo, 2012</w:t>
      </w:r>
      <w:r w:rsidRPr="00250B3C">
        <w:rPr>
          <w:rFonts w:cs="Arial"/>
        </w:rPr>
        <w:t>).</w:t>
      </w:r>
    </w:p>
    <w:p w14:paraId="0CF25393" w14:textId="77777777" w:rsidR="00546BD9" w:rsidRPr="00250B3C" w:rsidRDefault="00546BD9" w:rsidP="00546BD9">
      <w:pPr>
        <w:spacing w:after="120" w:line="276" w:lineRule="auto"/>
        <w:rPr>
          <w:rFonts w:cs="Arial"/>
        </w:rPr>
      </w:pPr>
      <w:r w:rsidRPr="00250B3C">
        <w:rPr>
          <w:rFonts w:cs="Arial"/>
        </w:rPr>
        <w:t xml:space="preserve">The fact that oestradiol, the primary female sex steroid,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w:t>
      </w:r>
      <w:r w:rsidRPr="00250B3C">
        <w:rPr>
          <w:rFonts w:cs="Arial"/>
        </w:rPr>
        <w:lastRenderedPageBreak/>
        <w:t>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Koellhoffer &amp; McCullough, 2012</w:t>
      </w:r>
      <w:r w:rsidRPr="00250B3C">
        <w:rPr>
          <w:rFonts w:cs="Arial"/>
        </w:rPr>
        <w:t xml:space="preserve">; </w:t>
      </w:r>
      <w:r w:rsidRPr="00F371C5">
        <w:rPr>
          <w:rFonts w:cs="Arial"/>
          <w:color w:val="7F7F7F" w:themeColor="text1" w:themeTint="80"/>
        </w:rPr>
        <w:t>Manwani &amp; McCullough, 2012</w:t>
      </w:r>
      <w:r w:rsidRPr="00250B3C">
        <w:rPr>
          <w:rFonts w:cs="Arial"/>
        </w:rPr>
        <w:t xml:space="preserve">; </w:t>
      </w:r>
      <w:r w:rsidRPr="00F371C5">
        <w:rPr>
          <w:rFonts w:cs="Arial"/>
          <w:color w:val="7F7F7F" w:themeColor="text1" w:themeTint="80"/>
        </w:rPr>
        <w:t>Sohrabji et al., 2017</w:t>
      </w:r>
      <w:r w:rsidRPr="00250B3C">
        <w:rPr>
          <w:rFonts w:cs="Arial"/>
        </w:rPr>
        <w:t xml:space="preserve">). </w:t>
      </w:r>
    </w:p>
    <w:p w14:paraId="477CDD02" w14:textId="77777777" w:rsidR="00546BD9" w:rsidRPr="00250B3C" w:rsidRDefault="00546BD9" w:rsidP="00546BD9">
      <w:pPr>
        <w:spacing w:after="120" w:line="276" w:lineRule="auto"/>
        <w:rPr>
          <w:rFonts w:cs="Arial"/>
        </w:rPr>
      </w:pPr>
      <w:r w:rsidRPr="00250B3C">
        <w:rPr>
          <w:rFonts w:cs="Arial"/>
        </w:rPr>
        <w:t xml:space="preserve">There is also some evidence that sex differences in stroke sensitivity are not purely mediated by the different sex steroids, which fluctuate through life, </w:t>
      </w:r>
      <w:r w:rsidRPr="00264207">
        <w:rPr>
          <w:rFonts w:cs="Arial"/>
        </w:rPr>
        <w:t>but also by sex chromosomes.  Studies have shown that in cells derived from neonatal populations, male-derived (XY) cells are more vulnerable to ischaemic injuries than female-derived (XX) cells – even in low hormonal concentrations (</w:t>
      </w:r>
      <w:r w:rsidRPr="00264207">
        <w:rPr>
          <w:rFonts w:cs="Arial"/>
          <w:color w:val="7F7F7F" w:themeColor="text1" w:themeTint="80"/>
        </w:rPr>
        <w:t>Koellhoffer &amp; McCullough, 2012</w:t>
      </w:r>
      <w:r w:rsidRPr="00264207">
        <w:rPr>
          <w:rFonts w:cs="Arial"/>
        </w:rPr>
        <w:t xml:space="preserve">; </w:t>
      </w:r>
      <w:r w:rsidRPr="00264207">
        <w:rPr>
          <w:rFonts w:cs="Arial"/>
          <w:color w:val="7F7F7F" w:themeColor="text1" w:themeTint="80"/>
        </w:rPr>
        <w:t>Li et al., 2005</w:t>
      </w:r>
      <w:r w:rsidRPr="00264207">
        <w:rPr>
          <w:rFonts w:cs="Arial"/>
        </w:rPr>
        <w:t xml:space="preserve">; </w:t>
      </w:r>
      <w:r w:rsidRPr="00264207">
        <w:rPr>
          <w:rFonts w:cs="Arial"/>
          <w:color w:val="7F7F7F" w:themeColor="text1" w:themeTint="80"/>
        </w:rPr>
        <w:t>Liu et al., 2008</w:t>
      </w:r>
      <w:r w:rsidRPr="00264207">
        <w:rPr>
          <w:rFonts w:cs="Arial"/>
        </w:rPr>
        <w:t>). Interestingly, the opposite effects have been demonstrated in aged mice: At low sex steroid levels, animals with XX chromosomes had larger infarcts, higher inflammatory responses, and more severe neurological deficits. However, the detrimental effect of a second X chromosome only emerged after reproductive maturation.</w:t>
      </w:r>
      <w:r w:rsidRPr="00250B3C">
        <w:rPr>
          <w:rFonts w:cs="Arial"/>
        </w:rPr>
        <w:t xml:space="preserve"> Therefore, it seems likely that (ischemic) strokes are affected by a complex interaction of aging, sex-specific neuro-steroids, and sex chromosomes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Manwani et al., 2014</w:t>
      </w:r>
      <w:r w:rsidRPr="00250B3C">
        <w:rPr>
          <w:rFonts w:cs="Arial"/>
        </w:rPr>
        <w:t xml:space="preserve">; </w:t>
      </w:r>
      <w:r w:rsidRPr="00F371C5">
        <w:rPr>
          <w:rFonts w:cs="Arial"/>
          <w:color w:val="7F7F7F" w:themeColor="text1" w:themeTint="80"/>
        </w:rPr>
        <w:t>McCullough et al., 2016</w:t>
      </w:r>
      <w:r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4" w:name="_Toc116064598"/>
      <w:r w:rsidRPr="00250B3C">
        <w:rPr>
          <w:rFonts w:ascii="Avenir Next LT Pro Light" w:eastAsiaTheme="majorEastAsia" w:hAnsi="Avenir Next LT Pro Light" w:cstheme="majorBidi"/>
          <w:spacing w:val="4"/>
          <w:sz w:val="24"/>
          <w:szCs w:val="24"/>
        </w:rPr>
        <w:lastRenderedPageBreak/>
        <w:t>Visuospatial Neglect</w:t>
      </w:r>
      <w:bookmarkEnd w:id="4"/>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Carrera &amp; Tononi, 2014</w:t>
      </w:r>
      <w:r w:rsidRPr="00250B3C">
        <w:rPr>
          <w:rFonts w:cs="Arial"/>
          <w:lang w:val="en-US"/>
        </w:rPr>
        <w:t xml:space="preserve">; </w:t>
      </w:r>
      <w:r w:rsidRPr="00F371C5">
        <w:rPr>
          <w:rFonts w:cs="Arial"/>
          <w:color w:val="7F7F7F" w:themeColor="text1" w:themeTint="80"/>
          <w:lang w:val="en-US"/>
        </w:rPr>
        <w:t>Griffis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r w:rsidRPr="00F371C5">
        <w:rPr>
          <w:rFonts w:cs="Arial"/>
          <w:color w:val="7F7F7F" w:themeColor="text1" w:themeTint="80"/>
          <w:lang w:val="en-US"/>
        </w:rPr>
        <w:t>Karnath &amp; Rorden,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r w:rsidRPr="00F371C5">
        <w:rPr>
          <w:color w:val="7F7F7F" w:themeColor="text1" w:themeTint="80"/>
        </w:rPr>
        <w:t>Corbetta et al., 2005</w:t>
      </w:r>
      <w:r w:rsidRPr="00250B3C">
        <w:t xml:space="preserve">; </w:t>
      </w:r>
      <w:r w:rsidRPr="00F371C5">
        <w:rPr>
          <w:color w:val="7F7F7F" w:themeColor="text1" w:themeTint="80"/>
        </w:rPr>
        <w:t>Karnath &amp; Rorden,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At the same time, patients have difficulties in orienting towards the contralesional side and will typically ignore information located there (</w:t>
      </w:r>
      <w:r w:rsidRPr="00F371C5">
        <w:rPr>
          <w:color w:val="7F7F7F" w:themeColor="text1" w:themeTint="80"/>
        </w:rPr>
        <w:t>Becker &amp; Karnath, 2010</w:t>
      </w:r>
      <w:r w:rsidRPr="00250B3C">
        <w:t xml:space="preserve">; </w:t>
      </w:r>
      <w:r w:rsidRPr="00F371C5">
        <w:rPr>
          <w:color w:val="7F7F7F" w:themeColor="text1" w:themeTint="80"/>
        </w:rPr>
        <w:t>Corbetta &amp; Shulman, 2011</w:t>
      </w:r>
      <w:r w:rsidRPr="00250B3C">
        <w:t xml:space="preserve">; </w:t>
      </w:r>
      <w:r w:rsidRPr="00F371C5">
        <w:rPr>
          <w:color w:val="7F7F7F" w:themeColor="text1" w:themeTint="80"/>
        </w:rPr>
        <w:t>Karnath, 2015</w:t>
      </w:r>
      <w:r w:rsidRPr="00250B3C">
        <w:t xml:space="preserve">; </w:t>
      </w:r>
      <w:r w:rsidRPr="00F371C5">
        <w:rPr>
          <w:color w:val="7F7F7F" w:themeColor="text1" w:themeTint="80"/>
        </w:rPr>
        <w:t>Karnath &amp; Rorden, 2012</w:t>
      </w:r>
      <w:r w:rsidRPr="00250B3C">
        <w:t xml:space="preserve">). </w:t>
      </w:r>
      <w:r w:rsidR="00B10987" w:rsidRPr="00B10987">
        <w:t>Typically, these behavioural core symptoms of neglect manifest with reference to the patient’s egocentre, i.e., relative to their own body centre (</w:t>
      </w:r>
      <w:r w:rsidR="00B10987" w:rsidRPr="00B10987">
        <w:rPr>
          <w:color w:val="7F7F7F" w:themeColor="text1" w:themeTint="80"/>
        </w:rPr>
        <w:t>Corbetta &amp; Shulman, 2011</w:t>
      </w:r>
      <w:r w:rsidR="00B10987" w:rsidRPr="00B10987">
        <w:t xml:space="preserve">; </w:t>
      </w:r>
      <w:r w:rsidR="00B10987" w:rsidRPr="00B10987">
        <w:rPr>
          <w:color w:val="7F7F7F" w:themeColor="text1" w:themeTint="80"/>
        </w:rPr>
        <w:t>Karnath &amp; Rorden,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r w:rsidRPr="00F371C5">
        <w:rPr>
          <w:color w:val="7F7F7F" w:themeColor="text1" w:themeTint="80"/>
        </w:rPr>
        <w:t>Heilman &amp; Valenstein, 1979</w:t>
      </w:r>
      <w:r w:rsidRPr="00250B3C">
        <w:t xml:space="preserve">; </w:t>
      </w:r>
      <w:r w:rsidRPr="00F371C5">
        <w:rPr>
          <w:color w:val="7F7F7F" w:themeColor="text1" w:themeTint="80"/>
        </w:rPr>
        <w:t>Karnath, 2012</w:t>
      </w:r>
      <w:r w:rsidRPr="00250B3C">
        <w:t>).</w:t>
      </w:r>
      <w:r w:rsidRPr="00250B3C">
        <w:rPr>
          <w:strike/>
        </w:rPr>
        <w:t xml:space="preserve"> </w:t>
      </w:r>
    </w:p>
    <w:p w14:paraId="3EF81942" w14:textId="0FE878FC"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r w:rsidRPr="00F371C5">
        <w:rPr>
          <w:color w:val="7F7F7F" w:themeColor="text1" w:themeTint="80"/>
        </w:rPr>
        <w:t>Corbetta, 2014</w:t>
      </w:r>
      <w:r w:rsidRPr="00250B3C">
        <w:t xml:space="preserve">; </w:t>
      </w:r>
      <w:r w:rsidRPr="00F371C5">
        <w:rPr>
          <w:color w:val="7F7F7F" w:themeColor="text1" w:themeTint="80"/>
        </w:rPr>
        <w:t>Hammerbeck et al., 2019</w:t>
      </w:r>
      <w:r w:rsidRPr="00250B3C">
        <w:t xml:space="preserve">). In a large-scale observational study comprising more than 80,000 stroke patients from the United Kingdom, </w:t>
      </w:r>
      <w:r w:rsidRPr="00F371C5">
        <w:rPr>
          <w:color w:val="7F7F7F" w:themeColor="text1" w:themeTint="80"/>
        </w:rPr>
        <w:t>Hammerbeck et al. (2019)</w:t>
      </w:r>
      <w:r w:rsidRPr="00250B3C">
        <w:t xml:space="preserve"> established that neglect is associated with higher age at stroke onset </w:t>
      </w:r>
      <w:r w:rsidR="00B10987">
        <w:t>of 3 years on average,</w:t>
      </w:r>
      <w:r w:rsidRPr="00250B3C">
        <w:t xml:space="preserve"> with more severe strokes, greater disability, and mortality. Further, they discovered a sex difference in acute neglect incidence, with women exhibiting a prevalence of 33% versus 27% in men. </w:t>
      </w:r>
      <w:r w:rsidRPr="00264207">
        <w:t>Recovery rates for the core symptoms during the post-acute phase are relatively high at 70-80% (</w:t>
      </w:r>
      <w:r w:rsidRPr="00264207">
        <w:rPr>
          <w:color w:val="7F7F7F" w:themeColor="text1" w:themeTint="80"/>
        </w:rPr>
        <w:t>Demeyere &amp; Gillebert, 2019</w:t>
      </w:r>
      <w:r w:rsidRPr="00264207">
        <w:t>), making the prevalence rates of chronic neglect considerably lower than for acute neglect. Current estimates for chronic neglect prevalence vary from 8-12% (</w:t>
      </w:r>
      <w:r w:rsidRPr="00264207">
        <w:rPr>
          <w:color w:val="7F7F7F" w:themeColor="text1" w:themeTint="80"/>
        </w:rPr>
        <w:t>Jehkonen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r w:rsidRPr="00F371C5">
        <w:rPr>
          <w:color w:val="7F7F7F" w:themeColor="text1" w:themeTint="80"/>
        </w:rPr>
        <w:t>Jehkonen et al., 2000 &amp; 2007</w:t>
      </w:r>
      <w:r w:rsidRPr="00250B3C">
        <w:t xml:space="preserve">; </w:t>
      </w:r>
      <w:r w:rsidRPr="00F371C5">
        <w:rPr>
          <w:color w:val="7F7F7F" w:themeColor="text1" w:themeTint="80"/>
        </w:rPr>
        <w:t>Wee &amp; Hopman, 2008</w:t>
      </w:r>
      <w:r w:rsidRPr="00250B3C">
        <w:t xml:space="preserve">; </w:t>
      </w:r>
      <w:r w:rsidRPr="00F371C5">
        <w:rPr>
          <w:color w:val="7F7F7F" w:themeColor="text1" w:themeTint="80"/>
        </w:rPr>
        <w:t>Wu et al., 2015</w:t>
      </w:r>
      <w:r w:rsidRPr="00250B3C">
        <w:t xml:space="preserve">). </w:t>
      </w:r>
    </w:p>
    <w:p w14:paraId="1192D212" w14:textId="77777777" w:rsidR="00546BD9" w:rsidRPr="00250B3C" w:rsidRDefault="00546BD9" w:rsidP="00546BD9">
      <w:pPr>
        <w:spacing w:after="120" w:line="276" w:lineRule="auto"/>
      </w:pPr>
      <w:r w:rsidRPr="00250B3C">
        <w:t>Further, those behavioural core symptoms do not necessarily only affect vision, but may also affect other modalities, such as audition, olfaction, motion, and even memory (</w:t>
      </w:r>
      <w:r w:rsidRPr="00F371C5">
        <w:rPr>
          <w:color w:val="7F7F7F" w:themeColor="text1" w:themeTint="80"/>
        </w:rPr>
        <w:t>Bisiach &amp; Luzatti, 1978</w:t>
      </w:r>
      <w:r w:rsidRPr="00250B3C">
        <w:t xml:space="preserve">; </w:t>
      </w:r>
      <w:r w:rsidRPr="00F371C5">
        <w:rPr>
          <w:color w:val="7F7F7F" w:themeColor="text1" w:themeTint="80"/>
        </w:rPr>
        <w:t>Beschin et al., 1997</w:t>
      </w:r>
      <w:r w:rsidRPr="00250B3C">
        <w:t xml:space="preserve">; </w:t>
      </w:r>
      <w:r w:rsidRPr="00F371C5">
        <w:rPr>
          <w:color w:val="7F7F7F" w:themeColor="text1" w:themeTint="80"/>
        </w:rPr>
        <w:t>Karnath, 2012</w:t>
      </w:r>
      <w:r w:rsidRPr="00250B3C">
        <w:t>). Though the symptoms may be alleviated or overcome for a short period of time, this requires top-down (e.g., verbal request) or bottom-up (e.g., visual cues) input, as often times patients are not aware of their deficit (</w:t>
      </w:r>
      <w:r w:rsidRPr="00F371C5">
        <w:rPr>
          <w:color w:val="7F7F7F" w:themeColor="text1" w:themeTint="80"/>
        </w:rPr>
        <w:t>Karnath, 2012</w:t>
      </w:r>
      <w:r w:rsidRPr="00250B3C">
        <w:t xml:space="preserve">). Given the great heterogeneity of clinical symptoms, it is common that many patients show neglect in </w:t>
      </w:r>
      <w:r w:rsidRPr="00250B3C">
        <w:lastRenderedPageBreak/>
        <w:t>a particular diagnostic test, but no sign of it in another test (</w:t>
      </w:r>
      <w:r w:rsidRPr="00F371C5">
        <w:rPr>
          <w:color w:val="7F7F7F" w:themeColor="text1" w:themeTint="80"/>
        </w:rPr>
        <w:t>Vaessen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perisylvian network – including </w:t>
      </w:r>
      <w:r w:rsidRPr="00250B3C">
        <w:t>the temporo-parietal junction (TPJ), inferior parietal lobule (IPL), superior and middle temporal cortex, insula, and ventrolat</w:t>
      </w:r>
      <w:r>
        <w:t xml:space="preserve">eral prefrontal cortex (vlPFC)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r w:rsidRPr="00B75B6A">
        <w:rPr>
          <w:color w:val="7F7F7F" w:themeColor="text1" w:themeTint="80"/>
        </w:rPr>
        <w:t>Corbetta et al., 2005</w:t>
      </w:r>
      <w:r w:rsidRPr="00250B3C">
        <w:t xml:space="preserve">; </w:t>
      </w:r>
      <w:r w:rsidRPr="00B75B6A">
        <w:rPr>
          <w:color w:val="7F7F7F" w:themeColor="text1" w:themeTint="80"/>
        </w:rPr>
        <w:t>Karnath, 2012</w:t>
      </w:r>
      <w:r w:rsidRPr="00250B3C">
        <w:t xml:space="preserve">; </w:t>
      </w:r>
      <w:r w:rsidRPr="00B75B6A">
        <w:rPr>
          <w:color w:val="7F7F7F" w:themeColor="text1" w:themeTint="80"/>
        </w:rPr>
        <w:t>Karnath &amp; Rorden, 2012</w:t>
      </w:r>
      <w:r w:rsidRPr="00250B3C">
        <w:t>). Other notable cortical regions that have been implicated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r w:rsidRPr="00B75B6A">
        <w:rPr>
          <w:color w:val="7F7F7F" w:themeColor="text1" w:themeTint="80"/>
        </w:rPr>
        <w:t>Corbetta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r w:rsidRPr="00B75B6A">
        <w:rPr>
          <w:bCs/>
          <w:color w:val="7F7F7F" w:themeColor="text1" w:themeTint="80"/>
        </w:rPr>
        <w:t>Karnath &amp; Niemeier, 2002</w:t>
      </w:r>
      <w:r w:rsidRPr="00250B3C">
        <w:rPr>
          <w:bCs/>
        </w:rPr>
        <w:t xml:space="preserve">). </w:t>
      </w:r>
    </w:p>
    <w:p w14:paraId="4DC24445" w14:textId="7777777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r w:rsidRPr="00B75B6A">
        <w:rPr>
          <w:bCs/>
          <w:color w:val="7F7F7F" w:themeColor="text1" w:themeTint="80"/>
        </w:rPr>
        <w:t>Corbetta, 2014</w:t>
      </w:r>
      <w:r w:rsidRPr="00250B3C">
        <w:rPr>
          <w:bCs/>
        </w:rPr>
        <w:t xml:space="preserve">; </w:t>
      </w:r>
      <w:r w:rsidRPr="00B75B6A">
        <w:rPr>
          <w:bCs/>
          <w:color w:val="7F7F7F" w:themeColor="text1" w:themeTint="80"/>
        </w:rPr>
        <w:t>Mesulam, 1981</w:t>
      </w:r>
      <w:r w:rsidRPr="00250B3C">
        <w:rPr>
          <w:bCs/>
        </w:rPr>
        <w:t xml:space="preserve">; </w:t>
      </w:r>
      <w:r w:rsidRPr="00B75B6A">
        <w:rPr>
          <w:bCs/>
          <w:color w:val="7F7F7F" w:themeColor="text1" w:themeTint="80"/>
        </w:rPr>
        <w:t>Saxena et al., 2022</w:t>
      </w:r>
      <w:r w:rsidRPr="00250B3C">
        <w:rPr>
          <w:bCs/>
        </w:rPr>
        <w:t xml:space="preserve">; </w:t>
      </w:r>
      <w:r w:rsidRPr="00B75B6A">
        <w:rPr>
          <w:bCs/>
          <w:color w:val="7F7F7F" w:themeColor="text1" w:themeTint="80"/>
        </w:rPr>
        <w:t>Vaessen et al., 2016</w:t>
      </w:r>
      <w:r w:rsidRPr="00250B3C">
        <w:rPr>
          <w:bCs/>
        </w:rPr>
        <w:t>). Several studies in animal models have demonstrated that severe experimental neglect could only be induced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r w:rsidRPr="00B75B6A">
        <w:rPr>
          <w:bCs/>
          <w:color w:val="7F7F7F" w:themeColor="text1" w:themeTint="80"/>
        </w:rPr>
        <w:t>Gaffan &amp; Hornak, 1997</w:t>
      </w:r>
      <w:r w:rsidRPr="00250B3C">
        <w:rPr>
          <w:bCs/>
        </w:rPr>
        <w:t xml:space="preserve">; </w:t>
      </w:r>
      <w:r w:rsidRPr="00B75B6A">
        <w:rPr>
          <w:bCs/>
          <w:color w:val="7F7F7F" w:themeColor="text1" w:themeTint="80"/>
        </w:rPr>
        <w:t>Reep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r w:rsidRPr="00B75B6A">
        <w:rPr>
          <w:color w:val="7F7F7F" w:themeColor="text1" w:themeTint="80"/>
        </w:rPr>
        <w:t>Chechlacz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 It also has been shown that neglect severity is greater when lesions reach deep into the WM, compared to cortical lesions of a similar size (</w:t>
      </w:r>
      <w:r w:rsidRPr="00B75B6A">
        <w:rPr>
          <w:bCs/>
          <w:color w:val="7F7F7F" w:themeColor="text1" w:themeTint="80"/>
        </w:rPr>
        <w:t>Corbetta,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w:t>
      </w:r>
      <w:r w:rsidRPr="00250B3C">
        <w:rPr>
          <w:bCs/>
        </w:rPr>
        <w:lastRenderedPageBreak/>
        <w:t xml:space="preserve">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r w:rsidRPr="00B75B6A">
        <w:rPr>
          <w:bCs/>
          <w:color w:val="7F7F7F" w:themeColor="text1" w:themeTint="80"/>
          <w:lang w:val="en-US"/>
        </w:rPr>
        <w:t>Thiebaut de Schotten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r w:rsidRPr="00B75B6A">
        <w:rPr>
          <w:bCs/>
          <w:color w:val="7F7F7F" w:themeColor="text1" w:themeTint="80"/>
          <w:lang w:val="en-US"/>
        </w:rPr>
        <w:t>Vaessen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r w:rsidRPr="00B75B6A">
        <w:rPr>
          <w:bCs/>
          <w:color w:val="7F7F7F" w:themeColor="text1" w:themeTint="80"/>
        </w:rPr>
        <w:t xml:space="preserve">Corbetta’s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r w:rsidRPr="00B75B6A">
        <w:rPr>
          <w:bCs/>
          <w:color w:val="7F7F7F" w:themeColor="text1" w:themeTint="80"/>
        </w:rPr>
        <w:t>Karnath &amp; Niemeier’s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r w:rsidRPr="00B75B6A">
        <w:rPr>
          <w:bCs/>
          <w:color w:val="7F7F7F" w:themeColor="text1" w:themeTint="80"/>
          <w:lang w:val="en-US"/>
        </w:rPr>
        <w:t>Bozzali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r w:rsidRPr="00B75B6A">
        <w:rPr>
          <w:bCs/>
          <w:color w:val="7F7F7F" w:themeColor="text1" w:themeTint="80"/>
        </w:rPr>
        <w:t xml:space="preserve">Griffis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0B582A65"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Carrera &amp; Tononi,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t>cf.</w:t>
      </w:r>
      <w:r w:rsidRPr="00250B3C">
        <w:t xml:space="preserve">, </w:t>
      </w:r>
      <w:r w:rsidRPr="00B75B6A">
        <w:rPr>
          <w:color w:val="7F7F7F" w:themeColor="text1" w:themeTint="80"/>
        </w:rPr>
        <w:t>Catani &amp; Ffytche, 2005</w:t>
      </w:r>
      <w:r w:rsidRPr="00250B3C">
        <w:t xml:space="preserve">; </w:t>
      </w:r>
      <w:r w:rsidRPr="00B75B6A">
        <w:rPr>
          <w:color w:val="7F7F7F" w:themeColor="text1" w:themeTint="80"/>
        </w:rPr>
        <w:t>Duffau,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5" w:name="_Toc116064599"/>
      <w:r w:rsidRPr="00250B3C">
        <w:rPr>
          <w:rFonts w:ascii="Avenir Next LT Pro Light" w:eastAsiaTheme="majorEastAsia" w:hAnsi="Avenir Next LT Pro Light" w:cstheme="majorBidi"/>
          <w:spacing w:val="4"/>
          <w:sz w:val="24"/>
          <w:szCs w:val="24"/>
        </w:rPr>
        <w:lastRenderedPageBreak/>
        <w:t>Motivation</w:t>
      </w:r>
      <w:bookmarkEnd w:id="5"/>
    </w:p>
    <w:bookmarkEnd w:id="1"/>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25D9F86C"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incidence between the sexes have been established (</w:t>
      </w:r>
      <w:r w:rsidR="007A3B42" w:rsidRPr="006D06CE">
        <w:rPr>
          <w:color w:val="7F7F7F" w:themeColor="text1" w:themeTint="80"/>
        </w:rPr>
        <w:t>Hammerbeck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Kleinman et al., 2008; Varnava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r w:rsidR="00584C94" w:rsidRPr="00584C94">
        <w:rPr>
          <w:color w:val="7F7F7F" w:themeColor="text1" w:themeTint="80"/>
        </w:rPr>
        <w:t>Ingalhalikar et al., 2013</w:t>
      </w:r>
      <w:r w:rsidR="00584C94">
        <w:t>) and that neglect has increasingly been considered to be a disconnection syndrome (</w:t>
      </w:r>
      <w:r w:rsidR="00584C94" w:rsidRPr="006D06CE">
        <w:rPr>
          <w:color w:val="7F7F7F" w:themeColor="text1" w:themeTint="80"/>
        </w:rPr>
        <w:t>Bartolomeo et al., 2007; Doricchi et al., 2008; Thiebaut de Schotten et al., 2008</w:t>
      </w:r>
      <w:r w:rsidR="00584C94">
        <w:rPr>
          <w:color w:val="7F7F7F" w:themeColor="text1" w:themeTint="80"/>
        </w:rPr>
        <w:t xml:space="preserve">). </w:t>
      </w:r>
    </w:p>
    <w:p w14:paraId="7C8A641D" w14:textId="0C40268C"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(cf., </w:t>
      </w:r>
      <w:r w:rsidR="00B419AB" w:rsidRPr="00B419AB">
        <w:rPr>
          <w:color w:val="7F7F7F" w:themeColor="text1" w:themeTint="80"/>
        </w:rPr>
        <w:t>Bonkhoff et al., 2021</w:t>
      </w:r>
      <w:r w:rsidR="00B419AB">
        <w:t xml:space="preserve">; </w:t>
      </w:r>
      <w:r w:rsidR="00B419AB" w:rsidRPr="00B419AB">
        <w:rPr>
          <w:color w:val="7F7F7F" w:themeColor="text1" w:themeTint="80"/>
        </w:rPr>
        <w:t>Hammerbeck et al., 2019</w:t>
      </w:r>
      <w:r w:rsidR="00B419AB">
        <w:t xml:space="preserve">). Secondly, we </w:t>
      </w:r>
      <w:r w:rsidR="00353508">
        <w:t>evaluate</w:t>
      </w:r>
      <w:r w:rsidR="001C7866">
        <w:t>d</w:t>
      </w:r>
      <w:r w:rsidR="00B419AB">
        <w:t xml:space="preserve"> if there are differences in lesion localisation that can be attributed either purely to sex or to sex-specific differences in neglect severity. Thirdly, </w:t>
      </w:r>
      <w:r w:rsidR="00353508">
        <w:t>we used a recently introduced method of indirect lesion-connectome mapping (</w:t>
      </w:r>
      <w:r w:rsidR="00353508" w:rsidRPr="00353508">
        <w:rPr>
          <w:color w:val="7F7F7F" w:themeColor="text1" w:themeTint="80"/>
        </w:rPr>
        <w:t>Griffis et al., 2019</w:t>
      </w:r>
      <w:r w:rsidR="00353508">
        <w:t>) to assess different disconnectivity measures based on lesion data.</w:t>
      </w:r>
      <w:r w:rsidR="001C7866">
        <w:t xml:space="preserve"> We examined if there are any sex differences or sex-specific differences in neglect severity in the whole-brain disconnectivity or region-to-region 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6" w:name="_Toc116064600"/>
      <w:r>
        <w:rPr>
          <w:b/>
          <w:bCs/>
        </w:rPr>
        <w:br w:type="page"/>
      </w:r>
    </w:p>
    <w:p w14:paraId="6A8BE114" w14:textId="4CC94B9A" w:rsidR="00ED13AD" w:rsidRPr="00EA784A" w:rsidRDefault="000E5F13" w:rsidP="00EA784A">
      <w:pPr>
        <w:pStyle w:val="berschrift2"/>
        <w:numPr>
          <w:ilvl w:val="0"/>
          <w:numId w:val="3"/>
        </w:numPr>
        <w:rPr>
          <w:b w:val="0"/>
          <w:bCs w:val="0"/>
        </w:rPr>
      </w:pPr>
      <w:r w:rsidRPr="00EA784A">
        <w:rPr>
          <w:b w:val="0"/>
          <w:bCs w:val="0"/>
        </w:rPr>
        <w:lastRenderedPageBreak/>
        <w:t>Material &amp; Methods</w:t>
      </w:r>
      <w:bookmarkEnd w:id="6"/>
    </w:p>
    <w:p w14:paraId="1C5C558C" w14:textId="7E725EDD" w:rsidR="00A40F89" w:rsidRDefault="000E5F13" w:rsidP="00A40F89">
      <w:pPr>
        <w:pStyle w:val="berschrift3"/>
        <w:numPr>
          <w:ilvl w:val="1"/>
          <w:numId w:val="3"/>
        </w:numPr>
      </w:pPr>
      <w:bookmarkStart w:id="7" w:name="_Toc116064601"/>
      <w:r w:rsidRPr="00EA784A">
        <w:t>Patient Sample</w:t>
      </w:r>
      <w:bookmarkEnd w:id="7"/>
    </w:p>
    <w:p w14:paraId="4FE913FE" w14:textId="148CCD84" w:rsidR="008A06EC" w:rsidRDefault="00A161AB" w:rsidP="008A06EC">
      <w:pPr>
        <w:rPr>
          <w:lang w:val="en-US"/>
        </w:rPr>
      </w:pPr>
      <w:bookmarkStart w:id="8"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enabsatz"/>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enabsatz"/>
        <w:numPr>
          <w:ilvl w:val="0"/>
          <w:numId w:val="4"/>
        </w:numPr>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enabsatz"/>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645A87C2" w:rsidR="00A562FB" w:rsidRPr="00AC673A" w:rsidRDefault="00314544" w:rsidP="00A562FB">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r w:rsidR="00D91FE5" w:rsidRPr="00533EFF">
        <w:rPr>
          <w:highlight w:val="darkCyan"/>
          <w:lang w:val="en-US"/>
        </w:rPr>
        <w:t>Supplementary</w:t>
      </w:r>
      <w:r w:rsidR="00FC21CD" w:rsidRPr="00533EFF">
        <w:rPr>
          <w:highlight w:val="darkCyan"/>
          <w:lang w:val="en-US"/>
        </w:rPr>
        <w:t xml:space="preserve"> Tables 1a and 1b</w:t>
      </w:r>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9"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r w:rsidR="00196F92" w:rsidRPr="00747EBA">
        <w:rPr>
          <w:sz w:val="18"/>
          <w:szCs w:val="18"/>
          <w:lang w:val="en-US"/>
        </w:rPr>
        <w:t>Rorden &amp; Karnath, 2010</w:t>
      </w:r>
      <w:r w:rsidR="00196F92">
        <w:rPr>
          <w:sz w:val="18"/>
          <w:szCs w:val="18"/>
          <w:lang w:val="en-US"/>
        </w:rPr>
        <w:t>)</w:t>
      </w:r>
    </w:p>
    <w:bookmarkEnd w:id="8"/>
    <w:bookmarkEnd w:id="9"/>
    <w:p w14:paraId="3969C7B3" w14:textId="77777777" w:rsidR="00483B4A" w:rsidRPr="006D687B" w:rsidRDefault="00483B4A" w:rsidP="00483B4A">
      <w:pPr>
        <w:rPr>
          <w:lang w:val="en-US"/>
        </w:rPr>
      </w:pPr>
    </w:p>
    <w:p w14:paraId="50424A5A" w14:textId="23F54160" w:rsidR="00A0198A" w:rsidRDefault="008A06EC" w:rsidP="00A0198A">
      <w:pPr>
        <w:pStyle w:val="berschrift3"/>
        <w:numPr>
          <w:ilvl w:val="1"/>
          <w:numId w:val="3"/>
        </w:numPr>
      </w:pPr>
      <w:bookmarkStart w:id="10" w:name="_Behavioural_Data"/>
      <w:bookmarkStart w:id="11" w:name="_Toc116064602"/>
      <w:bookmarkEnd w:id="10"/>
      <w:r w:rsidRPr="00AC673A">
        <w:t>Behavioural Data</w:t>
      </w:r>
      <w:bookmarkEnd w:id="11"/>
    </w:p>
    <w:p w14:paraId="42B87965" w14:textId="2769C812" w:rsidR="008A06EC" w:rsidRPr="00376FFF" w:rsidRDefault="008D62DA" w:rsidP="00A0198A">
      <w:bookmarkStart w:id="12"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Weintraub &amp; Mesulam,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r w:rsidR="00E26B47" w:rsidRPr="005C54EA">
        <w:rPr>
          <w:color w:val="7F7F7F" w:themeColor="text1" w:themeTint="80"/>
        </w:rPr>
        <w:t>Karnath &amp; Niemeier, 2002</w:t>
      </w:r>
      <w:r w:rsidR="0089785B" w:rsidRPr="00E26B47">
        <w:t xml:space="preserve">; </w:t>
      </w:r>
      <w:r w:rsidR="0089785B">
        <w:t xml:space="preserve">see </w:t>
      </w:r>
      <w:r w:rsidR="0089785B" w:rsidRPr="005C54EA">
        <w:rPr>
          <w:color w:val="7F7F7F" w:themeColor="text1" w:themeTint="80"/>
        </w:rPr>
        <w:t xml:space="preserve">Rorden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r w:rsidR="00784EDD" w:rsidRPr="005C54EA">
        <w:rPr>
          <w:color w:val="7F7F7F" w:themeColor="text1" w:themeTint="80"/>
          <w:lang w:val="en-US"/>
        </w:rPr>
        <w:t>Rorden &amp; Karnath,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A0198A">
      <w:r>
        <w:lastRenderedPageBreak/>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7DC3CF27" w:rsidR="005F26FC" w:rsidRDefault="00C749DD" w:rsidP="00A0198A">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1564C690" w14:textId="66988466" w:rsidR="00CB3E93" w:rsidRPr="00CB3E93" w:rsidRDefault="00CB3E93" w:rsidP="00CB3E93">
      <w:pPr>
        <w:pStyle w:val="berschrift3"/>
        <w:numPr>
          <w:ilvl w:val="1"/>
          <w:numId w:val="3"/>
        </w:numPr>
      </w:pPr>
      <w:bookmarkStart w:id="13" w:name="_Toc116064603"/>
      <w:r>
        <w:t>Neuroimaging Data</w:t>
      </w:r>
      <w:bookmarkEnd w:id="13"/>
    </w:p>
    <w:p w14:paraId="5110C47C" w14:textId="667FDFEF"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13F5538C"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r w:rsidR="009B3F88" w:rsidRPr="00D67769">
        <w:rPr>
          <w:highlight w:val="darkCyan"/>
        </w:rPr>
        <w:t>Supplementary Table</w:t>
      </w:r>
      <w:r w:rsidR="00930AD5" w:rsidRPr="00D67769">
        <w:rPr>
          <w:highlight w:val="darkCyan"/>
        </w:rPr>
        <w:t>s</w:t>
      </w:r>
      <w:r w:rsidR="009B3F88" w:rsidRPr="00D67769">
        <w:rPr>
          <w:highlight w:val="darkCyan"/>
        </w:rPr>
        <w:t xml:space="preserve"> 2</w:t>
      </w:r>
      <w:r w:rsidR="00930AD5" w:rsidRPr="00D67769">
        <w:rPr>
          <w:rStyle w:val="Hyperlink"/>
          <w:rFonts w:ascii="Ebrima" w:hAnsi="Ebrima"/>
          <w:color w:val="auto"/>
          <w:highlight w:val="darkCyan"/>
        </w:rPr>
        <w:t>a</w:t>
      </w:r>
      <w:r w:rsidR="009B3F88" w:rsidRPr="00D67769">
        <w:rPr>
          <w:highlight w:val="darkCyan"/>
        </w:rPr>
        <w:t xml:space="preserve"> </w:t>
      </w:r>
      <w:r w:rsidR="00930AD5" w:rsidRPr="00D67769">
        <w:rPr>
          <w:highlight w:val="darkCyan"/>
        </w:rPr>
        <w:t>and 2b</w:t>
      </w:r>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14" w:name="_Hlk104548924"/>
      <w:bookmarkEnd w:id="12"/>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de Haan and Karnath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r w:rsidR="00907C33" w:rsidRPr="005C54EA">
        <w:rPr>
          <w:color w:val="7F7F7F" w:themeColor="text1" w:themeTint="80"/>
        </w:rPr>
        <w:t>Clas et al., 2012</w:t>
      </w:r>
      <w:r w:rsidR="00907C33">
        <w:t xml:space="preserve">; </w:t>
      </w:r>
      <w:r w:rsidR="003B65EB" w:rsidRPr="005C54EA">
        <w:rPr>
          <w:color w:val="7F7F7F" w:themeColor="text1" w:themeTint="80"/>
        </w:rPr>
        <w:t>de Haan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r w:rsidR="00907C33" w:rsidRPr="005C54EA">
        <w:rPr>
          <w:color w:val="7F7F7F" w:themeColor="text1" w:themeTint="80"/>
        </w:rPr>
        <w:t>Clas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23622331" w:rsidR="003B65EB" w:rsidRDefault="00471D19" w:rsidP="005A7ED5">
      <w:pPr>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xml:space="preserve">. Afterwards, the corresponding lesion maps were added and corrected for potential overlaps </w:t>
      </w:r>
      <w:r w:rsidR="004148D1">
        <w:lastRenderedPageBreak/>
        <w:t>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r w:rsidR="00EA6BA6" w:rsidRPr="005C54EA">
        <w:rPr>
          <w:color w:val="7F7F7F" w:themeColor="text1" w:themeTint="80"/>
        </w:rPr>
        <w:t>Rorden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r w:rsidR="004331E1" w:rsidRPr="005C54EA">
        <w:rPr>
          <w:color w:val="7F7F7F" w:themeColor="text1" w:themeTint="80"/>
        </w:rPr>
        <w:t>Rorden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berschrift2"/>
        <w:numPr>
          <w:ilvl w:val="0"/>
          <w:numId w:val="3"/>
        </w:numPr>
        <w:rPr>
          <w:b w:val="0"/>
        </w:rPr>
      </w:pPr>
      <w:bookmarkStart w:id="15" w:name="_Toc116064604"/>
      <w:bookmarkEnd w:id="14"/>
      <w:r w:rsidRPr="0013785F">
        <w:rPr>
          <w:b w:val="0"/>
        </w:rPr>
        <w:lastRenderedPageBreak/>
        <w:t>Data Analysis</w:t>
      </w:r>
      <w:bookmarkEnd w:id="15"/>
    </w:p>
    <w:p w14:paraId="039DDD30" w14:textId="505A86CC" w:rsidR="006A5AAF" w:rsidRDefault="00D2266E" w:rsidP="00610E4A">
      <w:pPr>
        <w:pStyle w:val="berschrift3"/>
        <w:numPr>
          <w:ilvl w:val="1"/>
          <w:numId w:val="3"/>
        </w:numPr>
      </w:pPr>
      <w:bookmarkStart w:id="16" w:name="_Lesion_Analysis"/>
      <w:bookmarkStart w:id="17" w:name="_Toc116064605"/>
      <w:bookmarkStart w:id="18" w:name="_Hlk107484099"/>
      <w:bookmarkStart w:id="19" w:name="_Voxel-based_Lesion-Behaviour_Mappin"/>
      <w:bookmarkEnd w:id="16"/>
      <w:bookmarkEnd w:id="19"/>
      <w:r>
        <w:t>Voxel-based Lesion-Behaviour Mapping</w:t>
      </w:r>
      <w:bookmarkEnd w:id="17"/>
    </w:p>
    <w:p w14:paraId="31E19CD8" w14:textId="76537CE6" w:rsidR="00C611B1" w:rsidRDefault="008708D1" w:rsidP="008708D1">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de Haan &amp; Karnath, 2018</w:t>
      </w:r>
      <w:r w:rsidR="000D19C6">
        <w:t xml:space="preserve">). </w:t>
      </w:r>
      <w:r w:rsidR="00E11B80">
        <w:t xml:space="preserve">The resulting topographies were interpreted by referencing the </w:t>
      </w:r>
      <w:r w:rsidR="00E11B80" w:rsidRPr="00A4617B">
        <w:t>Brainnetome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3FA73B5D"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we ran the analysis using binary voxel status (i.e., 0 = undamaged, 1 = damaged) as independent variable and sex as dependent variable, before repeating the analysis using the normalised behavioural score as dependent variable. This was done to dissociate which effects are fully attributable to sex, and which effects were due to sex differences that are associated with neglect.</w:t>
      </w:r>
      <w:r w:rsidR="004A6C1E">
        <w:t xml:space="preserve"> </w:t>
      </w:r>
      <w:r w:rsidR="001C75C0">
        <w:t>To identify voxels whose damage is associated with more severe symptoms, we first applied the VLBM analyses to the entire patient sample.</w:t>
      </w:r>
      <w:r w:rsidR="00BD282F">
        <w:t xml:space="preserve"> Then,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44D483DE" w14:textId="02111520" w:rsidR="00126F2E" w:rsidRDefault="00126F2E" w:rsidP="00126F2E">
      <w:r>
        <w:t>We performed all tests at a one-sided significance level of p&lt;0.05 and corrected for family-wise errors by employing 5000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berschrift3"/>
        <w:numPr>
          <w:ilvl w:val="1"/>
          <w:numId w:val="3"/>
        </w:numPr>
        <w:rPr>
          <w:lang w:val="de-DE"/>
        </w:rPr>
      </w:pPr>
      <w:bookmarkStart w:id="20" w:name="_Whole-brain_Disconnectivity_Mapping"/>
      <w:bookmarkStart w:id="21" w:name="_Toc116064606"/>
      <w:bookmarkStart w:id="22" w:name="_Whole-Brain_Disconnectivity"/>
      <w:bookmarkEnd w:id="18"/>
      <w:bookmarkEnd w:id="20"/>
      <w:bookmarkEnd w:id="22"/>
      <w:r>
        <w:rPr>
          <w:lang w:val="de-DE"/>
        </w:rPr>
        <w:t>Whole-</w:t>
      </w:r>
      <w:r w:rsidR="006B7D75">
        <w:rPr>
          <w:lang w:val="de-DE"/>
        </w:rPr>
        <w:t>B</w:t>
      </w:r>
      <w:r>
        <w:rPr>
          <w:lang w:val="de-DE"/>
        </w:rPr>
        <w:t>rain Disconnectivity</w:t>
      </w:r>
      <w:bookmarkEnd w:id="21"/>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r w:rsidR="00C3717E" w:rsidRPr="000D19C6">
        <w:rPr>
          <w:color w:val="7F7F7F" w:themeColor="text1" w:themeTint="80"/>
        </w:rPr>
        <w:t>Griffis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5B0D5728" w:rsidR="003C00D2" w:rsidRPr="00836643" w:rsidRDefault="00211D81" w:rsidP="00700ECE">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t>.</w:t>
      </w:r>
      <w:r w:rsidR="00425789">
        <w:t xml:space="preserve"> </w:t>
      </w:r>
      <w:r>
        <w:t xml:space="preserve">As already described in </w:t>
      </w:r>
      <w:hyperlink w:anchor="_Voxel-based_Lesion-Behaviour_Mappin" w:history="1">
        <w:r w:rsidR="000049F3" w:rsidRPr="00D67769">
          <w:rPr>
            <w:rStyle w:val="Hyperlink"/>
            <w:rFonts w:ascii="Ebrima" w:hAnsi="Ebrima"/>
          </w:rPr>
          <w:t xml:space="preserve">Section </w:t>
        </w:r>
        <w:r w:rsidRPr="00D67769">
          <w:rPr>
            <w:rStyle w:val="Hyperlink"/>
            <w:rFonts w:ascii="Ebrima" w:hAnsi="Ebrima"/>
          </w:rPr>
          <w:t>3.1.</w:t>
        </w:r>
      </w:hyperlink>
      <w:r>
        <w:t xml:space="preserve"> for the </w:t>
      </w:r>
      <w:r w:rsidR="001C75C0">
        <w:t>VLBM analysis</w:t>
      </w:r>
      <w:r>
        <w:t>, we r</w:t>
      </w:r>
      <w:r w:rsidR="00425789">
        <w:t>an</w:t>
      </w:r>
      <w:r>
        <w:t xml:space="preserve"> this analysis</w:t>
      </w:r>
      <w:r w:rsidR="00425789">
        <w:t xml:space="preserve"> once using sex as dependent variable, and once using the behavioural scores as dependent variable in order to dissociate the effects of sex and neglect severity. We then repeated the neglect severity analysis </w:t>
      </w:r>
      <w:r>
        <w:t>three time</w:t>
      </w:r>
      <w:r w:rsidR="0096163C">
        <w:t>s</w:t>
      </w:r>
      <w:r>
        <w:t xml:space="preserve">: for the whole patient sample, for the female patients and for the male patients, separately. </w:t>
      </w:r>
    </w:p>
    <w:p w14:paraId="76D0A00C" w14:textId="5EBB62CC" w:rsidR="005436F9" w:rsidRDefault="00761D5C" w:rsidP="00610E4A">
      <w:pPr>
        <w:pStyle w:val="berschrift3"/>
        <w:numPr>
          <w:ilvl w:val="1"/>
          <w:numId w:val="3"/>
        </w:numPr>
        <w:rPr>
          <w:lang w:val="de-DE"/>
        </w:rPr>
      </w:pPr>
      <w:bookmarkStart w:id="23" w:name="_Region-to-Region_Disconnectivity"/>
      <w:bookmarkStart w:id="24" w:name="_Toc116064607"/>
      <w:bookmarkStart w:id="25" w:name="_Hlk107484211"/>
      <w:bookmarkEnd w:id="23"/>
      <w:r>
        <w:rPr>
          <w:lang w:val="de-DE"/>
        </w:rPr>
        <w:lastRenderedPageBreak/>
        <w:t>Region-to-</w:t>
      </w:r>
      <w:r w:rsidR="005436F9">
        <w:rPr>
          <w:lang w:val="de-DE"/>
        </w:rPr>
        <w:t>R</w:t>
      </w:r>
      <w:r w:rsidR="00346AE4">
        <w:rPr>
          <w:lang w:val="de-DE"/>
        </w:rPr>
        <w:t>egion D</w:t>
      </w:r>
      <w:r>
        <w:rPr>
          <w:lang w:val="de-DE"/>
        </w:rPr>
        <w:t>isconnectivity</w:t>
      </w:r>
      <w:bookmarkEnd w:id="24"/>
    </w:p>
    <w:p w14:paraId="6770036A" w14:textId="257E14D7" w:rsidR="00836643" w:rsidRDefault="00836643" w:rsidP="00836643">
      <w:r>
        <w:t>To identify which grey matter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r w:rsidR="00A4617B" w:rsidRPr="0052736D">
        <w:rPr>
          <w:color w:val="7F7F7F" w:themeColor="text1" w:themeTint="80"/>
        </w:rPr>
        <w:t>Griffis et al., 2021</w:t>
      </w:r>
      <w:r w:rsidR="00A4617B">
        <w:t>) to create parcel-wise disconnectivity matrices for every patient. This was done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Brainnetome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r w:rsidR="002F1288" w:rsidRPr="0052736D">
        <w:rPr>
          <w:color w:val="7F7F7F" w:themeColor="text1" w:themeTint="80"/>
        </w:rPr>
        <w:t>Griffis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25C1C8E5" w:rsidR="0052736D" w:rsidRDefault="0052736D" w:rsidP="00836643">
      <w:r w:rsidRPr="005C54EA">
        <w:t xml:space="preserve">In order to assess if any of the disconnections can be ascribed to a purely sex-specific effect,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r w:rsidR="00184675" w:rsidRPr="005C54EA">
        <w:rPr>
          <w:color w:val="7F7F7F" w:themeColor="text1" w:themeTint="80"/>
        </w:rPr>
        <w:t>Smaczny</w:t>
      </w:r>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293E0021" w14:textId="7588BC51" w:rsidR="0052736D" w:rsidRDefault="0052736D" w:rsidP="00836643">
      <w:r w:rsidRPr="0052736D">
        <w:rPr>
          <w:highlight w:val="yellow"/>
        </w:rPr>
        <w:t xml:space="preserve">[see what the </w:t>
      </w:r>
      <w:r>
        <w:rPr>
          <w:highlight w:val="yellow"/>
        </w:rPr>
        <w:t xml:space="preserve">new </w:t>
      </w:r>
      <w:r w:rsidRPr="0052736D">
        <w:rPr>
          <w:highlight w:val="yellow"/>
        </w:rPr>
        <w:t>analysis says</w:t>
      </w:r>
      <w:r w:rsidR="005C54EA">
        <w:rPr>
          <w:highlight w:val="yellow"/>
        </w:rPr>
        <w:t xml:space="preserve"> and either rewrite or delete</w:t>
      </w:r>
      <w:r w:rsidRPr="0052736D">
        <w:rPr>
          <w:highlight w:val="yellow"/>
        </w:rPr>
        <w:t>]</w:t>
      </w:r>
    </w:p>
    <w:p w14:paraId="2575FDE2" w14:textId="79075F8F" w:rsidR="00264207" w:rsidRDefault="002C3DC4" w:rsidP="002C3DC4">
      <w:r w:rsidRPr="0052736D">
        <w:rPr>
          <w:highlight w:val="yellow"/>
        </w:rPr>
        <w:t xml:space="preserve">In order to assess which direct disconnections between two grey matter regions are significantly associated with increased </w:t>
      </w:r>
      <w:r w:rsidR="0052736D" w:rsidRPr="0052736D">
        <w:rPr>
          <w:highlight w:val="yellow"/>
        </w:rPr>
        <w:t>neglect severity</w:t>
      </w:r>
      <w:r w:rsidRPr="0052736D">
        <w:rPr>
          <w:highlight w:val="yellow"/>
        </w:rPr>
        <w:t xml:space="preserve">, we used custom MATLAB scripts employing mass-univariate GLMs. For this, we loaded the symmetric 246-by-246 disconnectivity matrices into MATLAB and removed the diagonal and </w:t>
      </w:r>
      <w:r w:rsidR="005B0DA4" w:rsidRPr="0052736D">
        <w:rPr>
          <w:highlight w:val="yellow"/>
        </w:rPr>
        <w:t xml:space="preserve">redundant </w:t>
      </w:r>
      <w:r w:rsidRPr="0052736D">
        <w:rPr>
          <w:highlight w:val="yellow"/>
        </w:rPr>
        <w:t>elements below it. We also removed any ROI-to-ROI disconnections that are either (physiologically) non-existent in the patient sample or are present in less than 20% of the patient sample (</w:t>
      </w:r>
      <w:r w:rsidR="005B0DA4" w:rsidRPr="0052736D">
        <w:rPr>
          <w:highlight w:val="yellow"/>
        </w:rPr>
        <w:t>N(</w:t>
      </w:r>
      <w:r w:rsidRPr="0052736D">
        <w:rPr>
          <w:highlight w:val="yellow"/>
        </w:rPr>
        <w:t>All</w:t>
      </w:r>
      <w:r w:rsidR="005B0DA4" w:rsidRPr="0052736D">
        <w:rPr>
          <w:highlight w:val="yellow"/>
        </w:rPr>
        <w:t>)</w:t>
      </w:r>
      <w:r w:rsidRPr="0052736D">
        <w:rPr>
          <w:highlight w:val="yellow"/>
        </w:rPr>
        <w:t xml:space="preserve"> = 40; </w:t>
      </w:r>
      <w:r w:rsidR="005B0DA4" w:rsidRPr="0052736D">
        <w:rPr>
          <w:highlight w:val="yellow"/>
        </w:rPr>
        <w:t>N(</w:t>
      </w:r>
      <w:r w:rsidRPr="0052736D">
        <w:rPr>
          <w:highlight w:val="yellow"/>
        </w:rPr>
        <w:t>F</w:t>
      </w:r>
      <w:r w:rsidR="005B0DA4" w:rsidRPr="0052736D">
        <w:rPr>
          <w:highlight w:val="yellow"/>
        </w:rPr>
        <w:t>)</w:t>
      </w:r>
      <w:r w:rsidRPr="0052736D">
        <w:rPr>
          <w:highlight w:val="yellow"/>
        </w:rPr>
        <w:t xml:space="preserve">= 20; </w:t>
      </w:r>
      <w:r w:rsidR="005B0DA4" w:rsidRPr="0052736D">
        <w:rPr>
          <w:highlight w:val="yellow"/>
        </w:rPr>
        <w:t>N(</w:t>
      </w:r>
      <w:r w:rsidRPr="0052736D">
        <w:rPr>
          <w:highlight w:val="yellow"/>
        </w:rPr>
        <w:t>M</w:t>
      </w:r>
      <w:r w:rsidR="005B0DA4" w:rsidRPr="0052736D">
        <w:rPr>
          <w:highlight w:val="yellow"/>
        </w:rPr>
        <w:t>)</w:t>
      </w:r>
      <w:r w:rsidRPr="0052736D">
        <w:rPr>
          <w:highlight w:val="yellow"/>
        </w:rPr>
        <w:t xml:space="preserve"> = 20) (</w:t>
      </w:r>
      <w:r w:rsidR="00121A79" w:rsidRPr="0052736D">
        <w:rPr>
          <w:highlight w:val="yellow"/>
        </w:rPr>
        <w:t xml:space="preserve">cf. </w:t>
      </w:r>
      <w:r w:rsidR="005B0DA4" w:rsidRPr="0052736D">
        <w:rPr>
          <w:color w:val="7F7F7F" w:themeColor="text1" w:themeTint="80"/>
          <w:highlight w:val="yellow"/>
        </w:rPr>
        <w:t>Smaczny</w:t>
      </w:r>
      <w:r w:rsidR="005B0DA4" w:rsidRPr="0052736D">
        <w:rPr>
          <w:rStyle w:val="Hyperlink"/>
          <w:rFonts w:ascii="Ebrima" w:hAnsi="Ebrima"/>
          <w:color w:val="7F7F7F" w:themeColor="text1" w:themeTint="80"/>
          <w:highlight w:val="yellow"/>
        </w:rPr>
        <w:t xml:space="preserve"> et al., 2021</w:t>
      </w:r>
      <w:r w:rsidR="00121A79" w:rsidRPr="0052736D">
        <w:rPr>
          <w:highlight w:val="yellow"/>
        </w:rPr>
        <w:t xml:space="preserve">; </w:t>
      </w:r>
      <w:r w:rsidR="00121A79" w:rsidRPr="0052736D">
        <w:rPr>
          <w:color w:val="7F7F7F" w:themeColor="text1" w:themeTint="80"/>
          <w:highlight w:val="yellow"/>
        </w:rPr>
        <w:t>Sperber &amp; Karnath, 2017</w:t>
      </w:r>
      <w:r w:rsidRPr="0052736D">
        <w:rPr>
          <w:highlight w:val="yellow"/>
        </w:rPr>
        <w:t xml:space="preserve">). After removing those data, we computed a GLM for the remaining ROI-to-ROI connections, using the </w:t>
      </w:r>
      <w:r w:rsidR="005B0DA4" w:rsidRPr="0052736D">
        <w:rPr>
          <w:highlight w:val="yellow"/>
        </w:rPr>
        <w:t xml:space="preserve">corresponding </w:t>
      </w:r>
      <w:r w:rsidRPr="0052736D">
        <w:rPr>
          <w:highlight w:val="yellow"/>
        </w:rPr>
        <w:t xml:space="preserve">disconnectivity score as the independent variable and the behavioural score as the dependent variable. To correct for multiple </w:t>
      </w:r>
      <w:r w:rsidR="005E0A5D" w:rsidRPr="0052736D">
        <w:rPr>
          <w:highlight w:val="yellow"/>
        </w:rPr>
        <w:t>comparisons</w:t>
      </w:r>
      <w:r w:rsidRPr="0052736D">
        <w:rPr>
          <w:highlight w:val="yellow"/>
        </w:rPr>
        <w:t xml:space="preserve">, </w:t>
      </w:r>
      <w:r w:rsidR="00205BF0" w:rsidRPr="0052736D">
        <w:rPr>
          <w:highlight w:val="yellow"/>
        </w:rPr>
        <w:t xml:space="preserve">we </w:t>
      </w:r>
      <w:r w:rsidR="00BC21AB" w:rsidRPr="0052736D">
        <w:rPr>
          <w:highlight w:val="yellow"/>
        </w:rPr>
        <w:t xml:space="preserve">utilised a </w:t>
      </w:r>
      <w:r w:rsidR="00871E99" w:rsidRPr="0052736D">
        <w:rPr>
          <w:highlight w:val="yellow"/>
        </w:rPr>
        <w:t xml:space="preserve">maximum statistic permutation approach. For </w:t>
      </w:r>
      <w:r w:rsidR="00484414" w:rsidRPr="0052736D">
        <w:rPr>
          <w:highlight w:val="yellow"/>
        </w:rPr>
        <w:t>this,</w:t>
      </w:r>
      <w:r w:rsidR="00871E99" w:rsidRPr="0052736D">
        <w:rPr>
          <w:highlight w:val="yellow"/>
        </w:rPr>
        <w:t xml:space="preserve"> we pseudo-randomly permuted the disconnectivity scores and repeated the GLM analysis 50,000 times</w:t>
      </w:r>
      <w:r w:rsidR="00D979AC" w:rsidRPr="0052736D">
        <w:rPr>
          <w:highlight w:val="yellow"/>
        </w:rPr>
        <w:t xml:space="preserve">. We saved the maximum t-statistic for every permutation, which </w:t>
      </w:r>
      <w:r w:rsidR="00E005B3" w:rsidRPr="0052736D">
        <w:rPr>
          <w:highlight w:val="yellow"/>
        </w:rPr>
        <w:t>describes</w:t>
      </w:r>
      <w:r w:rsidR="00D979AC" w:rsidRPr="0052736D">
        <w:rPr>
          <w:highlight w:val="yellow"/>
        </w:rPr>
        <w:t xml:space="preserve"> the maximum statistics given the null hypothesis.</w:t>
      </w:r>
      <w:r w:rsidR="00871E99" w:rsidRPr="0052736D">
        <w:rPr>
          <w:highlight w:val="yellow"/>
        </w:rPr>
        <w:t xml:space="preserve"> </w:t>
      </w:r>
      <w:r w:rsidR="005E0A5D" w:rsidRPr="0052736D">
        <w:rPr>
          <w:highlight w:val="yellow"/>
        </w:rPr>
        <w:t>Then, we compared the t-statistics derived from the original disconnection data to the permutation distribution</w:t>
      </w:r>
      <w:r w:rsidR="00E005B3" w:rsidRPr="0052736D">
        <w:rPr>
          <w:highlight w:val="yellow"/>
        </w:rPr>
        <w:t>. By identifying the 95</w:t>
      </w:r>
      <w:r w:rsidR="00E005B3" w:rsidRPr="0052736D">
        <w:rPr>
          <w:highlight w:val="yellow"/>
          <w:vertAlign w:val="superscript"/>
        </w:rPr>
        <w:t>th</w:t>
      </w:r>
      <w:r w:rsidR="00E005B3" w:rsidRPr="0052736D">
        <w:rPr>
          <w:highlight w:val="yellow"/>
        </w:rPr>
        <w:t xml:space="preserve"> percentile of permutation-derived maximum statistics, we obtained </w:t>
      </w:r>
      <w:r w:rsidR="00D32BA7" w:rsidRPr="0052736D">
        <w:rPr>
          <w:highlight w:val="yellow"/>
        </w:rPr>
        <w:t>an</w:t>
      </w:r>
      <w:r w:rsidR="00F17072" w:rsidRPr="0052736D">
        <w:rPr>
          <w:highlight w:val="yellow"/>
        </w:rPr>
        <w:t xml:space="preserve"> FWE-</w:t>
      </w:r>
      <w:r w:rsidR="005E0A5D" w:rsidRPr="0052736D">
        <w:rPr>
          <w:highlight w:val="yellow"/>
        </w:rPr>
        <w:t>correct</w:t>
      </w:r>
      <w:r w:rsidR="00E005B3" w:rsidRPr="0052736D">
        <w:rPr>
          <w:highlight w:val="yellow"/>
        </w:rPr>
        <w:t xml:space="preserve">ed, </w:t>
      </w:r>
      <w:r w:rsidR="00142796" w:rsidRPr="0052736D">
        <w:rPr>
          <w:highlight w:val="yellow"/>
        </w:rPr>
        <w:t xml:space="preserve">one-sided </w:t>
      </w:r>
      <w:r w:rsidR="005E0A5D" w:rsidRPr="0052736D">
        <w:rPr>
          <w:highlight w:val="yellow"/>
        </w:rPr>
        <w:t xml:space="preserve">threshold for statistical significance </w:t>
      </w:r>
      <w:r w:rsidR="00E005B3" w:rsidRPr="0052736D">
        <w:rPr>
          <w:highlight w:val="yellow"/>
        </w:rPr>
        <w:t>at p = 0.05</w:t>
      </w:r>
      <w:r w:rsidR="00F17072" w:rsidRPr="0052736D">
        <w:rPr>
          <w:highlight w:val="yellow"/>
        </w:rPr>
        <w:t xml:space="preserve"> (</w:t>
      </w:r>
      <w:r w:rsidR="00F17072" w:rsidRPr="0052736D">
        <w:rPr>
          <w:color w:val="7F7F7F" w:themeColor="text1" w:themeTint="80"/>
          <w:highlight w:val="yellow"/>
        </w:rPr>
        <w:t>Nichols &amp; Holmes, 2001</w:t>
      </w:r>
      <w:r w:rsidR="00F17072" w:rsidRPr="0052736D">
        <w:rPr>
          <w:highlight w:val="yellow"/>
        </w:rPr>
        <w:t>)</w:t>
      </w:r>
      <w:r w:rsidR="00E005B3" w:rsidRPr="0052736D">
        <w:rPr>
          <w:highlight w:val="yellow"/>
        </w:rPr>
        <w:t>.</w:t>
      </w:r>
      <w:r w:rsidR="00D32BA7" w:rsidRPr="0052736D">
        <w:rPr>
          <w:highlight w:val="yellow"/>
        </w:rPr>
        <w:t xml:space="preserve"> To determine which disconnections are most strongly associated with neglect severity, we also identified the five parcel-pairs whose disconnection yielded the highest </w:t>
      </w:r>
      <w:r w:rsidR="00D32BA7" w:rsidRPr="0052736D">
        <w:rPr>
          <w:highlight w:val="yellow"/>
        </w:rPr>
        <w:lastRenderedPageBreak/>
        <w:t>significant t-values.</w:t>
      </w:r>
      <w:r w:rsidR="00E005B3" w:rsidRPr="0052736D">
        <w:rPr>
          <w:highlight w:val="yellow"/>
        </w:rPr>
        <w:t xml:space="preserve"> </w:t>
      </w:r>
      <w:r w:rsidR="00645DC2" w:rsidRPr="0052736D">
        <w:rPr>
          <w:highlight w:val="yellow"/>
        </w:rPr>
        <w:t xml:space="preserve">Again, we repeated this analysis for the whole patient sample, the </w:t>
      </w:r>
      <w:r w:rsidR="00142796" w:rsidRPr="0052736D">
        <w:rPr>
          <w:highlight w:val="yellow"/>
        </w:rPr>
        <w:t>female</w:t>
      </w:r>
      <w:r w:rsidR="00215279" w:rsidRPr="0052736D">
        <w:rPr>
          <w:highlight w:val="yellow"/>
        </w:rPr>
        <w:t xml:space="preserve"> patients</w:t>
      </w:r>
      <w:r w:rsidR="00142796" w:rsidRPr="0052736D">
        <w:rPr>
          <w:highlight w:val="yellow"/>
        </w:rPr>
        <w:t>,</w:t>
      </w:r>
      <w:r w:rsidR="00645DC2" w:rsidRPr="0052736D">
        <w:rPr>
          <w:highlight w:val="yellow"/>
        </w:rPr>
        <w:t xml:space="preserve"> and the male patients, separately.</w:t>
      </w:r>
      <w:r w:rsidR="00645DC2">
        <w:t xml:space="preserve"> </w:t>
      </w:r>
      <w:bookmarkStart w:id="26" w:name="_Lesion-induced_Increase_in"/>
      <w:bookmarkEnd w:id="26"/>
    </w:p>
    <w:p w14:paraId="40225819" w14:textId="351E29D1" w:rsidR="002C3DC4" w:rsidRDefault="002F4688" w:rsidP="002C3DC4">
      <w:pPr>
        <w:pStyle w:val="berschrift3"/>
        <w:numPr>
          <w:ilvl w:val="1"/>
          <w:numId w:val="3"/>
        </w:numPr>
      </w:pPr>
      <w:bookmarkStart w:id="27" w:name="_Toc116064609"/>
      <w:r>
        <w:t xml:space="preserve">Prediction of Patient </w:t>
      </w:r>
      <w:r w:rsidR="004B4C63">
        <w:t>Status</w:t>
      </w:r>
      <w:bookmarkEnd w:id="27"/>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r w:rsidR="00960CA1" w:rsidRPr="0052736D">
        <w:rPr>
          <w:color w:val="7F7F7F" w:themeColor="text1" w:themeTint="80"/>
        </w:rPr>
        <w:t>Schölkopf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r w:rsidR="00FD2721" w:rsidRPr="0052736D">
        <w:rPr>
          <w:color w:val="7F7F7F" w:themeColor="text1" w:themeTint="80"/>
        </w:rPr>
        <w:t>Kasties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1C28DB34" w:rsidR="004B4C63" w:rsidRDefault="004B4C63" w:rsidP="002F4688">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r w:rsidR="006659FE" w:rsidRPr="0052736D">
        <w:rPr>
          <w:color w:val="7F7F7F" w:themeColor="text1" w:themeTint="80"/>
        </w:rPr>
        <w:t>Röhrig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t>
      </w:r>
      <w:r w:rsidR="0013718F">
        <w:lastRenderedPageBreak/>
        <w:t>was predicted once in the outer loop.</w:t>
      </w:r>
      <w:bookmarkEnd w:id="25"/>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berschrift2"/>
        <w:numPr>
          <w:ilvl w:val="0"/>
          <w:numId w:val="3"/>
        </w:numPr>
        <w:rPr>
          <w:b w:val="0"/>
          <w:bCs w:val="0"/>
        </w:rPr>
      </w:pPr>
      <w:bookmarkStart w:id="28" w:name="_Toc116064610"/>
      <w:r w:rsidRPr="00EA784A">
        <w:rPr>
          <w:b w:val="0"/>
          <w:bCs w:val="0"/>
        </w:rPr>
        <w:lastRenderedPageBreak/>
        <w:t>Results</w:t>
      </w:r>
      <w:bookmarkEnd w:id="28"/>
    </w:p>
    <w:p w14:paraId="7AB70D20" w14:textId="37FE2F39" w:rsidR="002571FF" w:rsidRPr="00DC0715" w:rsidRDefault="00C16B0E" w:rsidP="002571FF">
      <w:pPr>
        <w:pStyle w:val="berschrift3"/>
        <w:numPr>
          <w:ilvl w:val="1"/>
          <w:numId w:val="3"/>
        </w:numPr>
        <w:rPr>
          <w:color w:val="FF9933"/>
          <w:lang w:val="en-US"/>
        </w:rPr>
      </w:pPr>
      <w:bookmarkStart w:id="29" w:name="_Toc116064611"/>
      <w:r w:rsidRPr="00BE0402">
        <w:rPr>
          <w:lang w:val="en-US"/>
        </w:rPr>
        <w:t>Clinical and Demographic Data</w:t>
      </w:r>
      <w:bookmarkEnd w:id="29"/>
    </w:p>
    <w:p w14:paraId="3E87CDC4" w14:textId="57525B06"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r w:rsidR="00D91FE5" w:rsidRPr="00D67769">
        <w:rPr>
          <w:highlight w:val="darkCyan"/>
        </w:rPr>
        <w:t>Supplementary</w:t>
      </w:r>
      <w:r w:rsidR="00207421" w:rsidRPr="00D67769">
        <w:rPr>
          <w:highlight w:val="darkCyan"/>
        </w:rPr>
        <w:t xml:space="preserve"> T</w:t>
      </w:r>
      <w:r w:rsidR="008D0B96" w:rsidRPr="00D67769">
        <w:rPr>
          <w:highlight w:val="darkCyan"/>
        </w:rPr>
        <w:t>ables 1a &amp; 1b</w:t>
      </w:r>
      <w:r w:rsidR="00A917D4">
        <w:t xml:space="preserve"> for details</w:t>
      </w:r>
      <w:r w:rsidR="002E23E6">
        <w:t xml:space="preserve">). </w:t>
      </w:r>
    </w:p>
    <w:p w14:paraId="68E377E5" w14:textId="422192E8" w:rsidR="0044590A" w:rsidRDefault="0044590A" w:rsidP="00E82821">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30" w:name="figure01behaviour"/>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8">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30"/>
      <w:r>
        <w:rPr>
          <w:sz w:val="20"/>
        </w:rPr>
        <w:tab/>
      </w:r>
    </w:p>
    <w:p w14:paraId="73BA99F9" w14:textId="46051C74"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r w:rsidR="00D91FE5" w:rsidRPr="00D67769">
        <w:rPr>
          <w:highlight w:val="darkCyan"/>
        </w:rPr>
        <w:t>Supplementary</w:t>
      </w:r>
      <w:r w:rsidR="00A32E1E" w:rsidRPr="00D67769">
        <w:rPr>
          <w:highlight w:val="darkCyan"/>
        </w:rPr>
        <w:t xml:space="preserve"> T</w:t>
      </w:r>
      <w:r w:rsidR="008D0B96" w:rsidRPr="00D67769">
        <w:rPr>
          <w:highlight w:val="darkCyan"/>
        </w:rPr>
        <w:t>ables 1a &amp; 1b</w:t>
      </w:r>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3699F541" w:rsidR="008C03EA" w:rsidRDefault="009A37BC" w:rsidP="00346AE4">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r w:rsidR="00CE2208" w:rsidRPr="00D67769">
        <w:rPr>
          <w:highlight w:val="darkCyan"/>
        </w:rPr>
        <w:t xml:space="preserve">Supplementary </w:t>
      </w:r>
      <w:r w:rsidR="0044590A" w:rsidRPr="00D67769">
        <w:rPr>
          <w:highlight w:val="darkCyan"/>
        </w:rPr>
        <w:t xml:space="preserve">Table </w:t>
      </w:r>
      <w:r w:rsidR="00CE2208" w:rsidRPr="00D67769">
        <w:rPr>
          <w:highlight w:val="darkCyan"/>
        </w:rPr>
        <w:t>3</w:t>
      </w:r>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w:t>
      </w:r>
      <w:r w:rsidR="0017619D" w:rsidRPr="00C65E70">
        <w:lastRenderedPageBreak/>
        <w:t>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berschrift3"/>
        <w:numPr>
          <w:ilvl w:val="1"/>
          <w:numId w:val="3"/>
        </w:numPr>
      </w:pPr>
      <w:bookmarkStart w:id="31" w:name="_Toc116064612"/>
      <w:r w:rsidRPr="007A1AB8">
        <w:t>Voxel-based Lesion-Behaviour Mapping</w:t>
      </w:r>
      <w:bookmarkEnd w:id="31"/>
    </w:p>
    <w:p w14:paraId="141F1CE8" w14:textId="0210CBD9" w:rsidR="005B6EE1" w:rsidRDefault="00E82821" w:rsidP="005B6EE1">
      <w:pPr>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r w:rsidR="00D91FE5" w:rsidRPr="00D67769">
        <w:rPr>
          <w:highlight w:val="darkCyan"/>
        </w:rPr>
        <w:t>Supplementary</w:t>
      </w:r>
      <w:r w:rsidR="007F2BD2" w:rsidRPr="00D67769">
        <w:rPr>
          <w:highlight w:val="darkCyan"/>
        </w:rPr>
        <w:t xml:space="preserve"> </w:t>
      </w:r>
      <w:r w:rsidR="00D91FE5" w:rsidRPr="00D67769">
        <w:rPr>
          <w:highlight w:val="darkCyan"/>
        </w:rPr>
        <w:t>Figure</w:t>
      </w:r>
      <w:r w:rsidR="007F2BD2" w:rsidRPr="00D67769">
        <w:rPr>
          <w:highlight w:val="darkCyan"/>
        </w:rPr>
        <w:t xml:space="preserve">s </w:t>
      </w:r>
      <w:r w:rsidR="00533EFF" w:rsidRPr="00D67769">
        <w:rPr>
          <w:highlight w:val="darkCyan"/>
        </w:rPr>
        <w:t>1</w:t>
      </w:r>
      <w:r w:rsidR="007F2BD2" w:rsidRPr="00D67769">
        <w:rPr>
          <w:highlight w:val="darkCyan"/>
        </w:rPr>
        <w:t xml:space="preserve"> and </w:t>
      </w:r>
      <w:r w:rsidR="00533EFF" w:rsidRPr="00D67769">
        <w:rPr>
          <w:highlight w:val="darkCyan"/>
        </w:rPr>
        <w:t>2</w:t>
      </w:r>
      <w:r w:rsidR="007F2BD2" w:rsidRPr="007F2BD2">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32"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r w:rsidR="007F2BD2" w:rsidRPr="00D67769">
        <w:rPr>
          <w:color w:val="7F7F7F" w:themeColor="text1" w:themeTint="80"/>
          <w:sz w:val="18"/>
          <w:szCs w:val="18"/>
        </w:rPr>
        <w:t>Rorden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32"/>
    <w:p w14:paraId="7A63704A" w14:textId="0F02E24A" w:rsidR="004A6C1E" w:rsidRDefault="004A6C1E" w:rsidP="00A02678">
      <w:pPr>
        <w:rPr>
          <w:szCs w:val="18"/>
        </w:rPr>
      </w:pPr>
      <w:r w:rsidRPr="004A6C1E">
        <w:rPr>
          <w:szCs w:val="18"/>
        </w:rPr>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 whose damage status was significantly correlated with sex. </w:t>
      </w:r>
    </w:p>
    <w:p w14:paraId="3E340ED9" w14:textId="5634B87A" w:rsidR="00A02678" w:rsidRPr="004A6C1E" w:rsidRDefault="00D67769" w:rsidP="00A02678">
      <w:pPr>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33"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r w:rsidR="007B1CE3" w:rsidRPr="00D67769">
        <w:rPr>
          <w:color w:val="7F7F7F" w:themeColor="text1" w:themeTint="80"/>
          <w:sz w:val="18"/>
          <w:szCs w:val="18"/>
        </w:rPr>
        <w:t>Rorden &amp; Brett, 2000</w:t>
      </w:r>
      <w:r w:rsidR="007B1CE3">
        <w:rPr>
          <w:sz w:val="18"/>
          <w:szCs w:val="18"/>
        </w:rPr>
        <w:t xml:space="preserve">).  </w:t>
      </w:r>
      <w:r w:rsidR="00842BA6">
        <w:rPr>
          <w:sz w:val="18"/>
          <w:szCs w:val="18"/>
        </w:rPr>
        <w:t>The number given above each slice refers to the z-coordinate in MNI space.</w:t>
      </w:r>
    </w:p>
    <w:bookmarkEnd w:id="33"/>
    <w:p w14:paraId="625FA103" w14:textId="77777777" w:rsidR="00A27977" w:rsidRPr="00E32F6E" w:rsidRDefault="00A27977" w:rsidP="00A02678">
      <w:pPr>
        <w:rPr>
          <w:sz w:val="18"/>
          <w:szCs w:val="18"/>
          <w:lang w:val="en-US"/>
        </w:rPr>
      </w:pPr>
    </w:p>
    <w:p w14:paraId="4D87C93E" w14:textId="097ECFE6" w:rsidR="00A02678" w:rsidRDefault="00B70E52" w:rsidP="00A02678">
      <w:pPr>
        <w:pStyle w:val="berschrift3"/>
        <w:numPr>
          <w:ilvl w:val="1"/>
          <w:numId w:val="3"/>
        </w:numPr>
        <w:rPr>
          <w:lang w:val="de-DE"/>
        </w:rPr>
      </w:pPr>
      <w:bookmarkStart w:id="34" w:name="_Toc116064613"/>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34"/>
    </w:p>
    <w:p w14:paraId="09A581DA" w14:textId="4749A228" w:rsidR="00430144" w:rsidRDefault="006140BA" w:rsidP="007D293D">
      <w:pPr>
        <w:rPr>
          <w:color w:val="FF0000"/>
        </w:rPr>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5F38F2" w:rsidRPr="005F38F2">
        <w:t>OrG</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430144" w:rsidRPr="005F38F2">
        <w:t xml:space="preserve"> and </w:t>
      </w:r>
      <w:r w:rsidR="005F38F2" w:rsidRPr="005F38F2">
        <w:t>inferior longitudinal fasciculus (ILF)</w:t>
      </w:r>
      <w:r w:rsidR="00430144" w:rsidRPr="005F38F2">
        <w:t xml:space="preserve">. Further, especially the posterior segments of the corpus callosum are damaged. Disconnections also affected parts of the </w:t>
      </w:r>
      <w:r w:rsidR="005F38F2" w:rsidRPr="005F38F2">
        <w:t>corticospinal tract (CST)</w:t>
      </w:r>
      <w:r w:rsidR="00430144" w:rsidRPr="005F38F2">
        <w:t xml:space="preserve">, the uncinate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bookmarkStart w:id="35" w:name="figure04DCoverlay_all"/>
      <w:r>
        <w:rPr>
          <w:noProof/>
          <w:lang w:val="en-US"/>
        </w:rPr>
        <w:lastRenderedPageBreak/>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r w:rsidR="009C3EBB" w:rsidRPr="00D67769">
        <w:rPr>
          <w:color w:val="7F7F7F" w:themeColor="text1" w:themeTint="80"/>
          <w:sz w:val="18"/>
          <w:szCs w:val="18"/>
        </w:rPr>
        <w:t>Rorden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35"/>
    <w:p w14:paraId="63D2ACE4" w14:textId="1000AB54" w:rsidR="00E546B0" w:rsidRPr="00FB250F" w:rsidRDefault="005F38F2" w:rsidP="009E6C6E">
      <w:pPr>
        <w:rPr>
          <w:szCs w:val="18"/>
        </w:rPr>
      </w:pPr>
      <w:r w:rsidRPr="004A6C1E">
        <w:rPr>
          <w:highlight w:val="yellow"/>
        </w:rPr>
        <w:t>Overall, the disconnection patterns are very similar between the patient (sub-)samples. However</w:t>
      </w:r>
      <w:r w:rsidR="004A6C1E" w:rsidRPr="004A6C1E">
        <w:rPr>
          <w:highlight w:val="yellow"/>
        </w:rPr>
        <w:t xml:space="preserve">, visually </w:t>
      </w:r>
      <w:r w:rsidRPr="004A6C1E">
        <w:rPr>
          <w:szCs w:val="18"/>
          <w:highlight w:val="yellow"/>
        </w:rPr>
        <w:t>c</w:t>
      </w:r>
      <w:r w:rsidR="0035653D" w:rsidRPr="004A6C1E">
        <w:rPr>
          <w:szCs w:val="18"/>
          <w:highlight w:val="yellow"/>
        </w:rPr>
        <w:t xml:space="preserve">omparing the disconnection overlays between the male and female subgroups revealed the following differences: </w:t>
      </w:r>
      <w:r w:rsidR="00A15D29" w:rsidRPr="004A6C1E">
        <w:rPr>
          <w:szCs w:val="18"/>
          <w:highlight w:val="yellow"/>
        </w:rPr>
        <w:t>Women</w:t>
      </w:r>
      <w:r w:rsidR="004A6C1E" w:rsidRPr="004A6C1E">
        <w:rPr>
          <w:szCs w:val="18"/>
          <w:highlight w:val="yellow"/>
        </w:rPr>
        <w:t xml:space="preserve">, compared to men, </w:t>
      </w:r>
      <w:r w:rsidR="00A15D29" w:rsidRPr="004A6C1E">
        <w:rPr>
          <w:szCs w:val="18"/>
          <w:highlight w:val="yellow"/>
        </w:rPr>
        <w:t xml:space="preserve">exhibited a </w:t>
      </w:r>
      <w:r w:rsidR="00FB250F" w:rsidRPr="004A6C1E">
        <w:rPr>
          <w:szCs w:val="18"/>
          <w:highlight w:val="yellow"/>
        </w:rPr>
        <w:t>higher percentage of disconnections in the splenium of the corpus callosum</w:t>
      </w:r>
      <w:r w:rsidR="00EF3717" w:rsidRPr="004A6C1E">
        <w:rPr>
          <w:szCs w:val="18"/>
          <w:highlight w:val="yellow"/>
        </w:rPr>
        <w:t xml:space="preserve">, as well as </w:t>
      </w:r>
      <w:r w:rsidRPr="004A6C1E">
        <w:rPr>
          <w:szCs w:val="18"/>
          <w:highlight w:val="yellow"/>
        </w:rPr>
        <w:t xml:space="preserve">in </w:t>
      </w:r>
      <w:r w:rsidR="00EF3717" w:rsidRPr="004A6C1E">
        <w:rPr>
          <w:szCs w:val="18"/>
          <w:highlight w:val="yellow"/>
        </w:rPr>
        <w:t>the thalamu</w:t>
      </w:r>
      <w:r w:rsidR="00973CC9" w:rsidRPr="004A6C1E">
        <w:rPr>
          <w:szCs w:val="18"/>
          <w:highlight w:val="yellow"/>
        </w:rPr>
        <w:t>s</w:t>
      </w:r>
      <w:r w:rsidR="00EF3717" w:rsidRPr="004A6C1E">
        <w:rPr>
          <w:szCs w:val="18"/>
          <w:highlight w:val="yellow"/>
        </w:rPr>
        <w:t>.</w:t>
      </w:r>
      <w:r w:rsidR="00EF3717">
        <w:rPr>
          <w:szCs w:val="18"/>
        </w:rPr>
        <w:t xml:space="preserve"> </w:t>
      </w:r>
      <w:r w:rsidR="004A6C1E" w:rsidRPr="004A6C1E">
        <w:rPr>
          <w:szCs w:val="18"/>
          <w:highlight w:val="cyan"/>
        </w:rPr>
        <w:t>[</w:t>
      </w:r>
      <w:r w:rsidR="004A6C1E" w:rsidRPr="004A6C1E">
        <w:rPr>
          <w:highlight w:val="cyan"/>
        </w:rPr>
        <w:sym w:font="Wingdings" w:char="F0E0"/>
      </w:r>
      <w:r w:rsidR="004A6C1E" w:rsidRPr="004A6C1E">
        <w:rPr>
          <w:highlight w:val="cyan"/>
        </w:rPr>
        <w:t xml:space="preserve"> on a purely descriptive level]</w:t>
      </w:r>
    </w:p>
    <w:p w14:paraId="73F074FF" w14:textId="7299B66D" w:rsidR="009E6C6E" w:rsidRDefault="009E6C6E" w:rsidP="00EE67DD">
      <w:r>
        <w:t xml:space="preserve">The </w:t>
      </w:r>
      <w:r w:rsidRPr="00104F1E">
        <w:t>VLBM analyses</w:t>
      </w:r>
      <w:r>
        <w:t xml:space="preserve"> we applied to identify any voxels whose disconnection status is significantly correlated with </w:t>
      </w:r>
      <w:r w:rsidR="00427A3C">
        <w:t>either sex or</w:t>
      </w:r>
      <w:r w:rsidR="003D0178">
        <w:t xml:space="preserve"> neglect severity</w:t>
      </w:r>
      <w:r w:rsidR="00427A3C">
        <w:t xml:space="preserve"> yielded no significant results, as no voxels survived the threshold.</w:t>
      </w:r>
    </w:p>
    <w:p w14:paraId="2CDAFF32" w14:textId="0839D7D9" w:rsidR="00A02678" w:rsidRPr="006856BF" w:rsidRDefault="00A02678" w:rsidP="00A02678">
      <w:pPr>
        <w:rPr>
          <w:lang w:val="en-US"/>
        </w:rPr>
      </w:pPr>
    </w:p>
    <w:p w14:paraId="10078E31" w14:textId="450039DA" w:rsidR="00A02678" w:rsidRPr="00A02678" w:rsidRDefault="00842BA6" w:rsidP="00700ECE">
      <w:pPr>
        <w:pStyle w:val="berschrift3"/>
        <w:numPr>
          <w:ilvl w:val="1"/>
          <w:numId w:val="3"/>
        </w:numPr>
        <w:rPr>
          <w:lang w:val="de-DE"/>
        </w:rPr>
      </w:pPr>
      <w:bookmarkStart w:id="36" w:name="_Toc116064614"/>
      <w:r>
        <w:rPr>
          <w:lang w:val="de-DE"/>
        </w:rPr>
        <w:t>Region-to-Region D</w:t>
      </w:r>
      <w:r w:rsidR="00A02678" w:rsidRPr="00A02678">
        <w:rPr>
          <w:lang w:val="de-DE"/>
        </w:rPr>
        <w:t>isconnectivity</w:t>
      </w:r>
      <w:bookmarkEnd w:id="36"/>
    </w:p>
    <w:p w14:paraId="64F93E6D" w14:textId="5B34EF09" w:rsidR="00E97078" w:rsidRDefault="00842BA6" w:rsidP="004A4ACD">
      <w:r w:rsidRPr="00842BA6">
        <w:t xml:space="preserve">Using GLMs to </w:t>
      </w:r>
      <w:r w:rsidR="00B34BF9">
        <w:t xml:space="preserve">map </w:t>
      </w:r>
      <w:r w:rsidR="0023210C">
        <w:t>neglect severity</w:t>
      </w:r>
      <w:r w:rsidR="00B34BF9">
        <w:t xml:space="preserve"> to ROI-to-ROI disconnectivity, we identified a large number of signific</w:t>
      </w:r>
      <w:r w:rsidR="006F0C6C">
        <w:t>ant disconnections at p = 0.05 (see</w:t>
      </w:r>
      <w:r w:rsidR="00FA3DE5">
        <w:t xml:space="preserve"> </w:t>
      </w:r>
      <w:hyperlink w:anchor="figure05roiDCs" w:history="1">
        <w:r w:rsidR="00D91FE5" w:rsidRPr="006140BA">
          <w:rPr>
            <w:rStyle w:val="Hyperlink"/>
            <w:rFonts w:ascii="Ebrima" w:hAnsi="Ebrima"/>
          </w:rPr>
          <w:t>Figure</w:t>
        </w:r>
        <w:r w:rsidR="00FA3DE5" w:rsidRPr="006140BA">
          <w:rPr>
            <w:rStyle w:val="Hyperlink"/>
            <w:rFonts w:ascii="Ebrima" w:hAnsi="Ebrima"/>
          </w:rPr>
          <w:t xml:space="preserve"> </w:t>
        </w:r>
        <w:r w:rsidR="00427A3C" w:rsidRPr="006140BA">
          <w:rPr>
            <w:rStyle w:val="Hyperlink"/>
            <w:rFonts w:ascii="Ebrima" w:hAnsi="Ebrima"/>
          </w:rPr>
          <w:t>5</w:t>
        </w:r>
      </w:hyperlink>
      <w:r w:rsidR="00FA3DE5">
        <w:t xml:space="preserve"> &amp; </w:t>
      </w:r>
      <w:hyperlink w:anchor="table02roiDCs_summary" w:history="1">
        <w:r w:rsidR="00D91FE5" w:rsidRPr="006140BA">
          <w:rPr>
            <w:rStyle w:val="Hyperlink"/>
            <w:rFonts w:ascii="Ebrima" w:hAnsi="Ebrima"/>
          </w:rPr>
          <w:t>Table</w:t>
        </w:r>
        <w:r w:rsidR="00FA3DE5" w:rsidRPr="006140BA">
          <w:rPr>
            <w:rStyle w:val="Hyperlink"/>
            <w:rFonts w:ascii="Ebrima" w:hAnsi="Ebrima"/>
          </w:rPr>
          <w:t xml:space="preserve"> 2</w:t>
        </w:r>
      </w:hyperlink>
      <w:r w:rsidR="006F0C6C">
        <w:t>):</w:t>
      </w:r>
      <w:r w:rsidR="00B34BF9">
        <w:t xml:space="preserve"> Across all patients, 893 disconnections reached significance. 205 significant disconnections were identified in the female patient group and 611 disconnections were significantly correlated with pathological behaviour in the male subsample. </w:t>
      </w:r>
    </w:p>
    <w:p w14:paraId="302B7EB0" w14:textId="3751F1E7" w:rsidR="009B3C4E" w:rsidRDefault="009B3C4E" w:rsidP="009B3C4E">
      <w:pPr>
        <w:jc w:val="center"/>
      </w:pPr>
      <w:bookmarkStart w:id="37" w:name="figure05roiDCs"/>
      <w:r>
        <w:rPr>
          <w:noProof/>
          <w:lang w:val="en-US"/>
        </w:rPr>
        <w:lastRenderedPageBreak/>
        <w:drawing>
          <wp:inline distT="0" distB="0" distL="0" distR="0" wp14:anchorId="5DB9F76B" wp14:editId="11DCBA4F">
            <wp:extent cx="3811101" cy="28248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101" cy="2824825"/>
                    </a:xfrm>
                    <a:prstGeom prst="rect">
                      <a:avLst/>
                    </a:prstGeom>
                  </pic:spPr>
                </pic:pic>
              </a:graphicData>
            </a:graphic>
          </wp:inline>
        </w:drawing>
      </w:r>
    </w:p>
    <w:p w14:paraId="0155BA21" w14:textId="5B8359BD" w:rsidR="00606692" w:rsidRPr="00427A3C" w:rsidRDefault="00E32F6E" w:rsidP="004A4ACD">
      <w:pPr>
        <w:rPr>
          <w:sz w:val="18"/>
          <w:szCs w:val="18"/>
        </w:rPr>
      </w:pPr>
      <w:r w:rsidRPr="00E32F6E">
        <w:rPr>
          <w:b/>
          <w:sz w:val="18"/>
          <w:szCs w:val="18"/>
        </w:rPr>
        <w:t xml:space="preserve">Figure </w:t>
      </w:r>
      <w:r w:rsidR="00427A3C">
        <w:rPr>
          <w:b/>
          <w:sz w:val="18"/>
          <w:szCs w:val="18"/>
        </w:rPr>
        <w:t>5:</w:t>
      </w:r>
      <w:r w:rsidRPr="00E32F6E">
        <w:rPr>
          <w:b/>
          <w:sz w:val="18"/>
          <w:szCs w:val="18"/>
        </w:rPr>
        <w:t xml:space="preserve"> </w:t>
      </w:r>
      <w:r w:rsidRPr="00E32F6E">
        <w:rPr>
          <w:sz w:val="18"/>
          <w:szCs w:val="18"/>
        </w:rPr>
        <w:t>Signifi</w:t>
      </w:r>
      <w:r w:rsidR="00427A3C">
        <w:rPr>
          <w:sz w:val="18"/>
          <w:szCs w:val="18"/>
        </w:rPr>
        <w:t>cant Parcel-wise disconnections</w:t>
      </w:r>
      <w:r w:rsidR="00427A3C">
        <w:rPr>
          <w:sz w:val="18"/>
          <w:szCs w:val="18"/>
        </w:rPr>
        <w:tab/>
      </w:r>
      <w:r w:rsidR="00427A3C">
        <w:rPr>
          <w:sz w:val="18"/>
          <w:szCs w:val="18"/>
        </w:rPr>
        <w:br/>
      </w:r>
      <w:r w:rsidR="006F1A4D">
        <w:rPr>
          <w:sz w:val="18"/>
          <w:szCs w:val="18"/>
        </w:rPr>
        <w:t>Significant</w:t>
      </w:r>
      <w:r w:rsidR="00E07561">
        <w:rPr>
          <w:sz w:val="18"/>
          <w:szCs w:val="18"/>
        </w:rPr>
        <w:t xml:space="preserve"> parcel-wise disconnections, overlaid on a superior view of the MNI152-template in SurfIce (</w:t>
      </w:r>
      <w:r w:rsidRPr="00747EBA">
        <w:rPr>
          <w:sz w:val="18"/>
          <w:szCs w:val="18"/>
        </w:rPr>
        <w:t>https://github.com/neurolabusc/surf-ice</w:t>
      </w:r>
      <w:r w:rsidR="00E07561">
        <w:rPr>
          <w:sz w:val="18"/>
          <w:szCs w:val="18"/>
        </w:rPr>
        <w:t xml:space="preserve">). </w:t>
      </w:r>
      <w:r w:rsidR="006F1A4D">
        <w:rPr>
          <w:sz w:val="18"/>
          <w:szCs w:val="18"/>
        </w:rPr>
        <w:t>The blue nodes correspond to (sub-)cortical parcels as defined by the BN-246 atlas (</w:t>
      </w:r>
      <w:r w:rsidR="006F1A4D" w:rsidRPr="00427A3C">
        <w:rPr>
          <w:color w:val="7F7F7F" w:themeColor="text1" w:themeTint="80"/>
          <w:sz w:val="18"/>
          <w:szCs w:val="18"/>
        </w:rPr>
        <w:t>Fan et al., 2016</w:t>
      </w:r>
      <w:r w:rsidR="006F1A4D">
        <w:rPr>
          <w:sz w:val="18"/>
          <w:szCs w:val="18"/>
        </w:rPr>
        <w:t>) and the white edges to the disconnected fibre streamlines between those parcels as defined by the HCP-842 atlas (</w:t>
      </w:r>
      <w:r w:rsidR="006F1A4D" w:rsidRPr="00427A3C">
        <w:rPr>
          <w:color w:val="7F7F7F" w:themeColor="text1" w:themeTint="80"/>
          <w:sz w:val="18"/>
          <w:szCs w:val="18"/>
        </w:rPr>
        <w:t>Yeh et al., 2018</w:t>
      </w:r>
      <w:r w:rsidR="006F1A4D">
        <w:rPr>
          <w:sz w:val="18"/>
          <w:szCs w:val="18"/>
        </w:rPr>
        <w:t xml:space="preserve">). </w:t>
      </w:r>
      <w:r w:rsidR="00892B96">
        <w:rPr>
          <w:sz w:val="18"/>
          <w:szCs w:val="18"/>
        </w:rPr>
        <w:t>(A) shows the significant disconnections at p = 0.05 for the entire patient sample (N = 893), and the female (N = 205) and male (N = 611) subsamples, respectively. (B) presents the 5 most significant disconnections (i.e., the ones with the highest T-values) for the patient (sub-)samples</w:t>
      </w:r>
      <w:r w:rsidR="00AB3F65">
        <w:rPr>
          <w:sz w:val="18"/>
          <w:szCs w:val="18"/>
        </w:rPr>
        <w:t xml:space="preserve"> (see also </w:t>
      </w:r>
      <w:hyperlink w:anchor="table03roiDCs_5most" w:history="1">
        <w:r w:rsidR="00AB3F65" w:rsidRPr="006140BA">
          <w:rPr>
            <w:rStyle w:val="Hyperlink"/>
            <w:rFonts w:ascii="Ebrima" w:hAnsi="Ebrima"/>
            <w:sz w:val="18"/>
            <w:szCs w:val="18"/>
          </w:rPr>
          <w:t>Table 3</w:t>
        </w:r>
      </w:hyperlink>
      <w:r w:rsidR="00AB3F65">
        <w:rPr>
          <w:sz w:val="18"/>
          <w:szCs w:val="18"/>
        </w:rPr>
        <w:t>)</w:t>
      </w:r>
      <w:r w:rsidR="00892B96">
        <w:rPr>
          <w:sz w:val="18"/>
          <w:szCs w:val="18"/>
        </w:rPr>
        <w:t>.</w:t>
      </w:r>
    </w:p>
    <w:bookmarkEnd w:id="37"/>
    <w:p w14:paraId="6BC81D04" w14:textId="453827BD" w:rsidR="005123FC" w:rsidRDefault="005123FC" w:rsidP="004A4ACD">
      <w:r>
        <w:t>Generally, disconnections involving the IPL were the most common</w:t>
      </w:r>
      <w:r w:rsidR="00734638">
        <w:t xml:space="preserve"> (see </w:t>
      </w:r>
      <w:hyperlink w:anchor="table02roiDCs_summary" w:history="1">
        <w:r w:rsidR="00D91FE5" w:rsidRPr="006140BA">
          <w:rPr>
            <w:rStyle w:val="Hyperlink"/>
            <w:rFonts w:ascii="Ebrima" w:hAnsi="Ebrima"/>
          </w:rPr>
          <w:t>Table</w:t>
        </w:r>
        <w:r w:rsidR="006856BF" w:rsidRPr="006140BA">
          <w:rPr>
            <w:rStyle w:val="Hyperlink"/>
            <w:rFonts w:ascii="Ebrima" w:hAnsi="Ebrima"/>
          </w:rPr>
          <w:t xml:space="preserve"> 2</w:t>
        </w:r>
      </w:hyperlink>
      <w:r w:rsidR="00156D63">
        <w:t xml:space="preserve"> for an overview</w:t>
      </w:r>
      <w:r w:rsidR="006856BF">
        <w:t xml:space="preserve">, and </w:t>
      </w:r>
      <w:r w:rsidR="00D91FE5" w:rsidRPr="006140BA">
        <w:rPr>
          <w:highlight w:val="darkCyan"/>
        </w:rPr>
        <w:t>Supplementary</w:t>
      </w:r>
      <w:r w:rsidR="00734638" w:rsidRPr="006140BA">
        <w:rPr>
          <w:highlight w:val="darkCyan"/>
        </w:rPr>
        <w:t xml:space="preserve"> </w:t>
      </w:r>
      <w:r w:rsidR="00D91FE5" w:rsidRPr="006140BA">
        <w:rPr>
          <w:highlight w:val="darkCyan"/>
        </w:rPr>
        <w:t>Table</w:t>
      </w:r>
      <w:r w:rsidR="00734638" w:rsidRPr="006140BA">
        <w:rPr>
          <w:highlight w:val="darkCyan"/>
        </w:rPr>
        <w:t xml:space="preserve"> 3</w:t>
      </w:r>
      <w:r w:rsidR="006856BF">
        <w:t xml:space="preserve"> for details)</w:t>
      </w:r>
      <w:r>
        <w:t xml:space="preserve">: </w:t>
      </w:r>
      <w:r w:rsidR="0092609B">
        <w:t>34.8</w:t>
      </w:r>
      <w:r>
        <w:t xml:space="preserve">% of all disconnections across the whole patient sample had one of their endpoints in the IPL. IPL-related disconnections were also the most common disconnection in the male subsample, attributing for </w:t>
      </w:r>
      <w:r w:rsidR="0092609B">
        <w:t>30.9</w:t>
      </w:r>
      <w:r>
        <w:t>% of their disconnections. In the female subsample, however, the majority of disconnections (</w:t>
      </w:r>
      <w:r w:rsidR="0092609B">
        <w:t>48.3</w:t>
      </w:r>
      <w:r>
        <w:t xml:space="preserve">%) </w:t>
      </w:r>
      <w:r w:rsidR="00512A5C">
        <w:t>was</w:t>
      </w:r>
      <w:r>
        <w:t xml:space="preserve"> associated with the ITG. Here, IPL-related disconnections were the third most common (</w:t>
      </w:r>
      <w:r w:rsidR="0092609B">
        <w:t>27.8</w:t>
      </w:r>
      <w:r>
        <w:t>%), after disconnections involving the pSTS (</w:t>
      </w:r>
      <w:r w:rsidR="0092609B">
        <w:t>36.1</w:t>
      </w:r>
      <w:r>
        <w:t>%).</w:t>
      </w:r>
      <w:r w:rsidR="000720EF">
        <w:t xml:space="preserve"> </w:t>
      </w:r>
      <w:r w:rsidR="0023210C">
        <w:tab/>
      </w:r>
      <w:r w:rsidR="00CC55CE">
        <w:br/>
      </w:r>
    </w:p>
    <w:p w14:paraId="6528447D" w14:textId="7E8AD0EB" w:rsidR="0048504E" w:rsidRDefault="00D91FE5" w:rsidP="0048504E">
      <w:pPr>
        <w:tabs>
          <w:tab w:val="left" w:pos="7068"/>
        </w:tabs>
      </w:pPr>
      <w:bookmarkStart w:id="38" w:name="table02roiDCs_summary"/>
      <w:r>
        <w:rPr>
          <w:b/>
        </w:rPr>
        <w:t>Table</w:t>
      </w:r>
      <w:r w:rsidR="006F0C6C" w:rsidRPr="00156D63">
        <w:rPr>
          <w:b/>
        </w:rPr>
        <w:t xml:space="preserve"> 2:</w:t>
      </w:r>
      <w:r w:rsidR="00156D63">
        <w:t xml:space="preserve"> </w:t>
      </w:r>
      <w:r w:rsidR="00512A5C">
        <w:t>Overview Significant Parcel-wise Disconnections at p = 0.05</w:t>
      </w:r>
      <w:r w:rsidR="00CC55CE">
        <w:tab/>
      </w:r>
    </w:p>
    <w:tbl>
      <w:tblPr>
        <w:tblStyle w:val="EinfacheTabelle2"/>
        <w:tblW w:w="0" w:type="auto"/>
        <w:tblLook w:val="04A0" w:firstRow="1" w:lastRow="0" w:firstColumn="1" w:lastColumn="0" w:noHBand="0" w:noVBand="1"/>
      </w:tblPr>
      <w:tblGrid>
        <w:gridCol w:w="2265"/>
        <w:gridCol w:w="2265"/>
        <w:gridCol w:w="2266"/>
        <w:gridCol w:w="2266"/>
      </w:tblGrid>
      <w:tr w:rsidR="0048504E"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Total </w:t>
            </w:r>
            <w:r w:rsidRPr="00165A5A">
              <w:rPr>
                <w:sz w:val="18"/>
                <w:szCs w:val="18"/>
              </w:rPr>
              <w:br/>
              <w:t>(N = 2</w:t>
            </w:r>
            <w:r>
              <w:rPr>
                <w:sz w:val="18"/>
                <w:szCs w:val="18"/>
              </w:rPr>
              <w:t>06</w:t>
            </w:r>
            <w:r w:rsidRPr="00165A5A">
              <w:rPr>
                <w:sz w:val="18"/>
                <w:szCs w:val="18"/>
              </w:rPr>
              <w:t>)</w:t>
            </w:r>
          </w:p>
        </w:tc>
        <w:tc>
          <w:tcPr>
            <w:tcW w:w="2266" w:type="dxa"/>
            <w:tcBorders>
              <w:top w:val="single" w:sz="12" w:space="0" w:color="auto"/>
              <w:bottom w:val="single" w:sz="12" w:space="0" w:color="auto"/>
            </w:tcBorders>
          </w:tcPr>
          <w:p w14:paraId="5323CAFD" w14:textId="36B7E6BF"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Female </w:t>
            </w:r>
            <w:r w:rsidRPr="00165A5A">
              <w:rPr>
                <w:sz w:val="18"/>
                <w:szCs w:val="18"/>
              </w:rPr>
              <w:br/>
              <w:t>(N = 103)</w:t>
            </w:r>
          </w:p>
        </w:tc>
        <w:tc>
          <w:tcPr>
            <w:tcW w:w="2266" w:type="dxa"/>
            <w:tcBorders>
              <w:top w:val="single" w:sz="12" w:space="0" w:color="auto"/>
              <w:bottom w:val="single" w:sz="12" w:space="0" w:color="auto"/>
            </w:tcBorders>
          </w:tcPr>
          <w:p w14:paraId="1F2F2BF8" w14:textId="481C0B46"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Male </w:t>
            </w:r>
            <w:r w:rsidRPr="00165A5A">
              <w:rPr>
                <w:sz w:val="18"/>
                <w:szCs w:val="18"/>
              </w:rPr>
              <w:br/>
              <w:t>(N = 1</w:t>
            </w:r>
            <w:r>
              <w:rPr>
                <w:sz w:val="18"/>
                <w:szCs w:val="18"/>
              </w:rPr>
              <w:t>03</w:t>
            </w:r>
            <w:r w:rsidRPr="00165A5A">
              <w:rPr>
                <w:sz w:val="18"/>
                <w:szCs w:val="18"/>
              </w:rPr>
              <w:t>)</w:t>
            </w:r>
          </w:p>
        </w:tc>
      </w:tr>
      <w:tr w:rsidR="0048504E"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23210C" w:rsidRDefault="0048504E" w:rsidP="0048504E">
            <w:r w:rsidRPr="0023210C">
              <w:rPr>
                <w:sz w:val="18"/>
                <w:szCs w:val="18"/>
              </w:rPr>
              <w:t xml:space="preserve">Significant Disconnections  </w:t>
            </w:r>
            <w:r w:rsidRPr="0023210C">
              <w:rPr>
                <w:sz w:val="18"/>
                <w:szCs w:val="18"/>
              </w:rPr>
              <w:br/>
            </w:r>
            <w:r w:rsidRPr="0023210C">
              <w:rPr>
                <w:b w:val="0"/>
                <w:i/>
                <w:sz w:val="16"/>
                <w:szCs w:val="18"/>
              </w:rPr>
              <w:t>(N, Ratio Inter- : Intra-hemispheric</w:t>
            </w:r>
            <w:r w:rsidR="0023210C" w:rsidRPr="0023210C">
              <w:rPr>
                <w:b w:val="0"/>
                <w:i/>
                <w:sz w:val="16"/>
                <w:szCs w:val="18"/>
              </w:rPr>
              <w:t xml:space="preserve">, </w:t>
            </w:r>
            <w:r w:rsidR="0023210C">
              <w:rPr>
                <w:b w:val="0"/>
                <w:i/>
                <w:sz w:val="16"/>
                <w:szCs w:val="18"/>
              </w:rPr>
              <w:t>%</w:t>
            </w:r>
            <w:r w:rsidR="0023210C" w:rsidRPr="0023210C">
              <w:rPr>
                <w:b w:val="0"/>
                <w:i/>
                <w:sz w:val="16"/>
                <w:szCs w:val="18"/>
              </w:rPr>
              <w:t xml:space="preserve"> inter</w:t>
            </w:r>
            <w:r w:rsidR="0023210C">
              <w:rPr>
                <w:b w:val="0"/>
                <w:i/>
                <w:sz w:val="16"/>
                <w:szCs w:val="18"/>
              </w:rPr>
              <w:t>hem.</w:t>
            </w:r>
            <w:r w:rsidRPr="0023210C">
              <w:rPr>
                <w:b w:val="0"/>
                <w:i/>
                <w:sz w:val="16"/>
                <w:szCs w:val="18"/>
              </w:rPr>
              <w:t>)</w:t>
            </w:r>
          </w:p>
        </w:tc>
        <w:tc>
          <w:tcPr>
            <w:tcW w:w="2265" w:type="dxa"/>
            <w:tcBorders>
              <w:top w:val="single" w:sz="12" w:space="0" w:color="auto"/>
            </w:tcBorders>
            <w:shd w:val="clear" w:color="auto" w:fill="F2F2F2" w:themeFill="background1" w:themeFillShade="F2"/>
          </w:tcPr>
          <w:p w14:paraId="7694F92D" w14:textId="270138FF"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893, 607 : 286</w:t>
            </w:r>
            <w:r w:rsidR="0023210C" w:rsidRPr="0023210C">
              <w:rPr>
                <w:sz w:val="18"/>
                <w:szCs w:val="18"/>
              </w:rPr>
              <w:t xml:space="preserve"> (67.97%)</w:t>
            </w:r>
          </w:p>
        </w:tc>
        <w:tc>
          <w:tcPr>
            <w:tcW w:w="2266" w:type="dxa"/>
            <w:tcBorders>
              <w:top w:val="single" w:sz="12" w:space="0" w:color="auto"/>
            </w:tcBorders>
          </w:tcPr>
          <w:p w14:paraId="4C283413" w14:textId="55EB445F"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205, 145 : 60</w:t>
            </w:r>
            <w:r w:rsidR="0023210C" w:rsidRPr="0023210C">
              <w:rPr>
                <w:sz w:val="18"/>
                <w:szCs w:val="18"/>
              </w:rPr>
              <w:t xml:space="preserve"> (70.73%)</w:t>
            </w:r>
          </w:p>
        </w:tc>
        <w:tc>
          <w:tcPr>
            <w:tcW w:w="2266" w:type="dxa"/>
            <w:tcBorders>
              <w:top w:val="single" w:sz="12" w:space="0" w:color="auto"/>
            </w:tcBorders>
          </w:tcPr>
          <w:p w14:paraId="3D629924" w14:textId="338045E1"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611, 428 : 183</w:t>
            </w:r>
            <w:r w:rsidR="0023210C" w:rsidRPr="0023210C">
              <w:rPr>
                <w:sz w:val="18"/>
                <w:szCs w:val="18"/>
              </w:rPr>
              <w:t xml:space="preserve"> (70.05%)</w:t>
            </w:r>
          </w:p>
        </w:tc>
      </w:tr>
      <w:tr w:rsidR="0048504E"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0BE4A46A" w:rsidR="0048504E" w:rsidRDefault="0048504E" w:rsidP="0048504E">
            <w:r>
              <w:rPr>
                <w:sz w:val="18"/>
                <w:szCs w:val="18"/>
                <w:lang w:val="en-US"/>
              </w:rPr>
              <w:t>Node with highest number of</w:t>
            </w:r>
            <w:r w:rsidRPr="007C1572">
              <w:rPr>
                <w:sz w:val="18"/>
                <w:szCs w:val="18"/>
                <w:lang w:val="en-US"/>
              </w:rPr>
              <w:t xml:space="preserve"> </w:t>
            </w:r>
            <w:r>
              <w:rPr>
                <w:sz w:val="18"/>
                <w:szCs w:val="18"/>
                <w:lang w:val="en-US"/>
              </w:rPr>
              <w:t xml:space="preserve">sign. </w:t>
            </w:r>
            <w:r w:rsidRPr="007C1572">
              <w:rPr>
                <w:sz w:val="18"/>
                <w:szCs w:val="18"/>
                <w:lang w:val="en-US"/>
              </w:rPr>
              <w:t>disconnections</w:t>
            </w:r>
            <w:r>
              <w:rPr>
                <w:sz w:val="18"/>
                <w:szCs w:val="18"/>
                <w:lang w:val="en-US"/>
              </w:rPr>
              <w:t xml:space="preserve"> </w:t>
            </w:r>
            <w:r w:rsidRPr="000D326F">
              <w:rPr>
                <w:b w:val="0"/>
                <w:sz w:val="16"/>
                <w:szCs w:val="18"/>
                <w:lang w:val="en-US"/>
              </w:rPr>
              <w:t>(Anatomical Label, % of all disconnections)</w:t>
            </w:r>
          </w:p>
        </w:tc>
        <w:tc>
          <w:tcPr>
            <w:tcW w:w="2265" w:type="dxa"/>
            <w:shd w:val="clear" w:color="auto" w:fill="F2F2F2" w:themeFill="background1" w:themeFillShade="F2"/>
          </w:tcPr>
          <w:p w14:paraId="1F02A3CD" w14:textId="5D843658" w:rsidR="0048504E" w:rsidRDefault="0048504E" w:rsidP="0048504E">
            <w:pPr>
              <w:cnfStyle w:val="000000000000" w:firstRow="0" w:lastRow="0" w:firstColumn="0" w:lastColumn="0" w:oddVBand="0" w:evenVBand="0" w:oddHBand="0" w:evenHBand="0" w:firstRowFirstColumn="0" w:firstRowLastColumn="0" w:lastRowFirstColumn="0" w:lastRowLastColumn="0"/>
            </w:pPr>
            <w:r>
              <w:rPr>
                <w:sz w:val="18"/>
                <w:szCs w:val="18"/>
                <w:lang w:val="en-US"/>
              </w:rPr>
              <w:t xml:space="preserve">right A39rv </w:t>
            </w:r>
            <w:r w:rsidRPr="007160AC">
              <w:rPr>
                <w:sz w:val="18"/>
                <w:szCs w:val="18"/>
                <w:lang w:val="en-US"/>
              </w:rPr>
              <w:t>(PGa)</w:t>
            </w:r>
            <w:r>
              <w:rPr>
                <w:sz w:val="18"/>
                <w:szCs w:val="18"/>
                <w:lang w:val="en-US"/>
              </w:rPr>
              <w:t xml:space="preserve"> of IPL (5.38%)</w:t>
            </w:r>
          </w:p>
        </w:tc>
        <w:tc>
          <w:tcPr>
            <w:tcW w:w="2266" w:type="dxa"/>
          </w:tcPr>
          <w:p w14:paraId="4352BD9F" w14:textId="3425C4E2" w:rsidR="0048504E" w:rsidRDefault="0048504E" w:rsidP="0023210C">
            <w:pPr>
              <w:jc w:val="left"/>
              <w:cnfStyle w:val="000000000000" w:firstRow="0" w:lastRow="0" w:firstColumn="0" w:lastColumn="0" w:oddVBand="0" w:evenVBand="0" w:oddHBand="0" w:evenHBand="0" w:firstRowFirstColumn="0" w:firstRowLastColumn="0" w:lastRowFirstColumn="0" w:lastRowLastColumn="0"/>
            </w:pPr>
            <w:r>
              <w:rPr>
                <w:sz w:val="18"/>
                <w:szCs w:val="18"/>
                <w:lang w:val="en-US"/>
              </w:rPr>
              <w:t xml:space="preserve">right cpSTS     </w:t>
            </w:r>
            <w:r>
              <w:rPr>
                <w:sz w:val="18"/>
                <w:szCs w:val="18"/>
                <w:lang w:val="en-US"/>
              </w:rPr>
              <w:br/>
              <w:t>(18.54%)</w:t>
            </w:r>
          </w:p>
        </w:tc>
        <w:tc>
          <w:tcPr>
            <w:tcW w:w="2266" w:type="dxa"/>
          </w:tcPr>
          <w:p w14:paraId="584167E8" w14:textId="27FECFB2" w:rsidR="0048504E" w:rsidRDefault="0048504E" w:rsidP="0048504E">
            <w:pPr>
              <w:cnfStyle w:val="000000000000" w:firstRow="0" w:lastRow="0" w:firstColumn="0" w:lastColumn="0" w:oddVBand="0" w:evenVBand="0" w:oddHBand="0" w:evenHBand="0" w:firstRowFirstColumn="0" w:firstRowLastColumn="0" w:lastRowFirstColumn="0" w:lastRowLastColumn="0"/>
            </w:pPr>
            <w:r w:rsidRPr="007160AC">
              <w:rPr>
                <w:sz w:val="18"/>
                <w:szCs w:val="18"/>
                <w:lang w:val="en-US"/>
              </w:rPr>
              <w:t xml:space="preserve">right </w:t>
            </w:r>
            <w:r>
              <w:rPr>
                <w:sz w:val="18"/>
                <w:szCs w:val="18"/>
                <w:lang w:val="en-US"/>
              </w:rPr>
              <w:t>A39rv (PGa) of IPL (6.87</w:t>
            </w:r>
            <w:r w:rsidRPr="007160AC">
              <w:rPr>
                <w:sz w:val="18"/>
                <w:szCs w:val="18"/>
                <w:lang w:val="en-US"/>
              </w:rPr>
              <w:t>%)</w:t>
            </w:r>
            <w:r>
              <w:rPr>
                <w:sz w:val="18"/>
                <w:szCs w:val="18"/>
                <w:lang w:val="en-US"/>
              </w:rPr>
              <w:t xml:space="preserve"> </w:t>
            </w:r>
          </w:p>
        </w:tc>
      </w:tr>
      <w:tr w:rsidR="0048504E"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75729EFA" w:rsidR="0048504E" w:rsidRDefault="0048504E" w:rsidP="0048504E">
            <w:r>
              <w:rPr>
                <w:sz w:val="18"/>
                <w:szCs w:val="18"/>
                <w:lang w:val="en-US"/>
              </w:rPr>
              <w:t xml:space="preserve">ROI with highest number of sign. disconnections </w:t>
            </w:r>
            <w:r w:rsidRPr="000D326F">
              <w:rPr>
                <w:b w:val="0"/>
                <w:sz w:val="16"/>
                <w:szCs w:val="18"/>
                <w:lang w:val="en-US"/>
              </w:rPr>
              <w:t>(Anatomical Label, % of all disconnections)</w:t>
            </w:r>
          </w:p>
        </w:tc>
        <w:tc>
          <w:tcPr>
            <w:tcW w:w="2265" w:type="dxa"/>
            <w:tcBorders>
              <w:bottom w:val="single" w:sz="12" w:space="0" w:color="auto"/>
            </w:tcBorders>
            <w:shd w:val="clear" w:color="auto" w:fill="F2F2F2" w:themeFill="background1" w:themeFillShade="F2"/>
          </w:tcPr>
          <w:p w14:paraId="2DE69B73" w14:textId="4949C951"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IPL (34.8%)</w:t>
            </w:r>
          </w:p>
        </w:tc>
        <w:tc>
          <w:tcPr>
            <w:tcW w:w="2266" w:type="dxa"/>
            <w:tcBorders>
              <w:bottom w:val="single" w:sz="12" w:space="0" w:color="auto"/>
            </w:tcBorders>
          </w:tcPr>
          <w:p w14:paraId="02E64EBE" w14:textId="2EBD02DE"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ITG (48.3%)</w:t>
            </w:r>
          </w:p>
        </w:tc>
        <w:tc>
          <w:tcPr>
            <w:tcW w:w="2266" w:type="dxa"/>
            <w:tcBorders>
              <w:bottom w:val="single" w:sz="12" w:space="0" w:color="auto"/>
            </w:tcBorders>
          </w:tcPr>
          <w:p w14:paraId="586778D5" w14:textId="2423BB58"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IPL (30.9%)</w:t>
            </w:r>
          </w:p>
        </w:tc>
      </w:tr>
    </w:tbl>
    <w:p w14:paraId="3468B8B9" w14:textId="77777777" w:rsidR="00747EBA" w:rsidRDefault="00A27977" w:rsidP="006856BF">
      <w:pPr>
        <w:rPr>
          <w:sz w:val="18"/>
          <w:szCs w:val="18"/>
        </w:rPr>
      </w:pPr>
      <w:r>
        <w:rPr>
          <w:sz w:val="18"/>
          <w:szCs w:val="18"/>
        </w:rPr>
        <w:br/>
      </w:r>
      <w:r w:rsidR="00512A5C" w:rsidRPr="00512A5C">
        <w:rPr>
          <w:sz w:val="18"/>
          <w:szCs w:val="18"/>
        </w:rPr>
        <w:t xml:space="preserve">Selected summary statistics resulting from the parcel-wise disconnection analysis at p = 0.05. Results are either </w:t>
      </w:r>
      <w:r w:rsidR="00512A5C" w:rsidRPr="00512A5C">
        <w:rPr>
          <w:sz w:val="18"/>
          <w:szCs w:val="18"/>
        </w:rPr>
        <w:lastRenderedPageBreak/>
        <w:t xml:space="preserve">given as number of significant disconnections, </w:t>
      </w:r>
      <w:r w:rsidR="008A5861" w:rsidRPr="00A37F9B">
        <w:rPr>
          <w:sz w:val="18"/>
          <w:szCs w:val="18"/>
        </w:rPr>
        <w:t xml:space="preserve">ratio </w:t>
      </w:r>
      <w:r w:rsidR="00512A5C" w:rsidRPr="00A37F9B">
        <w:rPr>
          <w:sz w:val="18"/>
          <w:szCs w:val="18"/>
        </w:rPr>
        <w:t>of interhemisphe</w:t>
      </w:r>
      <w:r w:rsidR="003D7287" w:rsidRPr="00A37F9B">
        <w:rPr>
          <w:sz w:val="18"/>
          <w:szCs w:val="18"/>
        </w:rPr>
        <w:t xml:space="preserve">ric disconnections </w:t>
      </w:r>
      <w:r w:rsidR="008A5861" w:rsidRPr="00A37F9B">
        <w:rPr>
          <w:sz w:val="18"/>
          <w:szCs w:val="18"/>
        </w:rPr>
        <w:t xml:space="preserve">to </w:t>
      </w:r>
      <w:r w:rsidR="003D7287" w:rsidRPr="00A37F9B">
        <w:rPr>
          <w:sz w:val="18"/>
          <w:szCs w:val="18"/>
        </w:rPr>
        <w:t>i</w:t>
      </w:r>
      <w:r w:rsidR="00512A5C" w:rsidRPr="00A37F9B">
        <w:rPr>
          <w:sz w:val="18"/>
          <w:szCs w:val="18"/>
        </w:rPr>
        <w:t>ntrahemispheric disconnections</w:t>
      </w:r>
      <w:r w:rsidR="00512A5C" w:rsidRPr="00512A5C">
        <w:rPr>
          <w:sz w:val="18"/>
          <w:szCs w:val="18"/>
        </w:rPr>
        <w:t xml:space="preserve"> or as anatomical label based on</w:t>
      </w:r>
      <w:r w:rsidR="002E4BF9">
        <w:rPr>
          <w:sz w:val="18"/>
          <w:szCs w:val="18"/>
        </w:rPr>
        <w:t xml:space="preserve"> the</w:t>
      </w:r>
      <w:r w:rsidR="00512A5C" w:rsidRPr="00512A5C">
        <w:rPr>
          <w:sz w:val="18"/>
          <w:szCs w:val="18"/>
        </w:rPr>
        <w:t xml:space="preserve"> BN-246 atlas (</w:t>
      </w:r>
      <w:r w:rsidR="00512A5C" w:rsidRPr="00427A3C">
        <w:rPr>
          <w:color w:val="7F7F7F" w:themeColor="text1" w:themeTint="80"/>
          <w:sz w:val="18"/>
          <w:szCs w:val="18"/>
        </w:rPr>
        <w:t>Fan et al., 2016</w:t>
      </w:r>
      <w:r w:rsidR="00512A5C" w:rsidRPr="00512A5C">
        <w:rPr>
          <w:sz w:val="18"/>
          <w:szCs w:val="18"/>
        </w:rPr>
        <w:t>) (contributing to percentage of disconnections). More details can be found in Appendix B, Supplementary Table 3.</w:t>
      </w:r>
    </w:p>
    <w:bookmarkEnd w:id="38"/>
    <w:p w14:paraId="3B610C09" w14:textId="77777777" w:rsidR="00747EBA" w:rsidRDefault="00747EBA" w:rsidP="006856BF">
      <w:pPr>
        <w:rPr>
          <w:sz w:val="18"/>
          <w:szCs w:val="18"/>
        </w:rPr>
      </w:pPr>
    </w:p>
    <w:p w14:paraId="1F35C4CD" w14:textId="3083625B" w:rsidR="00BD13E8" w:rsidRPr="0023210C" w:rsidRDefault="00151637" w:rsidP="006856BF">
      <w:r w:rsidRPr="0023210C">
        <w:t xml:space="preserve">In women, the five disconnections that were most significantly associated with pathological behavioural scores were all right </w:t>
      </w:r>
      <w:r w:rsidRPr="0023210C">
        <w:rPr>
          <w:i/>
          <w:iCs/>
        </w:rPr>
        <w:t>intra</w:t>
      </w:r>
      <w:r w:rsidR="002E4BF9" w:rsidRPr="0023210C">
        <w:rPr>
          <w:i/>
          <w:iCs/>
        </w:rPr>
        <w:t>-</w:t>
      </w:r>
      <w:r w:rsidRPr="0023210C">
        <w:t xml:space="preserve">hemispheric disconnections involving the </w:t>
      </w:r>
      <w:r w:rsidR="0023210C" w:rsidRPr="0023210C">
        <w:t>t</w:t>
      </w:r>
      <w:r w:rsidRPr="0023210C">
        <w:t xml:space="preserve">halamus, specifically the occipital and caudal temporal segments of the </w:t>
      </w:r>
      <w:r w:rsidR="0023210C" w:rsidRPr="0023210C">
        <w:t>t</w:t>
      </w:r>
      <w:r w:rsidRPr="0023210C">
        <w:t xml:space="preserve">halamus. In contrast to this, the five most significant disconnections in men were all </w:t>
      </w:r>
      <w:r w:rsidRPr="0023210C">
        <w:rPr>
          <w:i/>
          <w:iCs/>
        </w:rPr>
        <w:t>inter</w:t>
      </w:r>
      <w:r w:rsidR="002E4BF9" w:rsidRPr="0023210C">
        <w:rPr>
          <w:i/>
          <w:iCs/>
        </w:rPr>
        <w:t>-</w:t>
      </w:r>
      <w:r w:rsidRPr="0023210C">
        <w:t>hemispheric disconnections involving the right caudoventral ITG.</w:t>
      </w:r>
    </w:p>
    <w:p w14:paraId="47675846" w14:textId="5AA64D77" w:rsidR="006856BF" w:rsidRDefault="0023210C" w:rsidP="006856BF">
      <w:r w:rsidRPr="0023210C">
        <w:t xml:space="preserve">Further, </w:t>
      </w:r>
      <w:r w:rsidR="006856BF" w:rsidRPr="0023210C">
        <w:t>the disconnection that most significantly was associated with pathological behavioural scores</w:t>
      </w:r>
      <w:r w:rsidRPr="0023210C">
        <w:t xml:space="preserve"> in women</w:t>
      </w:r>
      <w:r w:rsidR="006856BF" w:rsidRPr="0023210C">
        <w:t xml:space="preserve"> was between the ventrolateral ITG and the occipital </w:t>
      </w:r>
      <w:r w:rsidRPr="0023210C">
        <w:t>t</w:t>
      </w:r>
      <w:r w:rsidR="006856BF" w:rsidRPr="0023210C">
        <w:t xml:space="preserve">halamus of the right hemisphere. </w:t>
      </w:r>
      <w:r w:rsidRPr="0023210C">
        <w:t>In men, however, the interhemispheric disconnection between the left extreme lateroventral ITG and the right caudoventral ITG was associated most significantly with neglect severity.</w:t>
      </w:r>
    </w:p>
    <w:p w14:paraId="74A05820" w14:textId="22C36D22" w:rsidR="006856BF" w:rsidRPr="006856BF" w:rsidRDefault="001C3302" w:rsidP="004A4ACD">
      <w:r>
        <w:br w:type="page"/>
      </w:r>
      <w:bookmarkStart w:id="39" w:name="table03roiDCs_5most"/>
      <w:r w:rsidR="00E45B12" w:rsidRPr="00E45B12">
        <w:rPr>
          <w:b/>
        </w:rPr>
        <w:lastRenderedPageBreak/>
        <w:t>Table 3:</w:t>
      </w:r>
      <w:r w:rsidR="00E45B12" w:rsidRPr="00E45B12">
        <w:t xml:space="preserve"> Most Significant Parcel-wise Disconnections</w:t>
      </w:r>
      <w:r w:rsidR="003D0178">
        <w:tab/>
      </w:r>
    </w:p>
    <w:tbl>
      <w:tblPr>
        <w:tblStyle w:val="EinfacheTabelle2"/>
        <w:tblW w:w="0" w:type="auto"/>
        <w:tblLook w:val="04A0" w:firstRow="1" w:lastRow="0" w:firstColumn="1" w:lastColumn="0" w:noHBand="0" w:noVBand="1"/>
      </w:tblPr>
      <w:tblGrid>
        <w:gridCol w:w="985"/>
        <w:gridCol w:w="3240"/>
        <w:gridCol w:w="3240"/>
        <w:gridCol w:w="1597"/>
      </w:tblGrid>
      <w:tr w:rsidR="003955C1" w14:paraId="72C9031B" w14:textId="77777777" w:rsidTr="001C3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472B73A5" w14:textId="77777777" w:rsidR="003955C1" w:rsidRPr="003955C1" w:rsidRDefault="003955C1" w:rsidP="003955C1">
            <w:pPr>
              <w:jc w:val="center"/>
              <w:rPr>
                <w:sz w:val="18"/>
                <w:lang w:val="en-US"/>
              </w:rPr>
            </w:pPr>
          </w:p>
        </w:tc>
        <w:tc>
          <w:tcPr>
            <w:tcW w:w="3240" w:type="dxa"/>
            <w:tcBorders>
              <w:top w:val="single" w:sz="12" w:space="0" w:color="auto"/>
              <w:bottom w:val="single" w:sz="12" w:space="0" w:color="auto"/>
            </w:tcBorders>
          </w:tcPr>
          <w:p w14:paraId="69005575" w14:textId="46024902"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Node A</w:t>
            </w:r>
          </w:p>
        </w:tc>
        <w:tc>
          <w:tcPr>
            <w:tcW w:w="3240" w:type="dxa"/>
            <w:tcBorders>
              <w:top w:val="single" w:sz="12" w:space="0" w:color="auto"/>
              <w:bottom w:val="single" w:sz="12" w:space="0" w:color="auto"/>
            </w:tcBorders>
          </w:tcPr>
          <w:p w14:paraId="4CDB6583" w14:textId="34BC72A0"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Node B</w:t>
            </w:r>
          </w:p>
        </w:tc>
        <w:tc>
          <w:tcPr>
            <w:tcW w:w="1597" w:type="dxa"/>
            <w:tcBorders>
              <w:top w:val="single" w:sz="12" w:space="0" w:color="auto"/>
              <w:bottom w:val="single" w:sz="12" w:space="0" w:color="auto"/>
            </w:tcBorders>
          </w:tcPr>
          <w:p w14:paraId="17D21DAC" w14:textId="23D2106B"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T-value</w:t>
            </w:r>
          </w:p>
        </w:tc>
      </w:tr>
      <w:tr w:rsidR="003955C1" w14:paraId="49A0E08F"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bottom w:val="nil"/>
            </w:tcBorders>
          </w:tcPr>
          <w:p w14:paraId="248928C8" w14:textId="32A7F460" w:rsidR="003955C1" w:rsidRPr="003955C1" w:rsidRDefault="006856BF" w:rsidP="003955C1">
            <w:pPr>
              <w:jc w:val="center"/>
              <w:rPr>
                <w:sz w:val="14"/>
                <w:lang w:val="en-US"/>
              </w:rPr>
            </w:pPr>
            <w:r>
              <w:rPr>
                <w:sz w:val="18"/>
                <w:lang w:val="en-US"/>
              </w:rPr>
              <w:br/>
            </w:r>
            <w:r w:rsidR="00AA000D">
              <w:rPr>
                <w:sz w:val="18"/>
                <w:lang w:val="en-US"/>
              </w:rPr>
              <w:br/>
            </w:r>
            <w:r w:rsidR="003955C1" w:rsidRPr="0067037A">
              <w:rPr>
                <w:sz w:val="18"/>
                <w:lang w:val="en-US"/>
              </w:rPr>
              <w:t>T</w:t>
            </w:r>
            <w:r w:rsidR="003955C1" w:rsidRPr="0067037A">
              <w:rPr>
                <w:sz w:val="18"/>
                <w:lang w:val="en-US"/>
              </w:rPr>
              <w:br/>
              <w:t>O</w:t>
            </w:r>
            <w:r w:rsidR="003955C1" w:rsidRPr="0067037A">
              <w:rPr>
                <w:sz w:val="18"/>
                <w:lang w:val="en-US"/>
              </w:rPr>
              <w:br/>
              <w:t>T</w:t>
            </w:r>
            <w:r w:rsidR="003955C1" w:rsidRPr="0067037A">
              <w:rPr>
                <w:sz w:val="18"/>
                <w:lang w:val="en-US"/>
              </w:rPr>
              <w:br/>
              <w:t>A</w:t>
            </w:r>
            <w:r w:rsidR="003955C1" w:rsidRPr="0067037A">
              <w:rPr>
                <w:sz w:val="18"/>
                <w:lang w:val="en-US"/>
              </w:rPr>
              <w:br/>
              <w:t>L</w:t>
            </w:r>
          </w:p>
        </w:tc>
        <w:tc>
          <w:tcPr>
            <w:tcW w:w="3240" w:type="dxa"/>
            <w:tcBorders>
              <w:top w:val="single" w:sz="12" w:space="0" w:color="auto"/>
              <w:bottom w:val="nil"/>
            </w:tcBorders>
          </w:tcPr>
          <w:p w14:paraId="4BA4BFEC" w14:textId="77777777" w:rsid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MTG</w:t>
            </w:r>
          </w:p>
          <w:p w14:paraId="3CEE51CE" w14:textId="46C68BE5"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AA000D">
              <w:rPr>
                <w:sz w:val="16"/>
                <w:lang w:val="en-US"/>
              </w:rPr>
              <w:t>(rostral area 21)</w:t>
            </w:r>
          </w:p>
        </w:tc>
        <w:tc>
          <w:tcPr>
            <w:tcW w:w="3240" w:type="dxa"/>
            <w:tcBorders>
              <w:top w:val="single" w:sz="12" w:space="0" w:color="auto"/>
              <w:bottom w:val="nil"/>
            </w:tcBorders>
          </w:tcPr>
          <w:p w14:paraId="1DC51AD0" w14:textId="22728DBE"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single" w:sz="12" w:space="0" w:color="auto"/>
              <w:bottom w:val="nil"/>
            </w:tcBorders>
          </w:tcPr>
          <w:p w14:paraId="2DA26246" w14:textId="6664BD26"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AA000D">
              <w:rPr>
                <w:sz w:val="18"/>
                <w:lang w:val="en-US"/>
              </w:rPr>
              <w:t>7.5929</w:t>
            </w:r>
          </w:p>
        </w:tc>
      </w:tr>
      <w:tr w:rsidR="003955C1" w14:paraId="295BB5C0"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3BD3B294" w14:textId="77777777" w:rsidR="003955C1" w:rsidRPr="003955C1" w:rsidRDefault="003955C1" w:rsidP="004A4ACD">
            <w:pPr>
              <w:rPr>
                <w:sz w:val="14"/>
                <w:lang w:val="en-US"/>
              </w:rPr>
            </w:pPr>
          </w:p>
        </w:tc>
        <w:tc>
          <w:tcPr>
            <w:tcW w:w="3240" w:type="dxa"/>
            <w:tcBorders>
              <w:top w:val="nil"/>
              <w:bottom w:val="nil"/>
            </w:tcBorders>
          </w:tcPr>
          <w:p w14:paraId="4376AF6F" w14:textId="646FA6BE"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MTG</w:t>
            </w:r>
            <w:r>
              <w:rPr>
                <w:sz w:val="18"/>
                <w:lang w:val="en-US"/>
              </w:rPr>
              <w:br/>
            </w:r>
            <w:r w:rsidRPr="00AA000D">
              <w:rPr>
                <w:sz w:val="16"/>
                <w:lang w:val="en-US"/>
              </w:rPr>
              <w:t>(anterior STS)</w:t>
            </w:r>
          </w:p>
        </w:tc>
        <w:tc>
          <w:tcPr>
            <w:tcW w:w="3240" w:type="dxa"/>
            <w:tcBorders>
              <w:top w:val="nil"/>
              <w:bottom w:val="nil"/>
            </w:tcBorders>
          </w:tcPr>
          <w:p w14:paraId="3B34FCBB" w14:textId="781F8E8D"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(ventrolateral area 37)</w:t>
            </w:r>
          </w:p>
        </w:tc>
        <w:tc>
          <w:tcPr>
            <w:tcW w:w="1597" w:type="dxa"/>
            <w:tcBorders>
              <w:top w:val="nil"/>
              <w:bottom w:val="nil"/>
            </w:tcBorders>
          </w:tcPr>
          <w:p w14:paraId="7AD06FBE" w14:textId="440F0FDE" w:rsidR="003955C1" w:rsidRPr="003955C1"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AA000D">
              <w:rPr>
                <w:sz w:val="18"/>
                <w:lang w:val="en-US"/>
              </w:rPr>
              <w:t>7.3804</w:t>
            </w:r>
          </w:p>
        </w:tc>
      </w:tr>
      <w:tr w:rsidR="003955C1" w14:paraId="49890E23"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3E58459E" w14:textId="77777777" w:rsidR="003955C1" w:rsidRPr="003955C1" w:rsidRDefault="003955C1" w:rsidP="004A4ACD">
            <w:pPr>
              <w:rPr>
                <w:sz w:val="14"/>
                <w:lang w:val="en-US"/>
              </w:rPr>
            </w:pPr>
          </w:p>
        </w:tc>
        <w:tc>
          <w:tcPr>
            <w:tcW w:w="3240" w:type="dxa"/>
            <w:tcBorders>
              <w:top w:val="nil"/>
              <w:bottom w:val="nil"/>
            </w:tcBorders>
          </w:tcPr>
          <w:p w14:paraId="5B738115" w14:textId="5CDF8666"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STG</w:t>
            </w:r>
            <w:r>
              <w:rPr>
                <w:sz w:val="18"/>
                <w:lang w:val="en-US"/>
              </w:rPr>
              <w:br/>
            </w:r>
            <w:r w:rsidRPr="00AA000D">
              <w:rPr>
                <w:sz w:val="16"/>
                <w:lang w:val="en-US"/>
              </w:rPr>
              <w:t>(lateral area 38)</w:t>
            </w:r>
          </w:p>
        </w:tc>
        <w:tc>
          <w:tcPr>
            <w:tcW w:w="3240" w:type="dxa"/>
            <w:tcBorders>
              <w:top w:val="nil"/>
              <w:bottom w:val="nil"/>
            </w:tcBorders>
          </w:tcPr>
          <w:p w14:paraId="792BF5CA" w14:textId="31972BC8"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nil"/>
              <w:bottom w:val="nil"/>
            </w:tcBorders>
          </w:tcPr>
          <w:p w14:paraId="26814D8E" w14:textId="459A7013"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7.3375</w:t>
            </w:r>
          </w:p>
        </w:tc>
      </w:tr>
      <w:tr w:rsidR="003955C1" w14:paraId="62449B42"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29F02E7B" w14:textId="77777777" w:rsidR="003955C1" w:rsidRPr="003955C1" w:rsidRDefault="003955C1" w:rsidP="004A4ACD">
            <w:pPr>
              <w:rPr>
                <w:sz w:val="14"/>
                <w:lang w:val="en-US"/>
              </w:rPr>
            </w:pPr>
          </w:p>
        </w:tc>
        <w:tc>
          <w:tcPr>
            <w:tcW w:w="3240" w:type="dxa"/>
            <w:tcBorders>
              <w:top w:val="nil"/>
              <w:bottom w:val="nil"/>
            </w:tcBorders>
          </w:tcPr>
          <w:p w14:paraId="7E33EF62" w14:textId="0406105B"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IPL</w:t>
            </w:r>
            <w:r>
              <w:rPr>
                <w:sz w:val="18"/>
                <w:lang w:val="en-US"/>
              </w:rPr>
              <w:br/>
            </w:r>
            <w:r w:rsidRPr="00AA000D">
              <w:rPr>
                <w:sz w:val="16"/>
                <w:lang w:val="en-US"/>
              </w:rPr>
              <w:t>(rostroventral area / PFop)</w:t>
            </w:r>
          </w:p>
        </w:tc>
        <w:tc>
          <w:tcPr>
            <w:tcW w:w="3240" w:type="dxa"/>
            <w:tcBorders>
              <w:top w:val="nil"/>
              <w:bottom w:val="nil"/>
            </w:tcBorders>
          </w:tcPr>
          <w:p w14:paraId="2973867A" w14:textId="4E21A7BE" w:rsidR="003955C1" w:rsidRPr="003955C1" w:rsidRDefault="00AA000D" w:rsidP="006712C9">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w:t>
            </w:r>
            <w:r w:rsidR="006712C9">
              <w:rPr>
                <w:sz w:val="16"/>
                <w:lang w:val="en-US"/>
              </w:rPr>
              <w:t>extreme lateroventral area 20</w:t>
            </w:r>
            <w:r w:rsidRPr="00AA000D">
              <w:rPr>
                <w:sz w:val="16"/>
                <w:lang w:val="en-US"/>
              </w:rPr>
              <w:t>)</w:t>
            </w:r>
          </w:p>
        </w:tc>
        <w:tc>
          <w:tcPr>
            <w:tcW w:w="1597" w:type="dxa"/>
            <w:tcBorders>
              <w:top w:val="nil"/>
              <w:bottom w:val="nil"/>
            </w:tcBorders>
          </w:tcPr>
          <w:p w14:paraId="4FFAC42C" w14:textId="3EA8B3BB" w:rsidR="003955C1" w:rsidRPr="003955C1"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7.3282</w:t>
            </w:r>
          </w:p>
        </w:tc>
      </w:tr>
      <w:tr w:rsidR="003955C1" w14:paraId="28C7938A"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7D05138E" w14:textId="77777777" w:rsidR="003955C1" w:rsidRPr="003955C1" w:rsidRDefault="003955C1" w:rsidP="004A4ACD">
            <w:pPr>
              <w:rPr>
                <w:sz w:val="14"/>
                <w:lang w:val="en-US"/>
              </w:rPr>
            </w:pPr>
          </w:p>
        </w:tc>
        <w:tc>
          <w:tcPr>
            <w:tcW w:w="3240" w:type="dxa"/>
            <w:tcBorders>
              <w:top w:val="nil"/>
              <w:bottom w:val="nil"/>
            </w:tcBorders>
          </w:tcPr>
          <w:p w14:paraId="46CC33F5" w14:textId="4B96DDF6"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IPL</w:t>
            </w:r>
            <w:r>
              <w:rPr>
                <w:sz w:val="18"/>
                <w:lang w:val="en-US"/>
              </w:rPr>
              <w:br/>
            </w:r>
            <w:r w:rsidRPr="00AA000D">
              <w:rPr>
                <w:sz w:val="16"/>
                <w:lang w:val="en-US"/>
              </w:rPr>
              <w:t>(caudal area 40/PFm)</w:t>
            </w:r>
          </w:p>
        </w:tc>
        <w:tc>
          <w:tcPr>
            <w:tcW w:w="3240" w:type="dxa"/>
            <w:tcBorders>
              <w:top w:val="nil"/>
              <w:bottom w:val="nil"/>
            </w:tcBorders>
          </w:tcPr>
          <w:p w14:paraId="22F22422" w14:textId="683BA337"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nil"/>
              <w:bottom w:val="nil"/>
            </w:tcBorders>
          </w:tcPr>
          <w:p w14:paraId="3E60F5EE" w14:textId="7E3A3642"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7.3147</w:t>
            </w:r>
          </w:p>
        </w:tc>
      </w:tr>
      <w:tr w:rsidR="0067037A" w14:paraId="07385155" w14:textId="77777777" w:rsidTr="008C03EA">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nil"/>
            </w:tcBorders>
            <w:shd w:val="clear" w:color="auto" w:fill="F2F2F2" w:themeFill="background1" w:themeFillShade="F2"/>
          </w:tcPr>
          <w:p w14:paraId="0B73D413" w14:textId="34F8A002" w:rsidR="0067037A" w:rsidRPr="003955C1" w:rsidRDefault="0067037A" w:rsidP="0067037A">
            <w:pPr>
              <w:jc w:val="center"/>
              <w:rPr>
                <w:sz w:val="14"/>
                <w:lang w:val="en-US"/>
              </w:rPr>
            </w:pPr>
            <w:r>
              <w:rPr>
                <w:sz w:val="18"/>
                <w:lang w:val="en-US"/>
              </w:rPr>
              <w:br/>
            </w:r>
            <w:r>
              <w:rPr>
                <w:sz w:val="18"/>
                <w:lang w:val="en-US"/>
              </w:rPr>
              <w:br/>
            </w:r>
            <w:r w:rsidRPr="0067037A">
              <w:rPr>
                <w:sz w:val="18"/>
                <w:lang w:val="en-US"/>
              </w:rPr>
              <w:t>F</w:t>
            </w:r>
            <w:r w:rsidRPr="0067037A">
              <w:rPr>
                <w:sz w:val="18"/>
                <w:lang w:val="en-US"/>
              </w:rPr>
              <w:br/>
              <w:t>E</w:t>
            </w:r>
            <w:r w:rsidRPr="0067037A">
              <w:rPr>
                <w:sz w:val="18"/>
                <w:lang w:val="en-US"/>
              </w:rPr>
              <w:br/>
              <w:t>M</w:t>
            </w:r>
            <w:r w:rsidRPr="0067037A">
              <w:rPr>
                <w:sz w:val="18"/>
                <w:lang w:val="en-US"/>
              </w:rPr>
              <w:br/>
              <w:t>A</w:t>
            </w:r>
            <w:r w:rsidRPr="0067037A">
              <w:rPr>
                <w:sz w:val="18"/>
                <w:lang w:val="en-US"/>
              </w:rPr>
              <w:br/>
              <w:t>L</w:t>
            </w:r>
            <w:r w:rsidRPr="0067037A">
              <w:rPr>
                <w:sz w:val="18"/>
                <w:lang w:val="en-US"/>
              </w:rPr>
              <w:br/>
              <w:t>E</w:t>
            </w:r>
          </w:p>
        </w:tc>
        <w:tc>
          <w:tcPr>
            <w:tcW w:w="3240" w:type="dxa"/>
            <w:tcBorders>
              <w:top w:val="nil"/>
              <w:bottom w:val="nil"/>
            </w:tcBorders>
            <w:shd w:val="clear" w:color="auto" w:fill="F2F2F2" w:themeFill="background1" w:themeFillShade="F2"/>
          </w:tcPr>
          <w:p w14:paraId="759BA68E" w14:textId="4B2D4CFA"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23533A">
              <w:rPr>
                <w:sz w:val="16"/>
                <w:lang w:val="en-US"/>
              </w:rPr>
              <w:t xml:space="preserve"> (ventrolateral area 37)</w:t>
            </w:r>
          </w:p>
        </w:tc>
        <w:tc>
          <w:tcPr>
            <w:tcW w:w="3240" w:type="dxa"/>
            <w:tcBorders>
              <w:top w:val="nil"/>
              <w:bottom w:val="nil"/>
            </w:tcBorders>
            <w:shd w:val="clear" w:color="auto" w:fill="F2F2F2" w:themeFill="background1" w:themeFillShade="F2"/>
          </w:tcPr>
          <w:p w14:paraId="6F5184A1" w14:textId="61416643"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2559F5D2" w14:textId="7C651CDB"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5.2566</w:t>
            </w:r>
          </w:p>
        </w:tc>
      </w:tr>
      <w:tr w:rsidR="0067037A" w14:paraId="20AB57D3"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1440AE87"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10743561" w14:textId="400C1933"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SPL</w:t>
            </w:r>
            <w:r>
              <w:rPr>
                <w:sz w:val="18"/>
                <w:lang w:val="en-US"/>
              </w:rPr>
              <w:br/>
            </w:r>
            <w:r w:rsidRPr="0023533A">
              <w:rPr>
                <w:sz w:val="16"/>
                <w:lang w:val="en-US"/>
              </w:rPr>
              <w:t>(postcentral area 7)</w:t>
            </w:r>
          </w:p>
        </w:tc>
        <w:tc>
          <w:tcPr>
            <w:tcW w:w="3240" w:type="dxa"/>
            <w:tcBorders>
              <w:top w:val="nil"/>
              <w:bottom w:val="nil"/>
            </w:tcBorders>
            <w:shd w:val="clear" w:color="auto" w:fill="F2F2F2" w:themeFill="background1" w:themeFillShade="F2"/>
          </w:tcPr>
          <w:p w14:paraId="553096E4" w14:textId="3CE9FF09"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44197BB3" w14:textId="4E110AB9" w:rsidR="0067037A" w:rsidRPr="003955C1"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szCs w:val="18"/>
                <w:lang w:val="en-US"/>
              </w:rPr>
              <w:t>5.0743</w:t>
            </w:r>
          </w:p>
        </w:tc>
      </w:tr>
      <w:tr w:rsidR="0067037A" w14:paraId="0549484C"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CC8EC94"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4328D896" w14:textId="0E263792"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SPL</w:t>
            </w:r>
            <w:r>
              <w:rPr>
                <w:sz w:val="18"/>
                <w:lang w:val="en-US"/>
              </w:rPr>
              <w:br/>
            </w:r>
            <w:r w:rsidRPr="0023533A">
              <w:rPr>
                <w:sz w:val="16"/>
                <w:lang w:val="en-US"/>
              </w:rPr>
              <w:t>(rostral area 7)</w:t>
            </w:r>
          </w:p>
        </w:tc>
        <w:tc>
          <w:tcPr>
            <w:tcW w:w="3240" w:type="dxa"/>
            <w:tcBorders>
              <w:top w:val="nil"/>
              <w:bottom w:val="nil"/>
            </w:tcBorders>
            <w:shd w:val="clear" w:color="auto" w:fill="F2F2F2" w:themeFill="background1" w:themeFillShade="F2"/>
          </w:tcPr>
          <w:p w14:paraId="1109BED9" w14:textId="330B129D"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(caudal temporal thalamus)</w:t>
            </w:r>
          </w:p>
        </w:tc>
        <w:tc>
          <w:tcPr>
            <w:tcW w:w="1597" w:type="dxa"/>
            <w:tcBorders>
              <w:top w:val="nil"/>
              <w:bottom w:val="nil"/>
            </w:tcBorders>
            <w:shd w:val="clear" w:color="auto" w:fill="F2F2F2" w:themeFill="background1" w:themeFillShade="F2"/>
          </w:tcPr>
          <w:p w14:paraId="3DEB41D4" w14:textId="7ED53D23"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5.0445</w:t>
            </w:r>
          </w:p>
        </w:tc>
      </w:tr>
      <w:tr w:rsidR="0067037A" w14:paraId="4966B35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464C54F6"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79643E0D" w14:textId="671F8324"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IPL</w:t>
            </w:r>
            <w:r>
              <w:rPr>
                <w:sz w:val="18"/>
                <w:lang w:val="en-US"/>
              </w:rPr>
              <w:br/>
            </w:r>
            <w:r w:rsidRPr="0023533A">
              <w:rPr>
                <w:sz w:val="16"/>
                <w:lang w:val="en-US"/>
              </w:rPr>
              <w:t>(rostrodorsal area 39 / Hip3)</w:t>
            </w:r>
          </w:p>
        </w:tc>
        <w:tc>
          <w:tcPr>
            <w:tcW w:w="3240" w:type="dxa"/>
            <w:tcBorders>
              <w:top w:val="nil"/>
              <w:bottom w:val="nil"/>
            </w:tcBorders>
            <w:shd w:val="clear" w:color="auto" w:fill="F2F2F2" w:themeFill="background1" w:themeFillShade="F2"/>
          </w:tcPr>
          <w:p w14:paraId="15AD6D04" w14:textId="62F97640"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(caudal temporal thalamus)</w:t>
            </w:r>
          </w:p>
        </w:tc>
        <w:tc>
          <w:tcPr>
            <w:tcW w:w="1597" w:type="dxa"/>
            <w:tcBorders>
              <w:top w:val="nil"/>
              <w:bottom w:val="nil"/>
            </w:tcBorders>
            <w:shd w:val="clear" w:color="auto" w:fill="F2F2F2" w:themeFill="background1" w:themeFillShade="F2"/>
          </w:tcPr>
          <w:p w14:paraId="393BE255" w14:textId="55975110" w:rsidR="0067037A" w:rsidRPr="003955C1"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szCs w:val="18"/>
                <w:lang w:val="en-US"/>
              </w:rPr>
              <w:t>4.8381</w:t>
            </w:r>
          </w:p>
        </w:tc>
      </w:tr>
      <w:tr w:rsidR="0067037A" w14:paraId="70B78D40" w14:textId="77777777" w:rsidTr="008C03EA">
        <w:trPr>
          <w:trHeight w:val="318"/>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63FD512"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09DE0FB3" w14:textId="202896A5"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IPL</w:t>
            </w:r>
            <w:r>
              <w:rPr>
                <w:sz w:val="18"/>
                <w:lang w:val="en-US"/>
              </w:rPr>
              <w:br/>
            </w:r>
            <w:r w:rsidRPr="0023533A">
              <w:rPr>
                <w:sz w:val="16"/>
                <w:lang w:val="en-US"/>
              </w:rPr>
              <w:t>(rostrodorsal area 40 / PFt)</w:t>
            </w:r>
          </w:p>
        </w:tc>
        <w:tc>
          <w:tcPr>
            <w:tcW w:w="3240" w:type="dxa"/>
            <w:tcBorders>
              <w:top w:val="nil"/>
              <w:bottom w:val="nil"/>
            </w:tcBorders>
            <w:shd w:val="clear" w:color="auto" w:fill="F2F2F2" w:themeFill="background1" w:themeFillShade="F2"/>
          </w:tcPr>
          <w:p w14:paraId="270CF8C1" w14:textId="24198E08"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37AFDCD4" w14:textId="290DBBA4"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4.8380</w:t>
            </w:r>
          </w:p>
        </w:tc>
      </w:tr>
      <w:tr w:rsidR="0023533A" w14:paraId="3B1AB40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single" w:sz="12" w:space="0" w:color="auto"/>
            </w:tcBorders>
          </w:tcPr>
          <w:p w14:paraId="107B5EAB" w14:textId="714E5553" w:rsidR="0023533A" w:rsidRPr="003955C1" w:rsidRDefault="0023533A" w:rsidP="0023533A">
            <w:pPr>
              <w:jc w:val="center"/>
              <w:rPr>
                <w:sz w:val="18"/>
                <w:lang w:val="en-US"/>
              </w:rPr>
            </w:pPr>
            <w:r>
              <w:rPr>
                <w:sz w:val="18"/>
                <w:lang w:val="en-US"/>
              </w:rPr>
              <w:br/>
            </w:r>
            <w:r>
              <w:rPr>
                <w:sz w:val="18"/>
                <w:lang w:val="en-US"/>
              </w:rPr>
              <w:br/>
            </w:r>
            <w:r w:rsidRPr="0067037A">
              <w:rPr>
                <w:sz w:val="18"/>
                <w:lang w:val="en-US"/>
              </w:rPr>
              <w:br/>
              <w:t>M</w:t>
            </w:r>
            <w:r w:rsidRPr="0067037A">
              <w:rPr>
                <w:sz w:val="18"/>
                <w:lang w:val="en-US"/>
              </w:rPr>
              <w:br/>
              <w:t>A</w:t>
            </w:r>
            <w:r w:rsidRPr="0067037A">
              <w:rPr>
                <w:sz w:val="18"/>
                <w:lang w:val="en-US"/>
              </w:rPr>
              <w:br/>
              <w:t>L</w:t>
            </w:r>
            <w:r w:rsidRPr="0067037A">
              <w:rPr>
                <w:sz w:val="18"/>
                <w:lang w:val="en-US"/>
              </w:rPr>
              <w:br/>
              <w:t>E</w:t>
            </w:r>
          </w:p>
        </w:tc>
        <w:tc>
          <w:tcPr>
            <w:tcW w:w="3240" w:type="dxa"/>
            <w:tcBorders>
              <w:top w:val="nil"/>
              <w:bottom w:val="nil"/>
            </w:tcBorders>
          </w:tcPr>
          <w:p w14:paraId="67EB7776" w14:textId="50286F43"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ITG</w:t>
            </w:r>
            <w:r>
              <w:rPr>
                <w:sz w:val="18"/>
                <w:lang w:val="en-US"/>
              </w:rPr>
              <w:br/>
            </w:r>
            <w:r w:rsidRPr="0023533A">
              <w:rPr>
                <w:sz w:val="16"/>
                <w:lang w:val="en-US"/>
              </w:rPr>
              <w:t>(extreme lateroventral area 37)</w:t>
            </w:r>
          </w:p>
        </w:tc>
        <w:tc>
          <w:tcPr>
            <w:tcW w:w="3240" w:type="dxa"/>
            <w:tcBorders>
              <w:top w:val="nil"/>
              <w:bottom w:val="nil"/>
            </w:tcBorders>
          </w:tcPr>
          <w:p w14:paraId="4F52D371" w14:textId="51210F5C"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23533A">
              <w:rPr>
                <w:sz w:val="16"/>
                <w:lang w:val="en-US"/>
              </w:rPr>
              <w:t>(caudoventral area 20)</w:t>
            </w:r>
          </w:p>
        </w:tc>
        <w:tc>
          <w:tcPr>
            <w:tcW w:w="1597" w:type="dxa"/>
            <w:tcBorders>
              <w:top w:val="nil"/>
              <w:bottom w:val="nil"/>
            </w:tcBorders>
          </w:tcPr>
          <w:p w14:paraId="37866D45" w14:textId="1347355B"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DB747F">
              <w:rPr>
                <w:sz w:val="18"/>
                <w:lang w:val="en-US"/>
              </w:rPr>
              <w:t>6.6931</w:t>
            </w:r>
          </w:p>
        </w:tc>
      </w:tr>
      <w:tr w:rsidR="0023533A" w14:paraId="364D3B96"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69FF7322" w14:textId="77777777" w:rsidR="0023533A" w:rsidRPr="003955C1" w:rsidRDefault="0023533A" w:rsidP="0023533A">
            <w:pPr>
              <w:rPr>
                <w:sz w:val="18"/>
                <w:lang w:val="en-US"/>
              </w:rPr>
            </w:pPr>
          </w:p>
        </w:tc>
        <w:tc>
          <w:tcPr>
            <w:tcW w:w="3240" w:type="dxa"/>
            <w:tcBorders>
              <w:top w:val="nil"/>
              <w:bottom w:val="nil"/>
            </w:tcBorders>
          </w:tcPr>
          <w:p w14:paraId="07F0DA76" w14:textId="64A49834"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 xml:space="preserve">left MTG </w:t>
            </w:r>
            <w:r>
              <w:rPr>
                <w:sz w:val="18"/>
                <w:lang w:val="en-US"/>
              </w:rPr>
              <w:br/>
            </w:r>
            <w:r w:rsidRPr="0023533A">
              <w:rPr>
                <w:sz w:val="16"/>
                <w:lang w:val="en-US"/>
              </w:rPr>
              <w:t>(rostral area 21)</w:t>
            </w:r>
          </w:p>
        </w:tc>
        <w:tc>
          <w:tcPr>
            <w:tcW w:w="3240" w:type="dxa"/>
            <w:tcBorders>
              <w:top w:val="nil"/>
              <w:bottom w:val="nil"/>
            </w:tcBorders>
          </w:tcPr>
          <w:p w14:paraId="3DF9A50D" w14:textId="4819118B"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2D3DC8CD" w14:textId="2DD6AE77" w:rsidR="0023533A" w:rsidRPr="003955C1"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6.6168</w:t>
            </w:r>
          </w:p>
        </w:tc>
      </w:tr>
      <w:tr w:rsidR="0023533A" w14:paraId="7B7EC1B0"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1AD8227B" w14:textId="77777777" w:rsidR="0023533A" w:rsidRPr="003955C1" w:rsidRDefault="0023533A" w:rsidP="0023533A">
            <w:pPr>
              <w:rPr>
                <w:sz w:val="18"/>
                <w:lang w:val="en-US"/>
              </w:rPr>
            </w:pPr>
          </w:p>
        </w:tc>
        <w:tc>
          <w:tcPr>
            <w:tcW w:w="3240" w:type="dxa"/>
            <w:tcBorders>
              <w:top w:val="nil"/>
              <w:bottom w:val="nil"/>
            </w:tcBorders>
          </w:tcPr>
          <w:p w14:paraId="70AF7CAE" w14:textId="04B69D97"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IPL</w:t>
            </w:r>
            <w:r>
              <w:rPr>
                <w:sz w:val="18"/>
                <w:lang w:val="en-US"/>
              </w:rPr>
              <w:br/>
            </w:r>
            <w:r w:rsidRPr="0023533A">
              <w:rPr>
                <w:sz w:val="16"/>
                <w:lang w:val="en-US"/>
              </w:rPr>
              <w:t>(rostroventral area 39 / PGa)</w:t>
            </w:r>
          </w:p>
        </w:tc>
        <w:tc>
          <w:tcPr>
            <w:tcW w:w="3240" w:type="dxa"/>
            <w:tcBorders>
              <w:top w:val="nil"/>
              <w:bottom w:val="nil"/>
            </w:tcBorders>
          </w:tcPr>
          <w:p w14:paraId="174F21AA" w14:textId="04C2DDF6"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51CB3360" w14:textId="1FEFCCDF"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6.3379</w:t>
            </w:r>
          </w:p>
        </w:tc>
      </w:tr>
      <w:tr w:rsidR="0023533A" w14:paraId="3336A91F"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2756CB27" w14:textId="77777777" w:rsidR="0023533A" w:rsidRPr="003955C1" w:rsidRDefault="0023533A" w:rsidP="0023533A">
            <w:pPr>
              <w:rPr>
                <w:sz w:val="18"/>
                <w:lang w:val="en-US"/>
              </w:rPr>
            </w:pPr>
          </w:p>
        </w:tc>
        <w:tc>
          <w:tcPr>
            <w:tcW w:w="3240" w:type="dxa"/>
            <w:tcBorders>
              <w:top w:val="nil"/>
              <w:bottom w:val="nil"/>
            </w:tcBorders>
          </w:tcPr>
          <w:p w14:paraId="47BC6851" w14:textId="2F189400"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IPL</w:t>
            </w:r>
            <w:r>
              <w:rPr>
                <w:sz w:val="18"/>
                <w:lang w:val="en-US"/>
              </w:rPr>
              <w:br/>
            </w:r>
            <w:r w:rsidRPr="0023533A">
              <w:rPr>
                <w:sz w:val="16"/>
                <w:lang w:val="en-US"/>
              </w:rPr>
              <w:t>(caudal area 40 / PFm)</w:t>
            </w:r>
          </w:p>
        </w:tc>
        <w:tc>
          <w:tcPr>
            <w:tcW w:w="3240" w:type="dxa"/>
            <w:tcBorders>
              <w:top w:val="nil"/>
              <w:bottom w:val="nil"/>
            </w:tcBorders>
          </w:tcPr>
          <w:p w14:paraId="21FABA67" w14:textId="42C9DF63"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2ACDC621" w14:textId="4D933EFC" w:rsidR="0023533A" w:rsidRPr="003955C1"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6.3214</w:t>
            </w:r>
          </w:p>
        </w:tc>
      </w:tr>
      <w:tr w:rsidR="0023533A" w14:paraId="00D1D32E" w14:textId="77777777" w:rsidTr="008C03E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08816623" w14:textId="77777777" w:rsidR="0023533A" w:rsidRPr="003955C1" w:rsidRDefault="0023533A" w:rsidP="0023533A">
            <w:pPr>
              <w:rPr>
                <w:sz w:val="18"/>
                <w:lang w:val="en-US"/>
              </w:rPr>
            </w:pPr>
          </w:p>
        </w:tc>
        <w:tc>
          <w:tcPr>
            <w:tcW w:w="3240" w:type="dxa"/>
            <w:tcBorders>
              <w:top w:val="nil"/>
              <w:bottom w:val="single" w:sz="12" w:space="0" w:color="auto"/>
            </w:tcBorders>
          </w:tcPr>
          <w:p w14:paraId="67380B81" w14:textId="60869C18"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pSTS</w:t>
            </w:r>
            <w:r>
              <w:rPr>
                <w:sz w:val="18"/>
                <w:lang w:val="en-US"/>
              </w:rPr>
              <w:br/>
            </w:r>
            <w:r w:rsidRPr="0023533A">
              <w:rPr>
                <w:sz w:val="16"/>
                <w:lang w:val="en-US"/>
              </w:rPr>
              <w:t>(caudoposterior STS)</w:t>
            </w:r>
          </w:p>
        </w:tc>
        <w:tc>
          <w:tcPr>
            <w:tcW w:w="3240" w:type="dxa"/>
            <w:tcBorders>
              <w:top w:val="nil"/>
              <w:bottom w:val="single" w:sz="12" w:space="0" w:color="auto"/>
            </w:tcBorders>
          </w:tcPr>
          <w:p w14:paraId="6C1E35F1" w14:textId="558BBB92"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single" w:sz="12" w:space="0" w:color="auto"/>
            </w:tcBorders>
          </w:tcPr>
          <w:p w14:paraId="5E0855D6" w14:textId="24E41753"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6.3154</w:t>
            </w:r>
          </w:p>
        </w:tc>
      </w:tr>
    </w:tbl>
    <w:p w14:paraId="37C266F7" w14:textId="57373F8B" w:rsidR="00676102" w:rsidRPr="00282BD5" w:rsidRDefault="00282BD5" w:rsidP="00676102">
      <w:pPr>
        <w:rPr>
          <w:sz w:val="18"/>
          <w:szCs w:val="18"/>
          <w:lang w:val="en-US"/>
        </w:rPr>
      </w:pPr>
      <w:r>
        <w:rPr>
          <w:sz w:val="18"/>
          <w:szCs w:val="18"/>
        </w:rPr>
        <w:tab/>
      </w:r>
      <w:r>
        <w:rPr>
          <w:sz w:val="18"/>
          <w:szCs w:val="18"/>
          <w:lang w:val="en-US"/>
        </w:rPr>
        <w:br/>
      </w:r>
      <w:r w:rsidR="00676102">
        <w:rPr>
          <w:sz w:val="18"/>
          <w:szCs w:val="18"/>
        </w:rPr>
        <w:t>Parcel-wise disconnections with the highest T-values following the region-to-region analysis for the patient (sub-)</w:t>
      </w:r>
      <w:r w:rsidR="00C4473A">
        <w:rPr>
          <w:sz w:val="18"/>
          <w:szCs w:val="18"/>
        </w:rPr>
        <w:t xml:space="preserve"> </w:t>
      </w:r>
      <w:r w:rsidR="00676102">
        <w:rPr>
          <w:sz w:val="18"/>
          <w:szCs w:val="18"/>
        </w:rPr>
        <w:t>samples. Anatomical labels are based on the BN-246 atlas (</w:t>
      </w:r>
      <w:r w:rsidR="00676102" w:rsidRPr="00427A3C">
        <w:rPr>
          <w:color w:val="7F7F7F" w:themeColor="text1" w:themeTint="80"/>
          <w:sz w:val="18"/>
          <w:szCs w:val="18"/>
        </w:rPr>
        <w:t>Fan et al., 2016</w:t>
      </w:r>
      <w:r w:rsidR="00676102">
        <w:rPr>
          <w:sz w:val="18"/>
          <w:szCs w:val="18"/>
        </w:rPr>
        <w:t xml:space="preserve">). </w:t>
      </w:r>
      <w:r w:rsidR="002E5E96">
        <w:rPr>
          <w:sz w:val="18"/>
          <w:szCs w:val="18"/>
        </w:rPr>
        <w:t xml:space="preserve">Abbreviations can be found in </w:t>
      </w:r>
      <w:r w:rsidR="00D91FE5" w:rsidRPr="00747EBA">
        <w:rPr>
          <w:sz w:val="18"/>
          <w:szCs w:val="18"/>
        </w:rPr>
        <w:t>Appendix</w:t>
      </w:r>
      <w:r w:rsidR="002E5E96" w:rsidRPr="00747EBA">
        <w:rPr>
          <w:sz w:val="18"/>
          <w:szCs w:val="18"/>
        </w:rPr>
        <w:t xml:space="preserve"> A</w:t>
      </w:r>
      <w:r w:rsidR="002E5E96">
        <w:rPr>
          <w:sz w:val="18"/>
          <w:szCs w:val="18"/>
        </w:rPr>
        <w:t xml:space="preserve">. </w:t>
      </w:r>
      <w:r w:rsidR="00676102">
        <w:rPr>
          <w:sz w:val="18"/>
          <w:szCs w:val="18"/>
        </w:rPr>
        <w:t>Intrahemispheric disconnections are highlighted in light grey. T-values were obtained from the GLM analysis, employing maximum statistic permutation at 50,000 permutations</w:t>
      </w:r>
      <w:r w:rsidR="002E5E96">
        <w:rPr>
          <w:sz w:val="18"/>
          <w:szCs w:val="18"/>
        </w:rPr>
        <w:t>.</w:t>
      </w:r>
    </w:p>
    <w:bookmarkEnd w:id="39"/>
    <w:p w14:paraId="65004188" w14:textId="53E27E82" w:rsidR="00A27977" w:rsidRPr="00A27977" w:rsidRDefault="00A27977" w:rsidP="007B2C63">
      <w:pPr>
        <w:rPr>
          <w:bCs/>
          <w:sz w:val="18"/>
        </w:rPr>
      </w:pPr>
    </w:p>
    <w:p w14:paraId="1B20DEAE" w14:textId="2A6C083A" w:rsidR="00131067" w:rsidRPr="00FC497E" w:rsidRDefault="00700ECE" w:rsidP="00131067">
      <w:pPr>
        <w:pStyle w:val="berschrift3"/>
        <w:numPr>
          <w:ilvl w:val="1"/>
          <w:numId w:val="3"/>
        </w:numPr>
        <w:rPr>
          <w:sz w:val="28"/>
          <w:szCs w:val="28"/>
          <w:lang w:val="en-US"/>
        </w:rPr>
      </w:pPr>
      <w:bookmarkStart w:id="40" w:name="_Toc116064616"/>
      <w:r>
        <w:rPr>
          <w:lang w:val="en-US"/>
        </w:rPr>
        <w:t>Prediction of Patient Status</w:t>
      </w:r>
      <w:bookmarkEnd w:id="40"/>
    </w:p>
    <w:p w14:paraId="61682A29" w14:textId="4798BAEF" w:rsidR="003D7287" w:rsidRDefault="006140BA" w:rsidP="00131067">
      <w:pPr>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77777777" w:rsidR="00447FE5" w:rsidRDefault="00447FE5">
      <w:pPr>
        <w:rPr>
          <w:b/>
          <w:lang w:val="en-US"/>
        </w:rPr>
      </w:pPr>
      <w:r>
        <w:rPr>
          <w:b/>
          <w:lang w:val="en-US"/>
        </w:rPr>
        <w:br w:type="page"/>
      </w:r>
    </w:p>
    <w:p w14:paraId="708F5617" w14:textId="37030765" w:rsidR="00B83D20" w:rsidRPr="00090387" w:rsidRDefault="00D91FE5" w:rsidP="00131067">
      <w:pPr>
        <w:rPr>
          <w:rFonts w:eastAsiaTheme="majorEastAsia"/>
          <w:sz w:val="28"/>
          <w:szCs w:val="28"/>
          <w:lang w:val="en-US"/>
        </w:rPr>
      </w:pPr>
      <w:bookmarkStart w:id="41" w:name="table04predictionacc"/>
      <w:r>
        <w:rPr>
          <w:b/>
          <w:lang w:val="en-US"/>
        </w:rPr>
        <w:lastRenderedPageBreak/>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131067">
      <w:pPr>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41"/>
      <w:r w:rsidR="00A40F89" w:rsidRPr="00B83D20">
        <w:rPr>
          <w:lang w:val="en-US"/>
        </w:rPr>
        <w:br w:type="page"/>
      </w:r>
    </w:p>
    <w:p w14:paraId="1E1928E2" w14:textId="243719B2" w:rsidR="00F431E1" w:rsidRDefault="000E5F13" w:rsidP="00F431E1">
      <w:pPr>
        <w:pStyle w:val="berschrift2"/>
        <w:numPr>
          <w:ilvl w:val="0"/>
          <w:numId w:val="3"/>
        </w:numPr>
        <w:rPr>
          <w:b w:val="0"/>
          <w:bCs w:val="0"/>
        </w:rPr>
      </w:pPr>
      <w:bookmarkStart w:id="42" w:name="_Toc116064617"/>
      <w:r w:rsidRPr="00EA784A">
        <w:rPr>
          <w:b w:val="0"/>
          <w:bCs w:val="0"/>
        </w:rPr>
        <w:lastRenderedPageBreak/>
        <w:t>Discussion</w:t>
      </w:r>
      <w:bookmarkEnd w:id="42"/>
    </w:p>
    <w:p w14:paraId="70E1865F" w14:textId="16ECDA02" w:rsidR="00EE5298" w:rsidRDefault="00EE5298" w:rsidP="00EE5298"/>
    <w:p w14:paraId="17743CFF" w14:textId="0FC4BD7A" w:rsidR="00EE5298" w:rsidRDefault="00EE5298" w:rsidP="00EE5298">
      <w:pPr>
        <w:pStyle w:val="Listenabsatz"/>
        <w:numPr>
          <w:ilvl w:val="0"/>
          <w:numId w:val="14"/>
        </w:numPr>
      </w:pPr>
      <w:r>
        <w:t xml:space="preserve">No statistical difference in voxel-wise lesion &amp; (whole-brain) disconnection localisation with NiiStat </w:t>
      </w:r>
      <w:r>
        <w:sym w:font="Wingdings" w:char="F0E0"/>
      </w:r>
      <w:r>
        <w:t xml:space="preserve"> can infer that effects might be neglect specific</w:t>
      </w:r>
    </w:p>
    <w:p w14:paraId="09A598BC" w14:textId="25DC2697" w:rsidR="00EE5298" w:rsidRDefault="00EE5298" w:rsidP="00EE5298">
      <w:pPr>
        <w:pStyle w:val="Listenabsatz"/>
        <w:numPr>
          <w:ilvl w:val="0"/>
          <w:numId w:val="14"/>
        </w:numPr>
      </w:pPr>
      <w:r>
        <w:t>Subtraction only descriptive</w:t>
      </w:r>
    </w:p>
    <w:p w14:paraId="500B6506" w14:textId="665CC37F" w:rsidR="00EE5298" w:rsidRPr="00EE5298" w:rsidRDefault="00EE5298" w:rsidP="00EE5298">
      <w:pPr>
        <w:pStyle w:val="Listenabsatz"/>
        <w:numPr>
          <w:ilvl w:val="0"/>
          <w:numId w:val="14"/>
        </w:numPr>
      </w:pPr>
      <w:r>
        <w:t xml:space="preserve">Bonkhoff &amp; Wu: difference primarily occur in LH; either no effect in RH or may only arise in very large samplesizes </w:t>
      </w:r>
      <w:r>
        <w:sym w:font="Wingdings" w:char="F0E0"/>
      </w:r>
      <w:r>
        <w:t xml:space="preserve"> either way very small, no effect of interest; sample size of 100 people per group should be sufficient</w:t>
      </w:r>
    </w:p>
    <w:p w14:paraId="09E0466E" w14:textId="5FBA1BCD" w:rsidR="00F431E1" w:rsidRPr="00F431E1" w:rsidRDefault="00F431E1" w:rsidP="00F431E1">
      <w:r>
        <w:br/>
        <w:t xml:space="preserve">The present study investigated sex differences in </w:t>
      </w:r>
      <w:r w:rsidR="00B97E24">
        <w:t xml:space="preserve">the neurological underpinnings of </w:t>
      </w:r>
      <w:r>
        <w:t>acute visuospatial neglect</w:t>
      </w:r>
      <w:r w:rsidR="00B97E24">
        <w:t xml:space="preserve">, specifically </w:t>
      </w:r>
      <w:r w:rsidR="00C84178">
        <w:t>how</w:t>
      </w:r>
      <w:r w:rsidR="00B97E24">
        <w:t xml:space="preserve"> (sub-)cortical lesion</w:t>
      </w:r>
      <w:r w:rsidR="00C84178">
        <w:t>s</w:t>
      </w:r>
      <w:r w:rsidR="00B97E24">
        <w:t xml:space="preserve"> and </w:t>
      </w:r>
      <w:r w:rsidR="006229B2">
        <w:t xml:space="preserve">the </w:t>
      </w:r>
      <w:r w:rsidR="00B97E24">
        <w:t>resulting white matter disconnections</w:t>
      </w:r>
      <w:r w:rsidR="00C84178">
        <w:t xml:space="preserve"> affected neglect severity in the </w:t>
      </w:r>
      <w:r w:rsidR="006229B2">
        <w:t>men and women</w:t>
      </w:r>
      <w:r w:rsidR="00B97E24">
        <w:t xml:space="preserve">. </w:t>
      </w:r>
      <w:r w:rsidR="00905E81">
        <w:t>To this end, we employed a classical voxel-based lesion-behaviour mapping approach, in addition to different indirect measures of whole-brain and region-to-region disconnectivity.</w:t>
      </w:r>
      <w:r w:rsidR="00A96C91">
        <w:t xml:space="preserve"> Finally, we</w:t>
      </w:r>
      <w:r w:rsidR="00C84178">
        <w:t xml:space="preserve"> used the binary lesion maps, as well as disconnectivity maps to predict patient status. We ran all of our analyses thrice – once for the whole patient sample, then again separately for the female and male subsamples, respectively,</w:t>
      </w:r>
    </w:p>
    <w:p w14:paraId="3775ACA5" w14:textId="2A672C99" w:rsidR="008518B9" w:rsidRDefault="00AA6C6E" w:rsidP="008518B9">
      <w:bookmarkStart w:id="43" w:name="_Toc116064618"/>
      <w:r w:rsidRPr="006140BA">
        <w:rPr>
          <w:b/>
        </w:rPr>
        <w:t>Clinical and Demographic Data</w:t>
      </w:r>
      <w:bookmarkEnd w:id="43"/>
      <w:r w:rsidR="006140BA">
        <w:tab/>
      </w:r>
      <w:r w:rsidR="00CC4871">
        <w:br/>
      </w:r>
      <w:r w:rsidR="008518B9">
        <w:t>The clinical and demographic data of our patient sample</w:t>
      </w:r>
      <w:r w:rsidR="00CC4871">
        <w:t xml:space="preserve"> are</w:t>
      </w:r>
      <w:r w:rsidR="008518B9">
        <w:t xml:space="preserve"> in line with findings from the literature. On average, women are older at stroke onset and develop neglect more often than men do</w:t>
      </w:r>
      <w:r w:rsidR="00187F6C">
        <w:t xml:space="preserve"> (c</w:t>
      </w:r>
      <w:r w:rsidR="008518B9">
        <w:t xml:space="preserve">f., </w:t>
      </w:r>
      <w:r w:rsidR="008518B9" w:rsidRPr="00E13A04">
        <w:rPr>
          <w:color w:val="7F7F7F" w:themeColor="text1" w:themeTint="80"/>
        </w:rPr>
        <w:t>Gargano et al., 2009</w:t>
      </w:r>
      <w:r w:rsidR="008518B9">
        <w:t xml:space="preserve">; </w:t>
      </w:r>
      <w:r w:rsidR="008518B9" w:rsidRPr="00E13A04">
        <w:rPr>
          <w:color w:val="7F7F7F" w:themeColor="text1" w:themeTint="80"/>
        </w:rPr>
        <w:t>Hammerbeck et al., 2019</w:t>
      </w:r>
      <w:r w:rsidR="008518B9">
        <w:t xml:space="preserve">). </w:t>
      </w:r>
      <w:r w:rsidR="00E13A04">
        <w:t>There was no significant difference in lesion volume between the sexes (c.f.</w:t>
      </w:r>
      <w:r w:rsidR="00187F6C">
        <w:t>,</w:t>
      </w:r>
      <w:r w:rsidR="00E13A04">
        <w:t xml:space="preserve"> </w:t>
      </w:r>
      <w:r w:rsidR="00E13A04" w:rsidRPr="00E13A04">
        <w:rPr>
          <w:color w:val="7F7F7F" w:themeColor="text1" w:themeTint="80"/>
        </w:rPr>
        <w:t>Bonkhoff et al., 2021</w:t>
      </w:r>
      <w:r w:rsidR="00E13A04">
        <w:t>)</w:t>
      </w:r>
      <w:r w:rsidR="00187F6C">
        <w:t xml:space="preserve">, and a slight trend of men suffering from more infarcts and women from more haemorrhages (cf. </w:t>
      </w:r>
      <w:r w:rsidR="00187F6C" w:rsidRPr="00187F6C">
        <w:rPr>
          <w:color w:val="7F7F7F" w:themeColor="text1" w:themeTint="80"/>
        </w:rPr>
        <w:t>Appelros et al., 2009</w:t>
      </w:r>
      <w:r w:rsidR="00187F6C">
        <w:t xml:space="preserve">). </w:t>
      </w:r>
      <w:r w:rsidR="00900EAF">
        <w:t xml:space="preserve">The vast majority of infarcts was localised in regions supplied by the MCA (cf. </w:t>
      </w:r>
      <w:r w:rsidR="00900EAF" w:rsidRPr="00900EAF">
        <w:rPr>
          <w:color w:val="7F7F7F" w:themeColor="text1" w:themeTint="80"/>
        </w:rPr>
        <w:t>Bonkhoff et al., 2021; Li &amp; Malhotra, 2015</w:t>
      </w:r>
      <w:r w:rsidR="00900EAF">
        <w:t xml:space="preserve">). </w:t>
      </w:r>
      <w:r w:rsidR="00187F6C">
        <w:t xml:space="preserve">We detected a significant difference in the arterial territories affected by ischaemic stroke – however, we found different patterns than the ones described by </w:t>
      </w:r>
      <w:r w:rsidR="00187F6C" w:rsidRPr="00CC4871">
        <w:rPr>
          <w:color w:val="7F7F7F" w:themeColor="text1" w:themeTint="80"/>
        </w:rPr>
        <w:t>Bonkhoff et al. (2021)</w:t>
      </w:r>
      <w:r w:rsidR="00187F6C">
        <w:t xml:space="preserve">: While they detected significant </w:t>
      </w:r>
      <w:r w:rsidR="00187F6C" w:rsidRPr="00CC4871">
        <w:rPr>
          <w:highlight w:val="yellow"/>
        </w:rPr>
        <w:t>sex difference</w:t>
      </w:r>
      <w:r w:rsidR="00CC4871" w:rsidRPr="00CC4871">
        <w:rPr>
          <w:highlight w:val="yellow"/>
        </w:rPr>
        <w:t>s</w:t>
      </w:r>
      <w:r w:rsidR="00187F6C" w:rsidRPr="00CC4871">
        <w:rPr>
          <w:highlight w:val="yellow"/>
        </w:rPr>
        <w:t xml:space="preserve"> in PCA-supplied </w:t>
      </w:r>
      <w:r w:rsidR="00CC4871" w:rsidRPr="00CC4871">
        <w:rPr>
          <w:highlight w:val="yellow"/>
        </w:rPr>
        <w:t>regions, we only found a non-significant trend for those regions. However, we found a highly significant sex difference in regions supplied by the ACA, which has not been reported thus far.</w:t>
      </w:r>
      <w:r w:rsidR="00CC4871">
        <w:t xml:space="preserve"> </w:t>
      </w:r>
    </w:p>
    <w:p w14:paraId="212494AA" w14:textId="12CBCB33" w:rsidR="00CC4871" w:rsidRPr="008518B9" w:rsidRDefault="00CC4871" w:rsidP="008518B9">
      <w:r w:rsidRPr="00CC4871">
        <w:rPr>
          <w:highlight w:val="yellow"/>
        </w:rPr>
        <w:t>[more</w:t>
      </w:r>
      <w:r w:rsidR="000C25DA">
        <w:rPr>
          <w:highlight w:val="yellow"/>
        </w:rPr>
        <w:t xml:space="preserve"> </w:t>
      </w:r>
      <w:r w:rsidR="000C25DA" w:rsidRPr="000C25DA">
        <w:rPr>
          <w:highlight w:val="yellow"/>
        </w:rPr>
        <w:sym w:font="Wingdings" w:char="F0E0"/>
      </w:r>
      <w:r w:rsidR="000C25DA">
        <w:rPr>
          <w:highlight w:val="yellow"/>
        </w:rPr>
        <w:t xml:space="preserve"> interpretation</w:t>
      </w:r>
      <w:r w:rsidRPr="00CC4871">
        <w:rPr>
          <w:highlight w:val="yellow"/>
        </w:rPr>
        <w:t>]</w:t>
      </w:r>
    </w:p>
    <w:p w14:paraId="7CBD088F" w14:textId="512B4EA2" w:rsidR="00993EE9" w:rsidRDefault="008662A1" w:rsidP="008662A1">
      <w:bookmarkStart w:id="44" w:name="_Toc116064619"/>
      <w:r w:rsidRPr="006140BA">
        <w:rPr>
          <w:b/>
        </w:rPr>
        <w:t>Voxel-based Lesion-Behaviour Mapping</w:t>
      </w:r>
      <w:bookmarkEnd w:id="44"/>
      <w:r w:rsidR="006140BA">
        <w:tab/>
      </w:r>
      <w:r w:rsidR="006140BA">
        <w:br/>
      </w:r>
      <w:r>
        <w:t>The regions identified by the</w:t>
      </w:r>
      <w:r w:rsidR="000C25DA">
        <w:t xml:space="preserve"> lesion overlay</w:t>
      </w:r>
      <w:r w:rsidR="00900EAF">
        <w:t>s</w:t>
      </w:r>
      <w:r w:rsidR="000C25DA">
        <w:t>, as well as our VLBM analysis, for</w:t>
      </w:r>
      <w:r>
        <w:t xml:space="preserve"> our whole patient sample are very similar to the ones identified by the predominant literature </w:t>
      </w:r>
      <w:r w:rsidRPr="008662A1">
        <w:rPr>
          <w:highlight w:val="yellow"/>
        </w:rPr>
        <w:t>(</w:t>
      </w:r>
      <w:r>
        <w:rPr>
          <w:highlight w:val="yellow"/>
        </w:rPr>
        <w:t xml:space="preserve">e.g., </w:t>
      </w:r>
      <w:r w:rsidRPr="008662A1">
        <w:rPr>
          <w:highlight w:val="yellow"/>
        </w:rPr>
        <w:t>Karnath et al., 2001</w:t>
      </w:r>
      <w:r>
        <w:rPr>
          <w:highlight w:val="yellow"/>
        </w:rPr>
        <w:t xml:space="preserve"> &amp; </w:t>
      </w:r>
      <w:r w:rsidRPr="008662A1">
        <w:rPr>
          <w:highlight w:val="yellow"/>
        </w:rPr>
        <w:t>2009</w:t>
      </w:r>
      <w:r>
        <w:rPr>
          <w:highlight w:val="yellow"/>
        </w:rPr>
        <w:t xml:space="preserve">; Karnath &amp; Rorden, </w:t>
      </w:r>
      <w:r w:rsidRPr="008662A1">
        <w:rPr>
          <w:highlight w:val="yellow"/>
        </w:rPr>
        <w:t>2012).</w:t>
      </w:r>
      <w:r w:rsidR="00900EAF">
        <w:t xml:space="preserve"> </w:t>
      </w:r>
      <w:r>
        <w:t>Even though there was no significant difference in normalised lesion volumes between men and women, visual inspection of the overlay plot revealed that</w:t>
      </w:r>
      <w:r w:rsidR="000C25DA">
        <w:t xml:space="preserve"> the lesions of the male subsample were spread out throughout the BG and the insula, whereas the lesions of the female subsample were a bit more compact and focussed on the BG. </w:t>
      </w:r>
    </w:p>
    <w:p w14:paraId="098F6FAE" w14:textId="77777777" w:rsidR="00993EE9" w:rsidRDefault="000C25DA" w:rsidP="008662A1">
      <w:r w:rsidRPr="000C25DA">
        <w:rPr>
          <w:highlight w:val="yellow"/>
        </w:rPr>
        <w:t>[something something Bonkhoff]</w:t>
      </w:r>
      <w:r>
        <w:t xml:space="preserve"> </w:t>
      </w:r>
    </w:p>
    <w:p w14:paraId="4255777A" w14:textId="03CD94D0" w:rsidR="008662A1" w:rsidRDefault="000C25DA" w:rsidP="008662A1">
      <w:r>
        <w:t xml:space="preserve">The subtraction analysis revealed </w:t>
      </w:r>
      <w:r w:rsidR="00993EE9">
        <w:t xml:space="preserve">that the thalamus and BG were damaged more often in women, whereas the IFG, STG, OrG and MVOcC were lesioned more commonly in men. </w:t>
      </w:r>
      <w:r w:rsidR="00900EAF">
        <w:t xml:space="preserve">This </w:t>
      </w:r>
      <w:r w:rsidR="00900EAF">
        <w:lastRenderedPageBreak/>
        <w:t>means that those regions hold higher statistical power for the subsequent analyses, in the respective patient subsample.</w:t>
      </w:r>
      <w:r w:rsidR="00993EE9">
        <w:t xml:space="preserve"> </w:t>
      </w:r>
    </w:p>
    <w:p w14:paraId="6F7EA515" w14:textId="22BA3511" w:rsidR="00993EE9" w:rsidRPr="008662A1" w:rsidRDefault="00993EE9" w:rsidP="008662A1">
      <w:r w:rsidRPr="00993EE9">
        <w:rPr>
          <w:highlight w:val="yellow"/>
        </w:rPr>
        <w:t>[interpretation]</w:t>
      </w:r>
    </w:p>
    <w:p w14:paraId="03B77403" w14:textId="44300FF6" w:rsidR="00F72DAF" w:rsidRDefault="00F72DAF" w:rsidP="00F72DAF">
      <w:bookmarkStart w:id="45" w:name="_Toc116064620"/>
      <w:r w:rsidRPr="006140BA">
        <w:rPr>
          <w:b/>
        </w:rPr>
        <w:t>Whole-brain D</w:t>
      </w:r>
      <w:r w:rsidR="005B7F30" w:rsidRPr="006140BA">
        <w:rPr>
          <w:b/>
        </w:rPr>
        <w:t>isconnectivity</w:t>
      </w:r>
      <w:bookmarkEnd w:id="45"/>
      <w:r w:rsidR="006140BA">
        <w:tab/>
      </w:r>
      <w:r>
        <w:br/>
      </w:r>
      <w:r w:rsidR="006F6431">
        <w:t xml:space="preserve">Visual inspection of our </w:t>
      </w:r>
      <w:r>
        <w:t xml:space="preserve">whole-brain disconnectivity analysis revealed that in women the majority of disconnected (sub-)cortical voxels occurred in WM tracts: </w:t>
      </w:r>
      <w:r w:rsidR="006F6431">
        <w:t xml:space="preserve">the right intrahemispheric </w:t>
      </w:r>
      <w:r w:rsidR="006F6431" w:rsidRPr="008118FB">
        <w:rPr>
          <w:highlight w:val="yellow"/>
        </w:rPr>
        <w:t xml:space="preserve">IFOF, </w:t>
      </w:r>
      <w:r w:rsidR="00747EBA">
        <w:rPr>
          <w:highlight w:val="yellow"/>
        </w:rPr>
        <w:t>ILF</w:t>
      </w:r>
      <w:r w:rsidR="006F6431" w:rsidRPr="008118FB">
        <w:rPr>
          <w:highlight w:val="yellow"/>
        </w:rPr>
        <w:t xml:space="preserve"> and </w:t>
      </w:r>
      <w:r w:rsidR="00747EBA">
        <w:rPr>
          <w:highlight w:val="yellow"/>
        </w:rPr>
        <w:t>CST</w:t>
      </w:r>
      <w:r w:rsidR="006F6431" w:rsidRPr="008118FB">
        <w:rPr>
          <w:highlight w:val="yellow"/>
        </w:rPr>
        <w:t xml:space="preserve"> were disconnected more often than in</w:t>
      </w:r>
      <w:r w:rsidR="006F6431">
        <w:t xml:space="preserve"> men, in addition to interhemispheric disconnections in the splenium of the corpus callosum. </w:t>
      </w:r>
      <w:r w:rsidR="006F6431" w:rsidRPr="009270A8">
        <w:rPr>
          <w:strike/>
        </w:rPr>
        <w:t>Further, the thalamus and cingulum appeared to be disconnected more often than in the male subsample</w:t>
      </w:r>
      <w:r w:rsidR="006F6431" w:rsidRPr="006F6431">
        <w:rPr>
          <w:highlight w:val="yellow"/>
        </w:rPr>
        <w:t>. Men, however, had more interhemispheric disconnections in the genu and rostrum of the corpus callosum</w:t>
      </w:r>
      <w:r w:rsidR="006F6431" w:rsidRPr="009270A8">
        <w:rPr>
          <w:strike/>
          <w:highlight w:val="yellow"/>
        </w:rPr>
        <w:t>, as well as more disconnected cortical grey matter areas</w:t>
      </w:r>
      <w:r w:rsidR="006F6431" w:rsidRPr="006F6431">
        <w:rPr>
          <w:highlight w:val="yellow"/>
        </w:rPr>
        <w:t>.</w:t>
      </w:r>
      <w:r w:rsidR="006F6431">
        <w:t xml:space="preserve"> </w:t>
      </w:r>
    </w:p>
    <w:p w14:paraId="29C2FF75" w14:textId="5BD5E81F" w:rsidR="00900EAF" w:rsidRDefault="00900EAF" w:rsidP="00F72DAF">
      <w:r>
        <w:t>According to the predominant literature, men typically have a higher number of intrahemispheric WM connections, which in addition also exhibit a</w:t>
      </w:r>
      <w:r w:rsidR="00791BCC">
        <w:t xml:space="preserve"> higher axonal diameter</w:t>
      </w:r>
      <w:r>
        <w:t xml:space="preserve"> than the ones of women (cf. </w:t>
      </w:r>
      <w:r w:rsidR="00791BCC" w:rsidRPr="00791BCC">
        <w:rPr>
          <w:color w:val="7F7F7F" w:themeColor="text1" w:themeTint="80"/>
        </w:rPr>
        <w:t>Boespflug et al., 2011; Ingalhalikar et al., 2013; Kanaan et al., 2012</w:t>
      </w:r>
      <w:r w:rsidR="00791BCC">
        <w:t>). It seems likely that if women have fewer intrahemispheric connections and the WM tracts of those connections also are thinner in diameter, that those fibres might be more vulnerable to become (fully) disconnected after a focal stroke, compared to the equivalent tracts in men.</w:t>
      </w:r>
    </w:p>
    <w:p w14:paraId="6DE9BE97" w14:textId="77777777" w:rsidR="008118FB" w:rsidRDefault="0043713C" w:rsidP="00F72DAF">
      <w:r w:rsidRPr="0043713C">
        <w:rPr>
          <w:highlight w:val="yellow"/>
        </w:rPr>
        <w:t>Further,</w:t>
      </w:r>
      <w:r>
        <w:t xml:space="preserve"> we found men to exhibit more disconnections throughout the corpus callosum, which is in line with anatomical studies reporting that men have smaller corpora callosa in proportion to their WM, compared to women (cf. </w:t>
      </w:r>
      <w:r w:rsidRPr="0043713C">
        <w:rPr>
          <w:color w:val="7F7F7F" w:themeColor="text1" w:themeTint="80"/>
        </w:rPr>
        <w:t>Allen et al., 1991; Allen et al., 2003; Dubb et al., 2003</w:t>
      </w:r>
      <w:r>
        <w:t>). Interestingly though, we found that women exhibit more disconnections in the splenium of the corpus callosum than men. This finding was unexpected, as anatomical studies commonly report that splenia are shaped more bulbously in women and more tubular-like in men (</w:t>
      </w:r>
      <w:r w:rsidRPr="0043713C">
        <w:rPr>
          <w:color w:val="7F7F7F" w:themeColor="text1" w:themeTint="80"/>
        </w:rPr>
        <w:t>Allen et al., 1991; Dubb et al., 2003</w:t>
      </w:r>
      <w:r>
        <w:t>).</w:t>
      </w:r>
      <w:r w:rsidR="008118FB">
        <w:t xml:space="preserve"> </w:t>
      </w:r>
    </w:p>
    <w:p w14:paraId="76022576" w14:textId="03EC42C3" w:rsidR="008118FB" w:rsidRPr="00E64F32" w:rsidRDefault="008118FB" w:rsidP="00F72DAF">
      <w:pPr>
        <w:rPr>
          <w:color w:val="C00000"/>
          <w:lang w:val="de-DE"/>
        </w:rPr>
      </w:pPr>
      <w:r>
        <w:t xml:space="preserve">Moreover, women exhibited more disconnections in the thalamus. This is most likely due to the increased number of lesions centred on the thalamus in the female subsample that we detected through the lesion overlays. </w:t>
      </w:r>
      <w:r w:rsidR="00073A7D" w:rsidRPr="00F35718">
        <w:rPr>
          <w:color w:val="C00000"/>
        </w:rPr>
        <w:t>One</w:t>
      </w:r>
      <w:r w:rsidRPr="00F35718">
        <w:rPr>
          <w:color w:val="C00000"/>
        </w:rPr>
        <w:t xml:space="preserve"> could </w:t>
      </w:r>
      <w:r w:rsidR="00073A7D" w:rsidRPr="00F35718">
        <w:rPr>
          <w:color w:val="C00000"/>
        </w:rPr>
        <w:t xml:space="preserve">additionally </w:t>
      </w:r>
      <w:r w:rsidRPr="00F35718">
        <w:rPr>
          <w:color w:val="C00000"/>
        </w:rPr>
        <w:t xml:space="preserve">speculate that this may </w:t>
      </w:r>
      <w:r w:rsidR="00F35718" w:rsidRPr="00F35718">
        <w:rPr>
          <w:color w:val="C00000"/>
        </w:rPr>
        <w:t xml:space="preserve">further be affected by sex differences in the existence of the thalamic commissure, a small WM tract connecting the thalami of the two hemispheres, and how pronounced it is in those who possess it. </w:t>
      </w:r>
      <w:r w:rsidR="00F35718">
        <w:rPr>
          <w:color w:val="C00000"/>
        </w:rPr>
        <w:t>/ O</w:t>
      </w:r>
      <w:r w:rsidR="00F35718" w:rsidRPr="00F35718">
        <w:rPr>
          <w:color w:val="C00000"/>
        </w:rPr>
        <w:t>ne could further speculate that the nature of a more pronounced thalamic</w:t>
      </w:r>
      <w:r w:rsidR="00F35718">
        <w:rPr>
          <w:color w:val="C00000"/>
        </w:rPr>
        <w:t xml:space="preserve"> commissure,</w:t>
      </w:r>
      <w:r w:rsidR="00F35718" w:rsidRPr="00F35718">
        <w:rPr>
          <w:color w:val="C00000"/>
        </w:rPr>
        <w:t xml:space="preserve"> a small WM tract connecting the thalami of the two hemispheres</w:t>
      </w:r>
      <w:r w:rsidR="00F35718">
        <w:rPr>
          <w:color w:val="C00000"/>
        </w:rPr>
        <w:t>,</w:t>
      </w:r>
      <w:r w:rsidR="00F35718" w:rsidRPr="00F35718">
        <w:rPr>
          <w:color w:val="C00000"/>
        </w:rPr>
        <w:t xml:space="preserve"> could explain </w:t>
      </w:r>
      <w:r w:rsidR="00F35718">
        <w:rPr>
          <w:color w:val="C00000"/>
        </w:rPr>
        <w:t>the increased number of disconnections in the thalamus in women.</w:t>
      </w:r>
      <w:r w:rsidR="0064517A">
        <w:rPr>
          <w:color w:val="C00000"/>
        </w:rPr>
        <w:t xml:space="preserve"> </w:t>
      </w:r>
      <w:r w:rsidR="0064517A" w:rsidRPr="00E64F32">
        <w:rPr>
          <w:color w:val="C00000"/>
          <w:highlight w:val="yellow"/>
          <w:lang w:val="de-DE"/>
        </w:rPr>
        <w:t>(Nopoulos et al., 2001; Allen &amp; Gorski, 1991; Szczupak et al., 2021;</w:t>
      </w:r>
      <w:r w:rsidR="00E64F32" w:rsidRPr="00E64F32">
        <w:rPr>
          <w:color w:val="C00000"/>
          <w:highlight w:val="yellow"/>
          <w:lang w:val="de-DE"/>
        </w:rPr>
        <w:t xml:space="preserve"> Ceschin et al., 2015)</w:t>
      </w:r>
    </w:p>
    <w:p w14:paraId="03A6B297" w14:textId="769338A1" w:rsidR="006F6431" w:rsidRPr="00E64F32" w:rsidRDefault="009270A8" w:rsidP="009270A8">
      <w:pPr>
        <w:tabs>
          <w:tab w:val="left" w:pos="6834"/>
        </w:tabs>
        <w:rPr>
          <w:lang w:val="de-DE"/>
        </w:rPr>
      </w:pPr>
      <w:r w:rsidRPr="00E64F32">
        <w:rPr>
          <w:lang w:val="de-DE"/>
        </w:rPr>
        <w:tab/>
      </w:r>
    </w:p>
    <w:p w14:paraId="61B30442" w14:textId="404ECBEC" w:rsidR="009270A8" w:rsidRDefault="009270A8" w:rsidP="00F72DAF">
      <w:r>
        <w:t xml:space="preserve">However, we were unable to identify if the disconnection of any specific WM voxels was significantly associated with neglect severity by using VLBM analysis. We hypothesise that this analysis approach may not be suited for </w:t>
      </w:r>
      <w:r w:rsidRPr="009270A8">
        <w:rPr>
          <w:highlight w:val="yellow"/>
        </w:rPr>
        <w:t>context-dependent analyses, such as disconnectivity.</w:t>
      </w:r>
    </w:p>
    <w:p w14:paraId="61EDDE6B" w14:textId="7626C89F" w:rsidR="005B7F30" w:rsidRDefault="00C8062D" w:rsidP="00C8062D">
      <w:pPr>
        <w:pStyle w:val="Listenabsatz"/>
        <w:numPr>
          <w:ilvl w:val="0"/>
          <w:numId w:val="6"/>
        </w:numPr>
      </w:pPr>
      <w:r>
        <w:t>Women more intrahemispheric disconnections in thalamus, cingulum, IOF, ILF &amp; CST; interhemispheric disconnections mainly in splenium of CC</w:t>
      </w:r>
    </w:p>
    <w:p w14:paraId="48EB8554" w14:textId="5B929C8C" w:rsidR="00C8062D" w:rsidRDefault="00C8062D" w:rsidP="00C8062D">
      <w:pPr>
        <w:pStyle w:val="Listenabsatz"/>
        <w:numPr>
          <w:ilvl w:val="0"/>
          <w:numId w:val="6"/>
        </w:numPr>
      </w:pPr>
      <w:r>
        <w:t>Men more interhemispheric disconnections throughout CC (esp. genu &amp; rostrum); more cortical grey matter areas</w:t>
      </w:r>
    </w:p>
    <w:p w14:paraId="228C82CC" w14:textId="60C89C7C" w:rsidR="00C8062D" w:rsidRDefault="00C8062D" w:rsidP="00C8062D">
      <w:pPr>
        <w:pStyle w:val="Listenabsatz"/>
        <w:numPr>
          <w:ilvl w:val="0"/>
          <w:numId w:val="6"/>
        </w:numPr>
      </w:pPr>
      <w:r>
        <w:lastRenderedPageBreak/>
        <w:t xml:space="preserve">No VLBM results </w:t>
      </w:r>
      <w:r>
        <w:sym w:font="Wingdings" w:char="F0E0"/>
      </w:r>
      <w:r>
        <w:t xml:space="preserve"> maybe not suited for context-dependent analyses such as disconnectivity</w:t>
      </w:r>
    </w:p>
    <w:p w14:paraId="6AC8ED3F" w14:textId="1EA99C04" w:rsidR="009270A8" w:rsidRPr="009270A8" w:rsidRDefault="00206AB3" w:rsidP="009270A8">
      <w:bookmarkStart w:id="46" w:name="_Toc116064621"/>
      <w:r w:rsidRPr="006140BA">
        <w:rPr>
          <w:b/>
        </w:rPr>
        <w:t>Region-to-Region D</w:t>
      </w:r>
      <w:r w:rsidR="005B7F30" w:rsidRPr="006140BA">
        <w:rPr>
          <w:b/>
        </w:rPr>
        <w:t>isconnectivity</w:t>
      </w:r>
      <w:bookmarkEnd w:id="46"/>
      <w:r w:rsidR="006140BA">
        <w:tab/>
      </w:r>
      <w:r w:rsidR="0037781E">
        <w:br/>
      </w:r>
      <w:r>
        <w:t xml:space="preserve">We found that mainly damage to interhemispheric connections was significantly associated with neglect severity, regardless of sex. </w:t>
      </w:r>
    </w:p>
    <w:p w14:paraId="588F96AE" w14:textId="77777777" w:rsidR="005B1386" w:rsidRDefault="00C8062D" w:rsidP="00C8062D">
      <w:pPr>
        <w:pStyle w:val="Listenabsatz"/>
        <w:numPr>
          <w:ilvl w:val="0"/>
          <w:numId w:val="6"/>
        </w:numPr>
        <w:tabs>
          <w:tab w:val="left" w:pos="1530"/>
        </w:tabs>
      </w:pPr>
      <w:r>
        <w:t>Very large number of significant disconnections; roughly 70% interhemispheric disconnections at p=0.05 (68% all, 71% fem, 70% male)</w:t>
      </w:r>
    </w:p>
    <w:p w14:paraId="162385B6" w14:textId="094C16B2" w:rsidR="005B7F30" w:rsidRDefault="005B1386" w:rsidP="005B1386">
      <w:pPr>
        <w:pStyle w:val="Listenabsatz"/>
        <w:numPr>
          <w:ilvl w:val="0"/>
          <w:numId w:val="6"/>
        </w:numPr>
        <w:tabs>
          <w:tab w:val="left" w:pos="1530"/>
        </w:tabs>
      </w:pPr>
      <w:r>
        <w:t xml:space="preserve">IPL involved in majority of disconnections for all &amp; men </w:t>
      </w:r>
      <w:r>
        <w:sym w:font="Wingdings" w:char="F0E0"/>
      </w:r>
      <w:r>
        <w:t xml:space="preserve"> role in neglect?</w:t>
      </w:r>
      <w:r w:rsidR="00C8062D">
        <w:tab/>
      </w:r>
    </w:p>
    <w:p w14:paraId="470F6E8D" w14:textId="3B141C7A" w:rsidR="005B1386" w:rsidRDefault="005B1386" w:rsidP="005B1386">
      <w:pPr>
        <w:pStyle w:val="Listenabsatz"/>
        <w:numPr>
          <w:ilvl w:val="0"/>
          <w:numId w:val="6"/>
        </w:numPr>
        <w:tabs>
          <w:tab w:val="left" w:pos="1530"/>
        </w:tabs>
      </w:pPr>
      <w:r>
        <w:t>In women, more disconnections in STS/ITG</w:t>
      </w:r>
    </w:p>
    <w:p w14:paraId="6EB9BDC7" w14:textId="4C34D24D" w:rsidR="005B7F30" w:rsidRDefault="005B1386" w:rsidP="005B7F30">
      <w:pPr>
        <w:pStyle w:val="Listenabsatz"/>
        <w:numPr>
          <w:ilvl w:val="0"/>
          <w:numId w:val="6"/>
        </w:numPr>
        <w:tabs>
          <w:tab w:val="left" w:pos="1530"/>
        </w:tabs>
      </w:pPr>
      <w:r>
        <w:t>Most significant disconnections in women involve thalamus, in men ITG</w:t>
      </w:r>
    </w:p>
    <w:p w14:paraId="384DDB3A" w14:textId="7F9138AB" w:rsidR="005B7F30" w:rsidRPr="006140BA" w:rsidRDefault="005B7F30" w:rsidP="005B7F30">
      <w:pPr>
        <w:rPr>
          <w:b/>
        </w:rPr>
      </w:pPr>
      <w:bookmarkStart w:id="47" w:name="_Toc116064623"/>
      <w:r w:rsidRPr="006140BA">
        <w:rPr>
          <w:b/>
        </w:rPr>
        <w:t>Prediction</w:t>
      </w:r>
      <w:r w:rsidR="0070786F" w:rsidRPr="006140BA">
        <w:rPr>
          <w:b/>
        </w:rPr>
        <w:t xml:space="preserve"> of Patient Status</w:t>
      </w:r>
      <w:bookmarkEnd w:id="47"/>
      <w:r w:rsidR="006140BA">
        <w:rPr>
          <w:b/>
        </w:rPr>
        <w:tab/>
      </w:r>
      <w:r w:rsidR="006140BA">
        <w:rPr>
          <w:b/>
        </w:rPr>
        <w:br/>
      </w:r>
      <w:r w:rsidR="006140BA">
        <w:t>[bla]</w:t>
      </w:r>
    </w:p>
    <w:p w14:paraId="367A71E8" w14:textId="16DCB97B" w:rsidR="005B7F30" w:rsidRPr="006140BA" w:rsidRDefault="005B7F30" w:rsidP="006140BA">
      <w:pPr>
        <w:rPr>
          <w:b/>
        </w:rPr>
      </w:pPr>
      <w:bookmarkStart w:id="48" w:name="_Toc116064624"/>
      <w:r w:rsidRPr="006140BA">
        <w:rPr>
          <w:b/>
        </w:rPr>
        <w:t>Limitations</w:t>
      </w:r>
      <w:bookmarkEnd w:id="48"/>
    </w:p>
    <w:p w14:paraId="16E72A79" w14:textId="5C9BD7CC" w:rsidR="001075F2" w:rsidRPr="0037781E" w:rsidRDefault="001075F2" w:rsidP="00F45257">
      <w:pPr>
        <w:pStyle w:val="Listenabsatz"/>
        <w:numPr>
          <w:ilvl w:val="0"/>
          <w:numId w:val="5"/>
        </w:numPr>
        <w:rPr>
          <w:rFonts w:ascii="Avenir Next LT Pro Light" w:eastAsiaTheme="majorEastAsia" w:hAnsi="Avenir Next LT Pro Light" w:cstheme="majorBidi"/>
          <w:sz w:val="28"/>
          <w:szCs w:val="28"/>
        </w:rPr>
      </w:pPr>
      <w:r w:rsidRPr="00F45257">
        <w:rPr>
          <w:bCs/>
          <w:lang w:val="en-US"/>
        </w:rPr>
        <w:t>Would require sex-specific atlases (</w:t>
      </w:r>
      <w:r w:rsidR="00F45257">
        <w:rPr>
          <w:bCs/>
          <w:lang w:val="en-US"/>
        </w:rPr>
        <w:t>parcellation, tractography + normalization templates</w:t>
      </w:r>
      <w:r w:rsidRPr="00F45257">
        <w:rPr>
          <w:bCs/>
          <w:lang w:val="en-US"/>
        </w:rPr>
        <w:t>) that don’t exist yet</w:t>
      </w:r>
    </w:p>
    <w:p w14:paraId="61B2A3A5" w14:textId="1E4EC096" w:rsidR="0037781E" w:rsidRPr="000136CD" w:rsidRDefault="0037781E" w:rsidP="00F45257">
      <w:pPr>
        <w:pStyle w:val="Listenabsatz"/>
        <w:numPr>
          <w:ilvl w:val="0"/>
          <w:numId w:val="5"/>
        </w:numPr>
        <w:rPr>
          <w:rFonts w:ascii="Avenir Next LT Pro Light" w:eastAsiaTheme="majorEastAsia" w:hAnsi="Avenir Next LT Pro Light" w:cstheme="majorBidi"/>
          <w:sz w:val="28"/>
          <w:szCs w:val="28"/>
        </w:rPr>
      </w:pPr>
      <w:r>
        <w:rPr>
          <w:bCs/>
          <w:lang w:val="en-US"/>
        </w:rPr>
        <w:t>Didn’t consider age or hormonal status i</w:t>
      </w:r>
      <w:bookmarkStart w:id="49" w:name="_GoBack"/>
      <w:bookmarkEnd w:id="49"/>
      <w:r>
        <w:rPr>
          <w:bCs/>
          <w:lang w:val="en-US"/>
        </w:rPr>
        <w:t>n our analyses</w:t>
      </w:r>
    </w:p>
    <w:p w14:paraId="5B3B7A1A" w14:textId="099D6B33" w:rsidR="006140BA" w:rsidRPr="006140BA" w:rsidRDefault="000136CD" w:rsidP="006140BA">
      <w:bookmarkStart w:id="50" w:name="_Toc116064625"/>
      <w:r w:rsidRPr="006140BA">
        <w:rPr>
          <w:b/>
        </w:rPr>
        <w:t>Outlook</w:t>
      </w:r>
      <w:bookmarkEnd w:id="50"/>
      <w:r w:rsidR="006140BA">
        <w:rPr>
          <w:b/>
        </w:rPr>
        <w:br/>
      </w:r>
      <w:r w:rsidR="006140BA" w:rsidRPr="006140BA">
        <w:t>[bla]</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F14B94">
      <w:pPr>
        <w:pStyle w:val="berschrift2"/>
        <w:numPr>
          <w:ilvl w:val="0"/>
          <w:numId w:val="3"/>
        </w:numPr>
        <w:rPr>
          <w:b w:val="0"/>
          <w:bCs w:val="0"/>
        </w:rPr>
      </w:pPr>
      <w:bookmarkStart w:id="51" w:name="_Toc116064626"/>
      <w:r w:rsidRPr="00EA784A">
        <w:rPr>
          <w:b w:val="0"/>
          <w:bCs w:val="0"/>
        </w:rPr>
        <w:lastRenderedPageBreak/>
        <w:t>Conclusion</w:t>
      </w:r>
      <w:bookmarkEnd w:id="51"/>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52" w:name="_Toc116064627"/>
      <w:r w:rsidRPr="0089785B">
        <w:rPr>
          <w:b w:val="0"/>
          <w:bCs w:val="0"/>
        </w:rPr>
        <w:lastRenderedPageBreak/>
        <w:t>References</w:t>
      </w:r>
      <w:bookmarkEnd w:id="52"/>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Allen, J. S., Damasio,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4429B245"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71492">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r w:rsidRPr="00DE346D">
        <w:rPr>
          <w:rFonts w:ascii="Ebrima" w:hAnsi="Ebrima" w:cs="Arial"/>
          <w:i/>
          <w:iCs/>
          <w:sz w:val="22"/>
          <w:szCs w:val="22"/>
          <w:lang w:val="en-US"/>
        </w:rPr>
        <w:t>NeuroImage</w:t>
      </w:r>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r w:rsidRPr="00747EBA">
        <w:rPr>
          <w:rFonts w:ascii="Ebrima" w:hAnsi="Ebrima" w:cs="Arial"/>
          <w:sz w:val="22"/>
          <w:szCs w:val="22"/>
          <w:lang w:val="en-US"/>
        </w:rPr>
        <w:t>https://doi.org/10.1016/s1053-8119(03)00034-x</w:t>
      </w:r>
    </w:p>
    <w:p w14:paraId="3BAB7EB1" w14:textId="27BFC43F"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Appelros, P., Stegmayr, B., &amp; Terént,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3"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Brott, T. G., Brown, R. D., Frankel, M. R., Worrall, B. B., Silliman, S. L., . . . </w:t>
      </w:r>
      <w:r w:rsidRPr="00444296">
        <w:rPr>
          <w:rFonts w:ascii="Ebrima" w:hAnsi="Ebrima" w:cs="Arial"/>
          <w:sz w:val="22"/>
          <w:szCs w:val="22"/>
          <w:lang w:val="en-US"/>
        </w:rPr>
        <w:t xml:space="preserve">Meschia,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4"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Beschin, N., Cocchini, G., Della Sala, S., &amp; Logie,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https://doi.org/10.1016/s0010-9452(97)80002-0</w:t>
      </w:r>
      <w:r w:rsidR="00D14833">
        <w:rPr>
          <w:rFonts w:ascii="Ebrima" w:hAnsi="Ebrima" w:cs="Arial"/>
          <w:sz w:val="22"/>
          <w:szCs w:val="22"/>
          <w:lang w:val="en-US"/>
        </w:rPr>
        <w:t xml:space="preserve"> </w:t>
      </w:r>
    </w:p>
    <w:p w14:paraId="7A87FF07" w14:textId="7981695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Bibawi, D., Cherry, B., &amp; Hellige, J. B. (1995). Fluctuations of perceptual asymmetry across time in women and men: Effects related to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https://doi.org/10.1016/0028-3932(94)00103-v</w:t>
      </w:r>
      <w:r w:rsidR="00D14833">
        <w:rPr>
          <w:rFonts w:ascii="Ebrima" w:hAnsi="Ebrima" w:cs="Arial"/>
          <w:sz w:val="22"/>
          <w:szCs w:val="22"/>
          <w:lang w:val="en-US"/>
        </w:rPr>
        <w:t xml:space="preserve"> </w:t>
      </w:r>
    </w:p>
    <w:p w14:paraId="4E4FB3DE" w14:textId="53F087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Bisiach, E., &amp; Luzzatti,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https://doi.org/10.1016/s0010-9452(78)80016-1</w:t>
      </w:r>
      <w:r w:rsidR="00D14833">
        <w:rPr>
          <w:rFonts w:ascii="Ebrima" w:hAnsi="Ebrima" w:cs="Arial"/>
          <w:sz w:val="22"/>
          <w:szCs w:val="22"/>
          <w:lang w:val="en-US"/>
        </w:rPr>
        <w:t xml:space="preserve"> </w:t>
      </w:r>
    </w:p>
    <w:p w14:paraId="32CD0C91" w14:textId="3F95EFD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71492">
        <w:rPr>
          <w:rFonts w:ascii="Ebrima" w:hAnsi="Ebrima" w:cs="Arial"/>
          <w:sz w:val="22"/>
          <w:szCs w:val="22"/>
          <w:lang w:val="en-US"/>
        </w:rPr>
        <w:lastRenderedPageBreak/>
        <w:t xml:space="preserve">Bonkhoff, A. K., Bretzner, M., Hong, S., Schirmer, M. D., Cohen, A., Regenhardt, R. W., . . . </w:t>
      </w:r>
      <w:r w:rsidRPr="004F5B90">
        <w:rPr>
          <w:rFonts w:ascii="Ebrima" w:hAnsi="Ebrima" w:cs="Arial"/>
          <w:sz w:val="22"/>
          <w:szCs w:val="22"/>
          <w:lang w:val="en-US"/>
        </w:rPr>
        <w:t xml:space="preserve">Rost, N. S. (2022). Sex-specific lesion pattern of functional outcomes after stroke. Brain Communications, 4(2). </w:t>
      </w:r>
      <w:hyperlink r:id="rId15" w:history="1">
        <w:r w:rsidRPr="00380DD4">
          <w:rPr>
            <w:rStyle w:val="Hyperlink"/>
            <w:rFonts w:ascii="Ebrima" w:hAnsi="Ebrima" w:cs="Arial"/>
            <w:sz w:val="22"/>
            <w:szCs w:val="22"/>
            <w:lang w:val="en-US"/>
          </w:rPr>
          <w:t>https://doi.org/10.1093/braincomms/fcac020</w:t>
        </w:r>
      </w:hyperlink>
      <w:r>
        <w:rPr>
          <w:rFonts w:ascii="Ebrima" w:hAnsi="Ebrima" w:cs="Arial"/>
          <w:sz w:val="22"/>
          <w:szCs w:val="22"/>
          <w:lang w:val="en-US"/>
        </w:rPr>
        <w:t xml:space="preserve"> </w:t>
      </w:r>
    </w:p>
    <w:p w14:paraId="7F67F143" w14:textId="0E4385B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71492">
        <w:rPr>
          <w:rFonts w:ascii="Ebrima" w:hAnsi="Ebrima" w:cs="Arial"/>
          <w:sz w:val="22"/>
          <w:szCs w:val="22"/>
          <w:lang w:val="en-US"/>
        </w:rPr>
        <w:t xml:space="preserve">Bonkhoff, A. K., Schirmer, M. D., Bretzner, M., Hong, S., Regenhardt, R. W., Brudfors, M., . . . Rost,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Bozzali, M., Mastropasqua, C., Cercignani, M., Giulietti, G., Bonnì, S., Caltagirone, C., &amp; Koch, G. (2012). Microstructural Damage of the Posterior Corpus Callosum Contributes to the Clinical Severity of Neglect.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Broverman, I. K., Vogel, S. R., Broverman, D. M., Clarkson, F. E., &amp; Rosenkrantz,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034FAEE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Burcham, K. J., Corwin, J. V., Stoll, M. L., &amp; Reep, R. L. (1997). Disconnection of medial agranular and posterior parietal cortex produces multimodal neglect in rats. </w:t>
      </w:r>
      <w:r w:rsidRPr="00250B3C">
        <w:rPr>
          <w:rFonts w:ascii="Ebrima" w:hAnsi="Ebrima" w:cs="Arial"/>
          <w:i/>
          <w:iCs/>
          <w:sz w:val="22"/>
          <w:szCs w:val="22"/>
          <w:lang w:val="en-US"/>
        </w:rPr>
        <w:t>Behavioural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https://doi.org/10.1016/s0166-4328(96)02241-3</w:t>
      </w:r>
      <w:r w:rsidR="00D14833">
        <w:rPr>
          <w:rFonts w:ascii="Ebrima" w:hAnsi="Ebrima" w:cs="Arial"/>
          <w:sz w:val="22"/>
          <w:szCs w:val="22"/>
          <w:lang w:val="en-US"/>
        </w:rPr>
        <w:t xml:space="preserve"> </w:t>
      </w:r>
    </w:p>
    <w:p w14:paraId="76F2EC03" w14:textId="63DC7F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Chaturvedi, S., Gage, K. R., Herson, P. S., Hurn, P. D., Jiménez, M. C., . . . Rundek,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Buxbaum, L., Ferraro, M., Veramonti, T., Farne, A., Whyte, J., Ladavas, E., . . . Coslett, H. (2004). Hemispatial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09E0269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Tononi,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5C21F007" w14:textId="57FABED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r w:rsidR="00687332">
        <w:rPr>
          <w:rFonts w:ascii="Ebrima" w:hAnsi="Ebrima" w:cs="Arial"/>
          <w:sz w:val="22"/>
          <w:szCs w:val="22"/>
          <w:lang w:val="en-US"/>
        </w:rPr>
        <w:t>F</w:t>
      </w:r>
      <w:r w:rsidRPr="00250B3C">
        <w:rPr>
          <w:rFonts w:ascii="Ebrima" w:hAnsi="Ebrima" w:cs="Arial"/>
          <w:sz w:val="22"/>
          <w:szCs w:val="22"/>
          <w:lang w:val="en-US"/>
        </w:rPr>
        <w:t xml:space="preserve">fytche,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Catani, M., &amp; Thiebaut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Ceci, S. J., Williams, W. M. &amp; Barnett, S. M. (2009). Women’s underrepresentation in science: Sociocultural and biological considerations. Psychological Bulletin, 135(2), 218–261. </w:t>
      </w:r>
      <w:hyperlink r:id="rId16"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lastRenderedPageBreak/>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7369878C" w14:textId="7B40FBB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A161AB">
        <w:rPr>
          <w:rFonts w:ascii="Ebrima" w:hAnsi="Ebrima" w:cs="Arial"/>
          <w:sz w:val="22"/>
          <w:szCs w:val="22"/>
          <w:lang w:val="en-US"/>
        </w:rPr>
        <w:t xml:space="preserve">Choleris, E., Galea, L. A., Sohrabji,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59A3A4C9" w14:textId="777777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
    <w:p w14:paraId="694BF888" w14:textId="35FF8205"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Clas, P., Groeschel, S., &amp; Wilke, M. (2012). A Semi-Automatic Algorithm for Determining the Demyelination Load in Metachromatic Leukodystrophy. Academic Radiology, 19(1), 26–34. </w:t>
      </w:r>
      <w:r w:rsidRPr="00747EBA">
        <w:rPr>
          <w:rFonts w:ascii="Ebrima" w:hAnsi="Ebrima" w:cs="Arial"/>
          <w:sz w:val="22"/>
          <w:szCs w:val="22"/>
          <w:lang w:val="en-US"/>
        </w:rPr>
        <w:t>https://doi.org/10.1016/j.acra.2011.09.008</w:t>
      </w:r>
    </w:p>
    <w:p w14:paraId="52F6813B" w14:textId="51462DA3"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Neelin, P., Peters, T. M., &amp; Peters, A. C. (1994). Automatic 3D intersubject registration of MR volumetric data in standardized Talairach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328200D1" w14:textId="487C77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en-US"/>
        </w:rPr>
        <w:t xml:space="preserve">Corballis,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(2014). Hemispatial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2A3D1E23" w14:textId="3DEFC2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https://doi.org/10.1080/0964704x.2014.885097</w:t>
      </w:r>
      <w:r w:rsidR="00D14833">
        <w:rPr>
          <w:rFonts w:ascii="Ebrima" w:hAnsi="Ebrima" w:cs="Arial"/>
          <w:sz w:val="22"/>
          <w:szCs w:val="22"/>
          <w:lang w:val="en-US"/>
        </w:rPr>
        <w:t xml:space="preserve"> </w:t>
      </w:r>
    </w:p>
    <w:p w14:paraId="05B9DDBD" w14:textId="6EB28C7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Cosgrove, K. P., Mazure,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r w:rsidR="00687332" w:rsidRPr="00747EBA">
        <w:rPr>
          <w:rFonts w:ascii="Ebrima" w:hAnsi="Ebrima" w:cs="Arial"/>
          <w:sz w:val="22"/>
          <w:szCs w:val="22"/>
          <w:lang w:val="en-US"/>
        </w:rPr>
        <w:t>https://doi.org/10.1016/j.biopsych.2007.03.001</w:t>
      </w:r>
    </w:p>
    <w:p w14:paraId="0488F5CF" w14:textId="174323E6"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de Haan, B., Clas, P., Juenger, H., Wilke, M., &amp; Karnath, H. O. (2015). Fast semi-automated lesion demarcation in stroke. NeuroImage: Clinical, 9,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071492">
        <w:rPr>
          <w:rFonts w:ascii="Ebrima" w:hAnsi="Ebrima" w:cs="Arial"/>
          <w:sz w:val="22"/>
          <w:szCs w:val="22"/>
          <w:lang w:val="de-DE"/>
        </w:rPr>
        <w:lastRenderedPageBreak/>
        <w:t xml:space="preserve">de Haan, B., &amp; Karnath, H. O. (2018). </w:t>
      </w:r>
      <w:r w:rsidRPr="00687332">
        <w:rPr>
          <w:rFonts w:ascii="Ebrima" w:hAnsi="Ebrima" w:cs="Arial"/>
          <w:sz w:val="22"/>
          <w:szCs w:val="22"/>
          <w:lang w:val="en-US"/>
        </w:rPr>
        <w:t xml:space="preserve">A hitchhiker’s guide to lesion-behaviour mapping. </w:t>
      </w:r>
      <w:r w:rsidRPr="0065070A">
        <w:rPr>
          <w:rFonts w:ascii="Ebrima" w:hAnsi="Ebrima" w:cs="Arial"/>
          <w:sz w:val="22"/>
          <w:szCs w:val="22"/>
          <w:lang w:val="de-DE"/>
        </w:rPr>
        <w:t xml:space="preserve">Neuropsychologia,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Dubb, A., Gur, R., Avants, B., &amp; Gee, J. (2003). Characterization of sexual dimorphism in the human corpus callosum. </w:t>
      </w:r>
      <w:r w:rsidRPr="00250B3C">
        <w:rPr>
          <w:rFonts w:ascii="Ebrima" w:hAnsi="Ebrima" w:cs="Arial"/>
          <w:i/>
          <w:iCs/>
          <w:sz w:val="22"/>
          <w:szCs w:val="22"/>
          <w:lang w:val="en-US"/>
        </w:rPr>
        <w:t>NeuroImage</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https://doi.org/10.1016/s1053-8119(03)00313-6</w:t>
      </w:r>
      <w:r w:rsidR="00D14833">
        <w:rPr>
          <w:rFonts w:ascii="Ebrima" w:hAnsi="Ebrima" w:cs="Arial"/>
          <w:sz w:val="22"/>
          <w:szCs w:val="22"/>
          <w:lang w:val="en-US"/>
        </w:rPr>
        <w:t xml:space="preserve"> </w:t>
      </w:r>
    </w:p>
    <w:p w14:paraId="3427C702" w14:textId="1AF9D7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Duffau, H. (2005). Lessons from brain mapping in surgery for low-grade glioma: insights into associations between tumour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https://doi.org/10.1016/s1474-4422(05)70140-x</w:t>
      </w:r>
      <w:r w:rsidR="00D14833">
        <w:rPr>
          <w:rFonts w:ascii="Ebrima" w:hAnsi="Ebrima" w:cs="Arial"/>
          <w:sz w:val="22"/>
          <w:szCs w:val="22"/>
          <w:lang w:val="en-US"/>
        </w:rPr>
        <w:t xml:space="preserve"> </w:t>
      </w:r>
    </w:p>
    <w:p w14:paraId="750A6D71" w14:textId="2BF14A4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Eliot, L., Ahmed, A., Khan, H., &amp; Patel, J. (2021). Dump the “dimorphism”: Comprehensive synthesis of human brain studies reveals few male-female differences beyond size. </w:t>
      </w:r>
      <w:r w:rsidRPr="00296FFC">
        <w:rPr>
          <w:rFonts w:ascii="Ebrima" w:hAnsi="Ebrima" w:cs="Arial"/>
          <w:i/>
          <w:iCs/>
          <w:sz w:val="22"/>
          <w:szCs w:val="22"/>
          <w:highlight w:val="darkRed"/>
          <w:lang w:val="en-US"/>
        </w:rPr>
        <w:t xml:space="preserve">Neuroscience </w:t>
      </w:r>
      <w:r w:rsidR="00A161AB">
        <w:rPr>
          <w:rFonts w:ascii="Ebrima" w:hAnsi="Ebrima" w:cs="Arial"/>
          <w:i/>
          <w:iCs/>
          <w:sz w:val="22"/>
          <w:szCs w:val="22"/>
          <w:highlight w:val="darkRed"/>
          <w:lang w:val="en-US"/>
        </w:rPr>
        <w:t>&amp;</w:t>
      </w:r>
      <w:r w:rsidRPr="00296FFC">
        <w:rPr>
          <w:rFonts w:ascii="Ebrima" w:hAnsi="Ebrima" w:cs="Arial"/>
          <w:i/>
          <w:iCs/>
          <w:sz w:val="22"/>
          <w:szCs w:val="22"/>
          <w:highlight w:val="darkRed"/>
          <w:lang w:val="en-US"/>
        </w:rPr>
        <w:t xml:space="preserve"> Biobehavioral Reviews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125</w:t>
      </w:r>
      <w:r w:rsidRPr="00296FFC">
        <w:rPr>
          <w:rFonts w:ascii="Ebrima" w:hAnsi="Ebrima" w:cs="Arial"/>
          <w:sz w:val="22"/>
          <w:szCs w:val="22"/>
          <w:highlight w:val="darkRed"/>
          <w:lang w:val="en-US"/>
        </w:rPr>
        <w:t>, 667–697. https://doi.org/10.1016/j.neubiorev.2021.02.026</w:t>
      </w:r>
    </w:p>
    <w:p w14:paraId="2C158076" w14:textId="670EEC4E"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Shekhtman,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Zhuo, J., Zhang, Y., Wang, J., Chen, L., . . . </w:t>
      </w:r>
      <w:r w:rsidRPr="00687332">
        <w:rPr>
          <w:rFonts w:ascii="Ebrima" w:hAnsi="Ebrima" w:cs="Arial"/>
          <w:sz w:val="22"/>
          <w:szCs w:val="22"/>
          <w:lang w:val="en-US"/>
        </w:rPr>
        <w:t xml:space="preserve">Jiang, T. (2016). The Human Brainnetome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3FD20C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Feigin, V. L., Forouzanfar, M. H., Krishnamurthi,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https://doi.org/10.1016/s0140-6736(13)61953-4</w:t>
      </w:r>
      <w:r w:rsidR="00D14833">
        <w:rPr>
          <w:rFonts w:ascii="Ebrima" w:hAnsi="Ebrima" w:cs="Arial"/>
          <w:sz w:val="22"/>
          <w:szCs w:val="22"/>
          <w:lang w:val="en-US"/>
        </w:rPr>
        <w:t xml:space="preserve"> </w:t>
      </w:r>
    </w:p>
    <w:p w14:paraId="75E481AB" w14:textId="586AAD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Feigin, V. L., Stark, B. A., Johnson, C. O., Roth, G. A., Bisignano, C., Abady,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r w:rsidR="00D14833" w:rsidRPr="00747EBA">
        <w:rPr>
          <w:rFonts w:ascii="Ebrima" w:hAnsi="Ebrima" w:cs="Arial"/>
          <w:sz w:val="22"/>
          <w:szCs w:val="22"/>
          <w:lang w:val="en-US"/>
        </w:rPr>
        <w:t>https://doi.org/10.1016/s1474-4422(21)00252-0</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96FFC">
        <w:rPr>
          <w:rFonts w:ascii="Ebrima" w:hAnsi="Ebrima" w:cs="Arial"/>
          <w:sz w:val="22"/>
          <w:szCs w:val="22"/>
          <w:highlight w:val="darkRed"/>
          <w:lang w:val="en-US"/>
        </w:rPr>
        <w:t xml:space="preserve">Filipek, P. A., Richelme, C., Kennedy, D. N., &amp; Caviness, V. S. (1994). The Young Adult Human Brain: An MRI-based Morphometric Analysis. </w:t>
      </w:r>
      <w:r w:rsidRPr="00296FFC">
        <w:rPr>
          <w:rFonts w:ascii="Ebrima" w:hAnsi="Ebrima" w:cs="Arial"/>
          <w:i/>
          <w:iCs/>
          <w:sz w:val="22"/>
          <w:szCs w:val="22"/>
          <w:highlight w:val="darkRed"/>
          <w:lang w:val="de-DE"/>
        </w:rPr>
        <w:t>Cerebral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13DD51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lastRenderedPageBreak/>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Gaffan,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Wehner,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The Bells Test: A Quantitative and Qualitative Test for Visual Neglect. International Journal of Clinical Neuropsychology, XI(2), 49–54.</w:t>
      </w:r>
      <w:r>
        <w:rPr>
          <w:rFonts w:ascii="Ebrima" w:hAnsi="Ebrima" w:cs="Arial"/>
          <w:sz w:val="22"/>
          <w:szCs w:val="22"/>
          <w:lang w:val="en-US"/>
        </w:rPr>
        <w:t xml:space="preserve"> </w:t>
      </w:r>
    </w:p>
    <w:p w14:paraId="7F64C6D2" w14:textId="2D3FC26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Coomber, B., &amp; Rathbone, J. (2009). Is Progesterone a Candidate Neuroprotective Factor for Treatment following Ischemic Stroke? </w:t>
      </w:r>
      <w:r w:rsidRPr="00250B3C">
        <w:rPr>
          <w:rFonts w:ascii="Ebrima" w:hAnsi="Ebrima" w:cs="Arial"/>
          <w:i/>
          <w:iCs/>
          <w:sz w:val="22"/>
          <w:szCs w:val="22"/>
          <w:lang w:val="en-US"/>
        </w:rPr>
        <w:t>The Neuroscientist</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(4), 324–332. </w:t>
      </w:r>
      <w:r w:rsidR="00D14833" w:rsidRPr="00747EBA">
        <w:rPr>
          <w:rFonts w:ascii="Ebrima" w:hAnsi="Ebrima" w:cs="Arial"/>
          <w:sz w:val="22"/>
          <w:szCs w:val="22"/>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Giedd, J. N., Snell, J. W., Lange, N., Rajapakse, J. C., Casey, B. J., Kozuch, P. L., . . . Rapoport,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71492">
        <w:rPr>
          <w:rFonts w:ascii="Ebrima" w:hAnsi="Ebrima" w:cs="Arial"/>
          <w:sz w:val="22"/>
          <w:szCs w:val="22"/>
          <w:highlight w:val="darkRed"/>
          <w:lang w:val="en-US"/>
        </w:rPr>
        <w:t xml:space="preserve">Giedd, J. N., Vaituzis, C., Hamburger, S., Lange, N., Rajapakse, J. C., Kaysen, D., . . . </w:t>
      </w:r>
      <w:r w:rsidRPr="00296FFC">
        <w:rPr>
          <w:rFonts w:ascii="Ebrima" w:hAnsi="Ebrima" w:cs="Arial"/>
          <w:sz w:val="22"/>
          <w:szCs w:val="22"/>
          <w:highlight w:val="darkRed"/>
          <w:lang w:val="en-US"/>
        </w:rPr>
        <w:t xml:space="preserve">Rapoport,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3751DD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Giroud, M., Delpont, B., Daubail, B., Blanc, C., Durier, J., Giroud, M., &amp; Béjot,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7A118FE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Gong, G., Rosa-Neto, P., Carbonell,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Griffis, J. C., Metcalf, N. V., Corbetta,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Griffis, J. C., Metcalf, N. V., Corbetta, M., &amp; Shulman, G. L. (2020). Damage to the shortest structural paths between brain regions is associated with disruptions of resting-state functional connectivity after stroke. NeuroImage,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E44D5D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Griffis, J. C., Metcalf, N. V., Corbetta, M., &amp; Shulman, G. L. (2021). Lesion Quantification Toolkit: A MATLAB software tool for estimating grey matter damage and white matter disconnections in patients with focal brain lesions. </w:t>
      </w:r>
      <w:r w:rsidRPr="00250B3C">
        <w:rPr>
          <w:rFonts w:ascii="Ebrima" w:hAnsi="Ebrima" w:cs="Arial"/>
          <w:i/>
          <w:iCs/>
          <w:sz w:val="22"/>
          <w:szCs w:val="22"/>
          <w:lang w:val="en-US"/>
        </w:rPr>
        <w:t>NeuroImage: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3F318A4D" w14:textId="56838839"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Turetsky, B. I., Matsui, M., Yan, M., Bilker, W., Hughett,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Hammerbeck,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17"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Hartley, B. L. &amp; Sutton, R. M. (2013). A Stereotype Threat Account of Boys’ Academic Underachievement. Child Development, 84(5), 1716–1733. </w:t>
      </w:r>
      <w:hyperlink r:id="rId18"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(2002). Functional cerebral asymmetries during the menstrual cycle: a cross-sectional and longitudinal analysis.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https://doi.org/10.1016/s0028-3932(01)00179-8</w:t>
      </w:r>
      <w:r w:rsidR="00D14833">
        <w:rPr>
          <w:rFonts w:ascii="Ebrima" w:hAnsi="Ebrima" w:cs="Arial"/>
          <w:sz w:val="22"/>
          <w:szCs w:val="22"/>
          <w:lang w:val="en-US"/>
        </w:rPr>
        <w:t xml:space="preserve"> </w:t>
      </w:r>
    </w:p>
    <w:p w14:paraId="61B87DB2" w14:textId="6616AC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(2005). Hemispheric asymmetry in spatial attention across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&amp; Güntürkün, O. (2000). Steroid fluctuations modify functional cerebral asymmetries: the hypothesis of progesterone-mediated interhemispheric decoupling.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https://doi.org/10.1016/s0028-3932(00)00045-2</w:t>
      </w:r>
      <w:r w:rsidR="00D14833">
        <w:rPr>
          <w:rFonts w:ascii="Ebrima" w:hAnsi="Ebrima" w:cs="Arial"/>
          <w:sz w:val="22"/>
          <w:szCs w:val="22"/>
          <w:lang w:val="en-US"/>
        </w:rPr>
        <w:t xml:space="preserve"> </w:t>
      </w:r>
    </w:p>
    <w:p w14:paraId="69C1AB21" w14:textId="077E8193"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He, B. J., Snyder, A. Z., Vincent, J. L., Epstein, A., Shulman, G. L., &amp; Corbetta,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lastRenderedPageBreak/>
        <w:t xml:space="preserve">Heilman, K. M., &amp; Valenstein, E. (1979). </w:t>
      </w:r>
      <w:r w:rsidRPr="00250B3C">
        <w:rPr>
          <w:rFonts w:ascii="Ebrima" w:hAnsi="Ebrima" w:cs="Arial"/>
          <w:sz w:val="22"/>
          <w:szCs w:val="22"/>
          <w:lang w:val="en-US"/>
        </w:rPr>
        <w:t xml:space="preserve">Mechanisms underlying hemispatial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Henderson, V. W., &amp; Lobo, R. A. (2012). </w:t>
      </w:r>
      <w:r w:rsidRPr="00250B3C">
        <w:rPr>
          <w:rFonts w:ascii="Ebrima" w:hAnsi="Ebrima" w:cs="Arial"/>
          <w:sz w:val="22"/>
          <w:szCs w:val="22"/>
          <w:lang w:val="en-US"/>
        </w:rPr>
        <w:t xml:space="preserve">Hormone therapy and the risk of stroke: perspectives 10 years after the Women’s Health Initiative trials. </w:t>
      </w:r>
      <w:r w:rsidRPr="00250B3C">
        <w:rPr>
          <w:rFonts w:ascii="Ebrima" w:hAnsi="Ebrima" w:cs="Arial"/>
          <w:i/>
          <w:iCs/>
          <w:sz w:val="22"/>
          <w:szCs w:val="22"/>
          <w:lang w:val="en-US"/>
        </w:rPr>
        <w:t>Climacteric</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(3), 229–234. </w:t>
      </w:r>
      <w:r w:rsidR="00D14833" w:rsidRPr="00747EBA">
        <w:rPr>
          <w:rFonts w:ascii="Ebrima" w:hAnsi="Ebrima" w:cs="Arial"/>
          <w:sz w:val="22"/>
          <w:szCs w:val="22"/>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Hillis, A. E. (2005). Anatomy of Spatial Attention: Insights from Perfusion Imaging and Hemispatial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AF0F10">
        <w:rPr>
          <w:rFonts w:ascii="Ebrima" w:hAnsi="Ebrima" w:cs="Arial"/>
          <w:sz w:val="22"/>
          <w:szCs w:val="22"/>
          <w:lang w:val="en-US"/>
        </w:rPr>
        <w:t xml:space="preserve">Hirnstein, M., Hugdahl,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Hawryluk, J., Lyon, P. J., &amp; Perachio,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Israelian, M., Inch, R., Jacek, C., &amp; Hiscock-kalil,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112D0C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Perachio, N., &amp; Inch, R. (2001). Is There a Sex Difference in Human Laterality? IV. An Exhaustive Survey of Dual-Task Interference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r w:rsidR="00D14833" w:rsidRPr="00747EBA">
        <w:rPr>
          <w:rFonts w:ascii="Ebrima" w:hAnsi="Ebrima" w:cs="Arial"/>
          <w:sz w:val="22"/>
          <w:szCs w:val="22"/>
          <w:lang w:val="en-US"/>
        </w:rPr>
        <w:t>https://doi.org/10.1076/jcen.23.2.137.1206</w:t>
      </w:r>
      <w:r w:rsidR="00D14833">
        <w:rPr>
          <w:rFonts w:ascii="Ebrima" w:hAnsi="Ebrima" w:cs="Arial"/>
          <w:sz w:val="22"/>
          <w:szCs w:val="22"/>
          <w:lang w:val="en-US"/>
        </w:rPr>
        <w:t xml:space="preserve"> </w:t>
      </w:r>
    </w:p>
    <w:p w14:paraId="70E64EB3" w14:textId="153E8CC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Hyde, J. S. (2005). The gender similarities hypothesis. </w:t>
      </w:r>
      <w:r w:rsidRPr="00275F68">
        <w:rPr>
          <w:rFonts w:ascii="Ebrima" w:hAnsi="Ebrima" w:cs="Arial"/>
          <w:i/>
          <w:iCs/>
          <w:sz w:val="22"/>
          <w:szCs w:val="22"/>
          <w:lang w:val="de-DE"/>
        </w:rPr>
        <w:t>American Psychologist</w:t>
      </w:r>
      <w:r w:rsidRPr="00275F68">
        <w:rPr>
          <w:rFonts w:ascii="Ebrima" w:hAnsi="Ebrima" w:cs="Arial"/>
          <w:sz w:val="22"/>
          <w:szCs w:val="22"/>
          <w:lang w:val="de-DE"/>
        </w:rPr>
        <w:t xml:space="preserve">, </w:t>
      </w:r>
      <w:r w:rsidRPr="00275F68">
        <w:rPr>
          <w:rFonts w:ascii="Ebrima" w:hAnsi="Ebrima" w:cs="Arial"/>
          <w:i/>
          <w:iCs/>
          <w:sz w:val="22"/>
          <w:szCs w:val="22"/>
          <w:lang w:val="de-DE"/>
        </w:rPr>
        <w:t>60</w:t>
      </w:r>
      <w:r w:rsidRPr="00275F68">
        <w:rPr>
          <w:rFonts w:ascii="Ebrima" w:hAnsi="Ebrima" w:cs="Arial"/>
          <w:sz w:val="22"/>
          <w:szCs w:val="22"/>
          <w:lang w:val="de-DE"/>
        </w:rPr>
        <w:t xml:space="preserve">(6), 581–592. </w:t>
      </w:r>
      <w:r w:rsidR="00D14833" w:rsidRPr="00747EBA">
        <w:rPr>
          <w:rFonts w:ascii="Ebrima" w:hAnsi="Ebrima" w:cs="Arial"/>
          <w:sz w:val="22"/>
          <w:szCs w:val="22"/>
          <w:lang w:val="de-DE"/>
        </w:rPr>
        <w:t>https://doi.org/10.1037/0003-066x.60.6.581</w:t>
      </w:r>
      <w:r w:rsidR="00D14833">
        <w:rPr>
          <w:rFonts w:ascii="Ebrima" w:hAnsi="Ebrima" w:cs="Arial"/>
          <w:sz w:val="22"/>
          <w:szCs w:val="22"/>
          <w:lang w:val="de-DE"/>
        </w:rPr>
        <w:t xml:space="preserve"> </w:t>
      </w:r>
    </w:p>
    <w:p w14:paraId="4E662C3A" w14:textId="5BD15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Ingalhalikar, M., Smith, A., Parker, D., Satterthwaite, T. D., Elliott, M. A., Ruparel,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lastRenderedPageBreak/>
        <w:t xml:space="preserve">Jäncke, L., Mérillat, S., Liem, F., &amp; Hänggi,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5140ADE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Jehkonen, M., Ahonen, J. P., Dastidar, P., Koivisto, A. M., Laippala, P., Vilkki, J., &amp; Molnár, G. (2000). Visual neglect as a predictor of functional outcome one year after stroke. </w:t>
      </w:r>
      <w:r w:rsidRPr="00250B3C">
        <w:rPr>
          <w:rFonts w:ascii="Ebrima" w:hAnsi="Ebrima" w:cs="Arial"/>
          <w:i/>
          <w:iCs/>
          <w:sz w:val="22"/>
          <w:szCs w:val="22"/>
          <w:lang w:val="en-US"/>
        </w:rPr>
        <w:t>Acta Neurologica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Jehkonen, M., Laihosalo, M., Koivisto, A. M., Dastidar, P., &amp; Ahonen,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Kanaan, R. A., Allin, M., Picchioni, M., Barker, G. J., Daly, E., Shergill, S. S., . . . McGuire, P. K. (2012). Gender Differences in White Matter Microstructure.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ed., pp. 279–292). H.-O. Karnath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https://doi.org/10.1016/0028-3932(94)00115-6</w:t>
      </w:r>
      <w:r w:rsidR="00D14833">
        <w:rPr>
          <w:rFonts w:ascii="Ebrima" w:hAnsi="Ebrima" w:cs="Arial"/>
          <w:sz w:val="22"/>
          <w:szCs w:val="22"/>
          <w:lang w:val="en-US"/>
        </w:rPr>
        <w:t xml:space="preserve"> </w:t>
      </w:r>
    </w:p>
    <w:p w14:paraId="28A23493" w14:textId="6743D54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Karnath, H. O., &amp; Niemeier, M. (2002). Task-dependent differences in the exploratory behaviour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Rorden, C., &amp; Ticini, L. F. (2009). </w:t>
      </w:r>
      <w:r w:rsidRPr="00250B3C">
        <w:rPr>
          <w:rFonts w:ascii="Ebrima" w:hAnsi="Ebrima" w:cs="Arial"/>
          <w:sz w:val="22"/>
          <w:szCs w:val="22"/>
          <w:lang w:val="en-US"/>
        </w:rPr>
        <w:t xml:space="preserve">Damage to White Matter Fiber Tracts in Acute Spatial Neglect. </w:t>
      </w:r>
      <w:r w:rsidRPr="0065070A">
        <w:rPr>
          <w:rFonts w:ascii="Ebrima" w:hAnsi="Ebrima" w:cs="Arial"/>
          <w:i/>
          <w:iCs/>
          <w:sz w:val="22"/>
          <w:szCs w:val="22"/>
          <w:lang w:val="de-DE"/>
        </w:rPr>
        <w:t>Cerebral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225D5">
        <w:rPr>
          <w:rFonts w:ascii="Ebrima" w:hAnsi="Ebrima" w:cs="Arial"/>
          <w:sz w:val="22"/>
          <w:szCs w:val="22"/>
          <w:lang w:val="en-US"/>
        </w:rPr>
        <w:t>Kasties, V., Karnath, H.</w:t>
      </w:r>
      <w:r w:rsidR="00D14833" w:rsidRPr="00B225D5">
        <w:rPr>
          <w:rFonts w:ascii="Ebrima" w:hAnsi="Ebrima" w:cs="Arial"/>
          <w:sz w:val="22"/>
          <w:szCs w:val="22"/>
          <w:lang w:val="en-US"/>
        </w:rPr>
        <w:t xml:space="preserve"> O.</w:t>
      </w:r>
      <w:r w:rsidRPr="00B225D5">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Human Brain Mapping,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lastRenderedPageBreak/>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Koellhoffer,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Kovalev, V. A., Kruggel, F., &amp; von Cramon,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Leonard, C. M., Towler, S., Welcome, S., Halderman, L. K., Otto, R., Eckert, M. A., &amp; Chiarello,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6A81EDE5"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10987">
        <w:rPr>
          <w:rFonts w:ascii="Ebrima" w:hAnsi="Ebrima" w:cs="Arial"/>
          <w:sz w:val="22"/>
          <w:szCs w:val="22"/>
          <w:highlight w:val="darkRed"/>
          <w:lang w:val="de-DE"/>
        </w:rPr>
        <w:t xml:space="preserve">Li, D., Karnath, H. O., &amp; Rorden, C. (2014). </w:t>
      </w:r>
      <w:r w:rsidRPr="00B10987">
        <w:rPr>
          <w:rFonts w:ascii="Ebrima" w:hAnsi="Ebrima" w:cs="Arial"/>
          <w:sz w:val="22"/>
          <w:szCs w:val="22"/>
          <w:highlight w:val="darkRed"/>
          <w:lang w:val="en-US"/>
        </w:rPr>
        <w:t xml:space="preserve">Egocentric representations of space co-exist with allocentric representations: Evidence from spatial neglect. </w:t>
      </w:r>
      <w:r w:rsidRPr="00B10987">
        <w:rPr>
          <w:rFonts w:ascii="Ebrima" w:hAnsi="Ebrima" w:cs="Arial"/>
          <w:i/>
          <w:iCs/>
          <w:sz w:val="22"/>
          <w:szCs w:val="22"/>
          <w:highlight w:val="darkRed"/>
          <w:lang w:val="de-DE"/>
        </w:rPr>
        <w:t>Cortex</w:t>
      </w:r>
      <w:r w:rsidRPr="00B10987">
        <w:rPr>
          <w:rFonts w:ascii="Ebrima" w:hAnsi="Ebrima" w:cs="Arial"/>
          <w:sz w:val="22"/>
          <w:szCs w:val="22"/>
          <w:highlight w:val="darkRed"/>
          <w:lang w:val="de-DE"/>
        </w:rPr>
        <w:t xml:space="preserve">, </w:t>
      </w:r>
      <w:r w:rsidRPr="00B10987">
        <w:rPr>
          <w:rFonts w:ascii="Ebrima" w:hAnsi="Ebrima" w:cs="Arial"/>
          <w:i/>
          <w:iCs/>
          <w:sz w:val="22"/>
          <w:szCs w:val="22"/>
          <w:highlight w:val="darkRed"/>
          <w:lang w:val="de-DE"/>
        </w:rPr>
        <w:t>58</w:t>
      </w:r>
      <w:r w:rsidRPr="00B10987">
        <w:rPr>
          <w:rFonts w:ascii="Ebrima" w:hAnsi="Ebrima" w:cs="Arial"/>
          <w:sz w:val="22"/>
          <w:szCs w:val="22"/>
          <w:highlight w:val="darkRed"/>
          <w:lang w:val="de-DE"/>
        </w:rPr>
        <w:t xml:space="preserve">, 161–169. </w:t>
      </w:r>
      <w:r w:rsidR="00D14833" w:rsidRPr="00B10987">
        <w:rPr>
          <w:rFonts w:ascii="Ebrima" w:hAnsi="Ebrima" w:cs="Arial"/>
          <w:sz w:val="22"/>
          <w:szCs w:val="22"/>
          <w:highlight w:val="darkRed"/>
          <w:lang w:val="de-DE"/>
        </w:rPr>
        <w:t>https://doi.org/10.1016/j.cortex.2014.06.012</w:t>
      </w:r>
      <w:r w:rsidR="00D14833" w:rsidRPr="00B225D5">
        <w:rPr>
          <w:rFonts w:ascii="Ebrima" w:hAnsi="Ebrima" w:cs="Arial"/>
          <w:sz w:val="22"/>
          <w:szCs w:val="22"/>
          <w:lang w:val="de-DE"/>
        </w:rPr>
        <w:t xml:space="preserve"> </w:t>
      </w:r>
    </w:p>
    <w:p w14:paraId="1213CFAE" w14:textId="7D5783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Kelley, M. H., Herson, P. S., &amp; Hurn, P. D. (2010). Neuroprotection of Sex Steroids. </w:t>
      </w:r>
      <w:r w:rsidRPr="00250B3C">
        <w:rPr>
          <w:rFonts w:ascii="Ebrima" w:hAnsi="Ebrima" w:cs="Arial"/>
          <w:i/>
          <w:iCs/>
          <w:sz w:val="22"/>
          <w:szCs w:val="22"/>
          <w:lang w:val="en-US"/>
        </w:rPr>
        <w:t>Minerva Endocrinologica</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127–143. Retrieved from </w:t>
      </w:r>
      <w:r w:rsidR="00D14833" w:rsidRPr="00747EBA">
        <w:rPr>
          <w:rFonts w:ascii="Ebrima" w:hAnsi="Ebrima" w:cs="Arial"/>
          <w:sz w:val="22"/>
          <w:szCs w:val="22"/>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Oyarzabal, E. A., Yang, R., Murphy, S. J., &amp; Hurn,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R., &amp; Yang, S. H. (2013). Window of opportunity: Estrogen as a treatment for ischemic stroke. </w:t>
      </w:r>
      <w:r w:rsidRPr="00250B3C">
        <w:rPr>
          <w:rFonts w:ascii="Ebrima" w:hAnsi="Ebrima" w:cs="Arial"/>
          <w:i/>
          <w:iCs/>
          <w:sz w:val="22"/>
          <w:szCs w:val="22"/>
          <w:lang w:val="en-US"/>
        </w:rPr>
        <w:t>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1514</w:t>
      </w:r>
      <w:r w:rsidRPr="00250B3C">
        <w:rPr>
          <w:rFonts w:ascii="Ebrima" w:hAnsi="Ebrima" w:cs="Arial"/>
          <w:sz w:val="22"/>
          <w:szCs w:val="22"/>
          <w:lang w:val="en-US"/>
        </w:rPr>
        <w:t xml:space="preserve">, 83–90. </w:t>
      </w:r>
      <w:r w:rsidR="00D14833" w:rsidRPr="00747EBA">
        <w:rPr>
          <w:rFonts w:ascii="Ebrima" w:hAnsi="Ebrima" w:cs="Arial"/>
          <w:sz w:val="22"/>
          <w:szCs w:val="22"/>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Manwani, B., Bentivegna, K., Benashski, S. E., Venna, V. R., Xu, Y., Arnold, A. P., &amp; McCullough, L. D. (2014). Sex Differences in Ischemic Stroke Sensitivity Are Influenced by Gonadal </w:t>
      </w:r>
      <w:r w:rsidRPr="00250B3C">
        <w:rPr>
          <w:rFonts w:ascii="Ebrima" w:hAnsi="Ebrima" w:cs="Arial"/>
          <w:sz w:val="22"/>
          <w:szCs w:val="22"/>
          <w:lang w:val="en-US"/>
        </w:rPr>
        <w:lastRenderedPageBreak/>
        <w:t xml:space="preserve">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60697C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Manwani, B., &amp; McCullough, L. D. (2012). Estrogen in ischaemic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r w:rsidR="00D14833" w:rsidRPr="00747EBA">
        <w:rPr>
          <w:rFonts w:ascii="Ebrima" w:hAnsi="Ebrima" w:cs="Arial"/>
          <w:sz w:val="22"/>
          <w:szCs w:val="22"/>
          <w:lang w:val="en-US"/>
        </w:rPr>
        <w:t>https://doi.org/10.1111/j.1468-1331.2012.03746.x</w:t>
      </w:r>
      <w:r w:rsidR="00D14833">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Alkayed, N. J., Traystman, R. J., Williams, M. J., &amp; Hurn, P. D. (2001). Postischemic Estrogen Reduces Hypoperfusion and Secondary Ischemia After Experimental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32</w:t>
      </w:r>
      <w:r w:rsidRPr="00250B3C">
        <w:rPr>
          <w:rFonts w:ascii="Ebrima" w:hAnsi="Ebrima" w:cs="Arial"/>
          <w:sz w:val="22"/>
          <w:szCs w:val="22"/>
          <w:lang w:val="en-US"/>
        </w:rPr>
        <w:t xml:space="preserve">(3), 796–802. </w:t>
      </w:r>
      <w:r w:rsidR="00D14833" w:rsidRPr="00747EBA">
        <w:rPr>
          <w:rFonts w:ascii="Ebrima" w:hAnsi="Ebrima" w:cs="Arial"/>
          <w:sz w:val="22"/>
          <w:szCs w:val="22"/>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Bentivegna, K., Steffens, E. B., Ritzel,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McKinlay, S. M., Brambilla, D. J., &amp; Posner, J. G. (1992). The normal menopause transition. </w:t>
      </w:r>
      <w:r w:rsidRPr="00250B3C">
        <w:rPr>
          <w:rFonts w:ascii="Ebrima" w:hAnsi="Ebrima" w:cs="Arial"/>
          <w:i/>
          <w:iCs/>
          <w:sz w:val="22"/>
          <w:szCs w:val="22"/>
          <w:lang w:val="en-US"/>
        </w:rPr>
        <w:t>Maturitas</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https://doi.org/10.1016/0378-5122(92)90003-m</w:t>
      </w:r>
      <w:r w:rsidR="00D14833">
        <w:rPr>
          <w:rFonts w:ascii="Ebrima" w:hAnsi="Ebrima" w:cs="Arial"/>
          <w:sz w:val="22"/>
          <w:szCs w:val="22"/>
          <w:lang w:val="en-US"/>
        </w:rPr>
        <w:t xml:space="preserve"> </w:t>
      </w:r>
    </w:p>
    <w:p w14:paraId="5ED60855" w14:textId="26A1EB2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Mead, L. A., &amp; Hampson, E. (1997). Turning Bias in Humans Is Influenced by Phase of the Menstrual Cycle. </w:t>
      </w:r>
      <w:r w:rsidRPr="00250B3C">
        <w:rPr>
          <w:rFonts w:ascii="Ebrima" w:hAnsi="Ebrima" w:cs="Arial"/>
          <w:i/>
          <w:iCs/>
          <w:sz w:val="22"/>
          <w:szCs w:val="22"/>
          <w:lang w:val="en-US"/>
        </w:rPr>
        <w:t>Hormones and Behavior</w:t>
      </w:r>
      <w:r w:rsidRPr="00250B3C">
        <w:rPr>
          <w:rFonts w:ascii="Ebrima" w:hAnsi="Ebrima" w:cs="Arial"/>
          <w:sz w:val="22"/>
          <w:szCs w:val="22"/>
          <w:lang w:val="en-US"/>
        </w:rPr>
        <w:t xml:space="preserve">, </w:t>
      </w:r>
      <w:r w:rsidRPr="00250B3C">
        <w:rPr>
          <w:rFonts w:ascii="Ebrima" w:hAnsi="Ebrima" w:cs="Arial"/>
          <w:i/>
          <w:iCs/>
          <w:sz w:val="22"/>
          <w:szCs w:val="22"/>
          <w:lang w:val="en-US"/>
        </w:rPr>
        <w:t>31</w:t>
      </w:r>
      <w:r w:rsidRPr="00250B3C">
        <w:rPr>
          <w:rFonts w:ascii="Ebrima" w:hAnsi="Ebrima" w:cs="Arial"/>
          <w:sz w:val="22"/>
          <w:szCs w:val="22"/>
          <w:lang w:val="en-US"/>
        </w:rPr>
        <w:t xml:space="preserve">(1), 65–74. </w:t>
      </w:r>
      <w:r w:rsidR="00D14833" w:rsidRPr="00747EBA">
        <w:rPr>
          <w:rFonts w:ascii="Ebrima" w:hAnsi="Ebrima" w:cs="Arial"/>
          <w:sz w:val="22"/>
          <w:szCs w:val="22"/>
          <w:lang w:val="en-US"/>
        </w:rPr>
        <w:t>https://doi.org/10.1006/hbeh.1997.1363</w:t>
      </w:r>
      <w:r w:rsidR="00D14833">
        <w:rPr>
          <w:rFonts w:ascii="Ebrima" w:hAnsi="Ebrima" w:cs="Arial"/>
          <w:sz w:val="22"/>
          <w:szCs w:val="22"/>
          <w:lang w:val="en-US"/>
        </w:rPr>
        <w:t xml:space="preserve"> </w:t>
      </w:r>
    </w:p>
    <w:p w14:paraId="540A80E4" w14:textId="2D7BCC1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Mesulam,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3ACDDB3A"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31FF86C4" w14:textId="04FC448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Ocklenburg, S., &amp; Güntürkün,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Reep, R. L., Corwin, J. V., Cheatwood, J. L., Van Vleet,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r w:rsidR="00D14833" w:rsidRPr="00747EBA">
        <w:rPr>
          <w:rFonts w:ascii="Ebrima" w:hAnsi="Ebrima" w:cs="Arial"/>
          <w:sz w:val="22"/>
          <w:szCs w:val="22"/>
          <w:lang w:val="en-US"/>
        </w:rPr>
        <w:t>https://doi.org/10.1016/s1474-4422(08)70193-5</w:t>
      </w:r>
      <w:r w:rsidR="00D14833">
        <w:rPr>
          <w:rFonts w:ascii="Ebrima" w:hAnsi="Ebrima" w:cs="Arial"/>
          <w:sz w:val="22"/>
          <w:szCs w:val="22"/>
          <w:lang w:val="en-US"/>
        </w:rPr>
        <w:t xml:space="preserve"> </w:t>
      </w:r>
    </w:p>
    <w:p w14:paraId="4EC0ACB1" w14:textId="6AD2129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Ritchie, S. J., Cox, S. R., Shen, X., Lombardo, M. V., Reus, L. M., Alloza, C., . . . Deary, I. J. (2018). Sex Differences in the Adult Human Brain: Evidence from 5216 UK Biobank Participants.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(8), 2959–2975. </w:t>
      </w:r>
      <w:r w:rsidR="00687332" w:rsidRPr="00747EBA">
        <w:rPr>
          <w:rFonts w:ascii="Ebrima" w:hAnsi="Ebrima" w:cs="Arial"/>
          <w:sz w:val="22"/>
          <w:szCs w:val="22"/>
          <w:highlight w:val="darkRed"/>
          <w:lang w:val="en-US"/>
        </w:rPr>
        <w:t>https://doi.org/10.1093/cercor/bhy109</w:t>
      </w:r>
    </w:p>
    <w:p w14:paraId="0287AF2E" w14:textId="5105655E"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r w:rsidRPr="00071492">
        <w:rPr>
          <w:rFonts w:ascii="Ebrima" w:hAnsi="Ebrima" w:cs="Arial"/>
          <w:sz w:val="22"/>
          <w:szCs w:val="22"/>
          <w:lang w:val="en-US"/>
        </w:rPr>
        <w:t xml:space="preserve">Röhrig, L., Sperber, C., Bonilha, L., Rorden, C., &amp; Karnath, H. O. (2022). </w:t>
      </w:r>
      <w:r w:rsidRPr="00687332">
        <w:rPr>
          <w:rFonts w:ascii="Ebrima" w:hAnsi="Ebrima" w:cs="Arial"/>
          <w:sz w:val="22"/>
          <w:szCs w:val="22"/>
        </w:rPr>
        <w:t xml:space="preserve">Right hemispheric white matter hyperintensities improve the prediction of spatial neglect severity in acute stroke. medRxiv.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lastRenderedPageBreak/>
        <w:t xml:space="preserve">Romanes, G. J. (1887). Mental Differences of Men and Women. Popular Science Monthly, 31. In Wikisource.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0D10B257"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NeuroImage,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r w:rsidRPr="00687332">
        <w:rPr>
          <w:rFonts w:ascii="Ebrima" w:hAnsi="Ebrima" w:cs="Arial"/>
          <w:sz w:val="22"/>
          <w:szCs w:val="22"/>
        </w:rPr>
        <w:t xml:space="preserve">Rorden,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10987">
        <w:rPr>
          <w:rFonts w:ascii="Ebrima" w:hAnsi="Ebrima" w:cs="Arial"/>
          <w:sz w:val="22"/>
          <w:szCs w:val="22"/>
          <w:highlight w:val="darkRed"/>
          <w:lang w:val="en-US"/>
        </w:rPr>
        <w:t xml:space="preserve">Rorden, C., Hjaltason, H., Fillmore, P., Fridriksson, J., Kjartansson, O., Magnusdottir, S., &amp; Karnath, H. O. (2012). Allocentric neglect strongly associated with egocentric neglect. </w:t>
      </w:r>
      <w:r w:rsidRPr="00B10987">
        <w:rPr>
          <w:rFonts w:ascii="Ebrima" w:hAnsi="Ebrima" w:cs="Arial"/>
          <w:i/>
          <w:iCs/>
          <w:sz w:val="22"/>
          <w:szCs w:val="22"/>
          <w:highlight w:val="darkRed"/>
          <w:lang w:val="en-US"/>
        </w:rPr>
        <w:t>Neuropsychologia</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08CA3020"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Rorden, C., &amp; Karnath, H. O. (2010). </w:t>
      </w:r>
      <w:r w:rsidRPr="002C6163">
        <w:rPr>
          <w:rFonts w:ascii="Ebrima" w:hAnsi="Ebrima" w:cs="Arial"/>
          <w:sz w:val="22"/>
          <w:szCs w:val="22"/>
          <w:lang w:val="en-US"/>
        </w:rPr>
        <w:t xml:space="preserve">A simple measure of neglect severity. Neuropsychologia,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Rupprecht, R. (2003). Neuroactive steroids: mechanisms of action and neuropsychopharmacological properties. </w:t>
      </w:r>
      <w:r w:rsidRPr="00B225D5">
        <w:rPr>
          <w:rFonts w:ascii="Ebrima" w:hAnsi="Ebrima" w:cs="Arial"/>
          <w:i/>
          <w:iCs/>
          <w:sz w:val="22"/>
          <w:szCs w:val="22"/>
          <w:lang w:val="de-DE"/>
        </w:rPr>
        <w:t>Psychoneuroendocrinology</w:t>
      </w:r>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r w:rsidR="00D14833" w:rsidRPr="00747EBA">
        <w:rPr>
          <w:rFonts w:ascii="Ebrima" w:hAnsi="Ebrima" w:cs="Arial"/>
          <w:sz w:val="22"/>
          <w:szCs w:val="22"/>
          <w:lang w:val="de-DE"/>
        </w:rPr>
        <w:t>https://doi.org/10.1016/s0306-4530(02)00064-1</w:t>
      </w:r>
      <w:r w:rsidR="00D14833" w:rsidRPr="00B225D5">
        <w:rPr>
          <w:rFonts w:ascii="Ebrima" w:hAnsi="Ebrima" w:cs="Arial"/>
          <w:sz w:val="22"/>
          <w:szCs w:val="22"/>
          <w:lang w:val="de-DE"/>
        </w:rPr>
        <w:t xml:space="preserve"> </w:t>
      </w:r>
    </w:p>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Okon-Singer, H., Gotowiec, S., &amp; Villringer,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4B40389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r w:rsidRPr="00250B3C">
        <w:rPr>
          <w:rFonts w:ascii="Ebrima" w:hAnsi="Ebrima" w:cs="Arial"/>
          <w:sz w:val="22"/>
          <w:szCs w:val="22"/>
          <w:lang w:val="en-US"/>
        </w:rPr>
        <w:t xml:space="preserve">Saxena, S., Keser, Z., Rorden, C., Bonilha, L., Fridriksson, J., Walker, A., &amp; Hillis, A. E. (2022). Disruptions of the Human Connectome Associated With Hemispatial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rPr>
        <w:t xml:space="preserve">Schölkopf, B., Platt, J. C., Shawe-Taylor, J., Smola,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2D3712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Furie, K. L. (2010). Gender Differences in Outcomes after Ischemic Stroke: Role of Ischemic Lesion Volume </w:t>
      </w:r>
      <w:r w:rsidRPr="00250B3C">
        <w:rPr>
          <w:rFonts w:ascii="Ebrima" w:hAnsi="Ebrima" w:cs="Arial"/>
          <w:sz w:val="22"/>
          <w:szCs w:val="22"/>
          <w:lang w:val="en-US"/>
        </w:rPr>
        <w:lastRenderedPageBreak/>
        <w:t xml:space="preserve">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Sohrabji, F., Park, M. J., &amp; Mahnke,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2A1B0946" w14:textId="2CCF46ED"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Kan,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r w:rsidR="002C6163" w:rsidRPr="00747EBA">
        <w:rPr>
          <w:rFonts w:ascii="Ebrima" w:hAnsi="Ebrima" w:cs="Arial"/>
          <w:sz w:val="22"/>
          <w:szCs w:val="22"/>
          <w:highlight w:val="darkRed"/>
          <w:lang w:val="en-US"/>
        </w:rPr>
        <w:t>https://doi.org/10.1093/cercor/bhl066</w:t>
      </w:r>
    </w:p>
    <w:p w14:paraId="3E1DFF18" w14:textId="299E69AD"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en-US"/>
        </w:rPr>
        <w:t xml:space="preserve">Sperber, C., &amp; Karnath, H. O. (2017). 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6AAF3E1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Donnan,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r w:rsidR="00D14833" w:rsidRPr="00747EBA">
        <w:rPr>
          <w:rFonts w:ascii="Ebrima" w:hAnsi="Ebrima" w:cs="Arial"/>
          <w:sz w:val="22"/>
          <w:szCs w:val="22"/>
          <w:lang w:val="en-US"/>
        </w:rPr>
        <w:t>https://doi.org/10.1161/01.str.0000141977.18520.3b</w:t>
      </w:r>
      <w:r w:rsidR="00D14833">
        <w:rPr>
          <w:rFonts w:ascii="Ebrima" w:hAnsi="Ebrima" w:cs="Arial"/>
          <w:sz w:val="22"/>
          <w:szCs w:val="22"/>
          <w:lang w:val="en-US"/>
        </w:rPr>
        <w:t xml:space="preserve"> </w:t>
      </w:r>
    </w:p>
    <w:p w14:paraId="62748640" w14:textId="6D5549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Swaab, D., &amp; Hofman,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3EDA103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071492">
        <w:rPr>
          <w:rFonts w:ascii="Ebrima" w:hAnsi="Ebrima" w:cs="Arial"/>
          <w:sz w:val="22"/>
          <w:szCs w:val="22"/>
          <w:highlight w:val="darkRed"/>
          <w:lang w:val="de-DE"/>
        </w:rPr>
        <w:t xml:space="preserve">Tan, A., Ma, W., Vira, A., Marwha, D., &amp; Eliot, L. (2016). </w:t>
      </w:r>
      <w:r w:rsidRPr="00FC0A12">
        <w:rPr>
          <w:rFonts w:ascii="Ebrima" w:hAnsi="Ebrima" w:cs="Arial"/>
          <w:sz w:val="22"/>
          <w:szCs w:val="22"/>
          <w:highlight w:val="darkRed"/>
          <w:lang w:val="en-US"/>
        </w:rPr>
        <w:t xml:space="preserve">The human hippocampus is not sexually-dimorphic: Meta-analysis of structural MRI volumes. </w:t>
      </w:r>
      <w:r w:rsidRPr="00FC0A12">
        <w:rPr>
          <w:rFonts w:ascii="Ebrima" w:hAnsi="Ebrima" w:cs="Arial"/>
          <w:i/>
          <w:iCs/>
          <w:sz w:val="22"/>
          <w:szCs w:val="22"/>
          <w:highlight w:val="darkRed"/>
          <w:lang w:val="de-DE"/>
        </w:rPr>
        <w:t>NeuroImage</w:t>
      </w:r>
      <w:r w:rsidRPr="00FC0A12">
        <w:rPr>
          <w:rFonts w:ascii="Ebrima" w:hAnsi="Ebrima" w:cs="Arial"/>
          <w:sz w:val="22"/>
          <w:szCs w:val="22"/>
          <w:highlight w:val="darkRed"/>
          <w:lang w:val="de-DE"/>
        </w:rPr>
        <w:t xml:space="preserve">, </w:t>
      </w:r>
      <w:r w:rsidRPr="00FC0A12">
        <w:rPr>
          <w:rFonts w:ascii="Ebrima" w:hAnsi="Ebrima" w:cs="Arial"/>
          <w:i/>
          <w:iCs/>
          <w:sz w:val="22"/>
          <w:szCs w:val="22"/>
          <w:highlight w:val="darkRed"/>
          <w:lang w:val="de-DE"/>
        </w:rPr>
        <w:t>124</w:t>
      </w:r>
      <w:r w:rsidRPr="00FC0A12">
        <w:rPr>
          <w:rFonts w:ascii="Ebrima" w:hAnsi="Ebrima" w:cs="Arial"/>
          <w:sz w:val="22"/>
          <w:szCs w:val="22"/>
          <w:highlight w:val="darkRed"/>
          <w:lang w:val="de-DE"/>
        </w:rPr>
        <w:t xml:space="preserve">, 350–366. </w:t>
      </w:r>
      <w:r w:rsidR="00D14833" w:rsidRPr="00747EBA">
        <w:rPr>
          <w:rFonts w:ascii="Ebrima" w:hAnsi="Ebrima" w:cs="Arial"/>
          <w:sz w:val="22"/>
          <w:szCs w:val="22"/>
          <w:highlight w:val="darkRed"/>
          <w:lang w:val="de-DE"/>
        </w:rPr>
        <w:t>https://doi.org/10.1016/j.neuroimage.2015.08.050</w:t>
      </w:r>
      <w:r w:rsidR="00D14833">
        <w:rPr>
          <w:rFonts w:ascii="Ebrima" w:hAnsi="Ebrima" w:cs="Arial"/>
          <w:sz w:val="22"/>
          <w:szCs w:val="22"/>
          <w:lang w:val="de-DE"/>
        </w:rPr>
        <w:t xml:space="preserve"> </w:t>
      </w:r>
    </w:p>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Ten Brink, A. F., Verwer, J. H., Biesbroek, J. M., Visser-Meily, J. M. A., &amp; Nijboer,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5E16A489"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r w:rsidR="00D14833" w:rsidRPr="00747EBA">
        <w:rPr>
          <w:rFonts w:ascii="Ebrima" w:hAnsi="Ebrima" w:cs="Arial"/>
          <w:sz w:val="22"/>
          <w:szCs w:val="22"/>
          <w:lang w:val="en-US"/>
        </w:rPr>
        <w:t>https://doi.org/10.1093/cercor/bhs351</w:t>
      </w:r>
      <w:r w:rsidR="00D14833" w:rsidRPr="00B225D5">
        <w:rPr>
          <w:rFonts w:ascii="Ebrima" w:hAnsi="Ebrima" w:cs="Arial"/>
          <w:sz w:val="22"/>
          <w:szCs w:val="22"/>
          <w:lang w:val="en-US"/>
        </w:rPr>
        <w:t xml:space="preserve"> </w:t>
      </w:r>
    </w:p>
    <w:p w14:paraId="343E8DC0" w14:textId="6251E7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lastRenderedPageBreak/>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Vaessen, M. J., Saj, A., Lovblad, K. O., Gschwind, M., &amp; Vuilleumier,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Varnava,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Verdon, V., Schwartz, S., Lovblad, K. O., Hauert, C. A., &amp; Vuilleumier, P. (2009). </w:t>
      </w:r>
      <w:r w:rsidRPr="00250B3C">
        <w:rPr>
          <w:rFonts w:ascii="Ebrima" w:hAnsi="Ebrima" w:cs="Arial"/>
          <w:sz w:val="22"/>
          <w:szCs w:val="22"/>
          <w:lang w:val="en-US"/>
        </w:rPr>
        <w:t xml:space="preserve">Neuroanatomy of hemispatial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Voyer, D. (1996). On the Magnitude of Laterality Effects and Sex Differences in Functional Lateralities.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Voyer, D., Voyer,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Wee, J. Y. M., &amp; Hopman,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Mental state assessment of the young and elderly adults in behavioral neurology. In M. M. Mesulam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Wise, P. M., Dubal, D. B., Wilson, M. E., Rau, S. W., Böttner, M., &amp; Rosewell, K. L. (2001). Estradiol is a protective factor in the adult and aging brain: understanding of mechanisms derived from in vivo and in vitro studies. </w:t>
      </w:r>
      <w:r w:rsidRPr="00250B3C">
        <w:rPr>
          <w:rFonts w:ascii="Ebrima" w:hAnsi="Ebrima" w:cs="Arial"/>
          <w:i/>
          <w:iCs/>
          <w:sz w:val="22"/>
          <w:szCs w:val="22"/>
          <w:lang w:val="en-US"/>
        </w:rPr>
        <w:t>Brain Research Reviews</w:t>
      </w:r>
      <w:r w:rsidRPr="00250B3C">
        <w:rPr>
          <w:rFonts w:ascii="Ebrima" w:hAnsi="Ebrima" w:cs="Arial"/>
          <w:sz w:val="22"/>
          <w:szCs w:val="22"/>
          <w:lang w:val="en-US"/>
        </w:rPr>
        <w:t xml:space="preserve">, </w:t>
      </w:r>
      <w:r w:rsidRPr="00250B3C">
        <w:rPr>
          <w:rFonts w:ascii="Ebrima" w:hAnsi="Ebrima" w:cs="Arial"/>
          <w:i/>
          <w:iCs/>
          <w:sz w:val="22"/>
          <w:szCs w:val="22"/>
          <w:lang w:val="en-US"/>
        </w:rPr>
        <w:t>37</w:t>
      </w:r>
      <w:r w:rsidRPr="00250B3C">
        <w:rPr>
          <w:rFonts w:ascii="Ebrima" w:hAnsi="Ebrima" w:cs="Arial"/>
          <w:sz w:val="22"/>
          <w:szCs w:val="22"/>
          <w:lang w:val="en-US"/>
        </w:rPr>
        <w:t xml:space="preserve">(1–3), 313–319. </w:t>
      </w:r>
      <w:r w:rsidR="00D14833" w:rsidRPr="00747EBA">
        <w:rPr>
          <w:rFonts w:ascii="Ebrima" w:hAnsi="Ebrima" w:cs="Arial"/>
          <w:sz w:val="22"/>
          <w:szCs w:val="22"/>
          <w:lang w:val="en-US"/>
        </w:rPr>
        <w:t>https://doi.org/10.1016/s0165-0173(01)00136-9</w:t>
      </w:r>
      <w:r w:rsidR="00D14833">
        <w:rPr>
          <w:rFonts w:ascii="Ebrima" w:hAnsi="Ebrima" w:cs="Arial"/>
          <w:sz w:val="22"/>
          <w:szCs w:val="22"/>
          <w:lang w:val="en-US"/>
        </w:rPr>
        <w:t xml:space="preserve"> </w:t>
      </w:r>
    </w:p>
    <w:p w14:paraId="44E60B69" w14:textId="1B348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Sexually-dimorphic patterns of cortical asymmetry, and the role for sex steroid hormones in determining cortical patterns of lateralization. </w:t>
      </w:r>
      <w:r w:rsidRPr="00250B3C">
        <w:rPr>
          <w:rFonts w:ascii="Ebrima" w:hAnsi="Ebrima" w:cs="Arial"/>
          <w:i/>
          <w:iCs/>
          <w:sz w:val="22"/>
          <w:szCs w:val="22"/>
          <w:lang w:val="en-US"/>
        </w:rPr>
        <w:t>Psychoneuroendocrinology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https://doi.org/10.1016/s0306-4530(98)00019-5</w:t>
      </w:r>
      <w:r w:rsidR="00D14833">
        <w:rPr>
          <w:rFonts w:ascii="Ebrima" w:hAnsi="Ebrima" w:cs="Arial"/>
          <w:sz w:val="22"/>
          <w:szCs w:val="22"/>
          <w:lang w:val="en-US"/>
        </w:rPr>
        <w:t xml:space="preserve"> </w:t>
      </w:r>
    </w:p>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4EDF6A64" w:rsidR="00275F68" w:rsidRPr="00D2724E"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Wu, O., Cloonan, L., Mocking, S. J., Bouts, M. J., Copen, W. A., Cougo-Pinto, P. T., . . . Rost,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Cloonan, L., Mocking, S. J., Bouts, M. J., Copen, W. A., Cougo-Pinto, P. T., . . . Rost,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t xml:space="preserve">Yan, C., Gong, G., Wang, J., Wang, D., Liu, D., Zhu, C., . . .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980B66">
        <w:rPr>
          <w:rFonts w:ascii="Ebrima" w:hAnsi="Ebrima" w:cs="Arial"/>
          <w:sz w:val="22"/>
          <w:szCs w:val="22"/>
          <w:lang w:val="en-US"/>
        </w:rPr>
        <w:t xml:space="preserve">Yeh, F. C., Panesar, S., Fernandes, D., Meola, A., Yoshino, M., Fernandez-Miranda, J. C., . . . </w:t>
      </w:r>
      <w:r w:rsidRPr="002C6163">
        <w:rPr>
          <w:rFonts w:ascii="Ebrima" w:hAnsi="Ebrima" w:cs="Arial"/>
          <w:sz w:val="22"/>
          <w:szCs w:val="22"/>
          <w:lang w:val="en-US"/>
        </w:rPr>
        <w:t xml:space="preserve">Verstynen, T. (2018). Population-averaged atlas of the macroscale human structural connectome and its network topology. </w:t>
      </w:r>
      <w:r w:rsidRPr="0065070A">
        <w:rPr>
          <w:rFonts w:ascii="Ebrima" w:hAnsi="Ebrima" w:cs="Arial"/>
          <w:sz w:val="22"/>
          <w:szCs w:val="22"/>
          <w:lang w:val="de-DE"/>
        </w:rPr>
        <w:t xml:space="preserve">NeuroImage,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Krizan, Z., &amp; Teeter, S. R. (2015). Evaluating gender similarities and differences using metasynthesis.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53" w:name="_Toc116064628"/>
      <w:r w:rsidRPr="004345A1">
        <w:rPr>
          <w:b w:val="0"/>
        </w:rPr>
        <w:lastRenderedPageBreak/>
        <w:t>Ack</w:t>
      </w:r>
      <w:r>
        <w:rPr>
          <w:b w:val="0"/>
        </w:rPr>
        <w:t>nowledgements</w:t>
      </w:r>
      <w:bookmarkEnd w:id="53"/>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Röhrig and Stefan Smaczny. </w:t>
      </w:r>
    </w:p>
    <w:p w14:paraId="52A282AF" w14:textId="2AB782F0" w:rsidR="00B2219D" w:rsidRDefault="00B2219D" w:rsidP="00C364E0">
      <w:r>
        <w:t>[prof dr dr Karnath &amp; prof dr derntl for supporting this project]</w:t>
      </w:r>
    </w:p>
    <w:p w14:paraId="07C973E0" w14:textId="7957033C" w:rsidR="00B2219D" w:rsidRDefault="00B2219D" w:rsidP="00C364E0">
      <w:r>
        <w:t>[PD Dr. Axel Lindner for inspiring the topic of this thesis with the talk he gave as a lab meeting at the end of last year]</w:t>
      </w:r>
    </w:p>
    <w:p w14:paraId="2F07463C" w14:textId="77777777" w:rsidR="00B2219D" w:rsidRDefault="00B2219D" w:rsidP="00C364E0">
      <w:r>
        <w:t>[the entire lab, my colleagues: Hannah Rosenzopf, Sofia Wöhrstein, Britta Stammler]</w:t>
      </w:r>
    </w:p>
    <w:p w14:paraId="39CC1DBA" w14:textId="127B6435" w:rsidR="004345A1" w:rsidRPr="004345A1" w:rsidRDefault="00B2219D" w:rsidP="00C364E0">
      <w:pPr>
        <w:rPr>
          <w:rFonts w:eastAsiaTheme="majorEastAsia"/>
        </w:rPr>
      </w:pPr>
      <w:r>
        <w:t>[special thanks to my friend</w:t>
      </w:r>
      <w:r w:rsidR="0075334E">
        <w:t>s</w:t>
      </w:r>
      <w:r>
        <w:t xml:space="preserve"> Hannah Terborg (Aalto University, Finland)</w:t>
      </w:r>
      <w:r w:rsidR="0075334E">
        <w:t xml:space="preserve"> and Nina Gottschewsky (Graduate Training Centre for Neuroscience, Tübingen)</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54" w:name="_Toc116064629"/>
      <w:r>
        <w:rPr>
          <w:b w:val="0"/>
        </w:rPr>
        <w:lastRenderedPageBreak/>
        <w:t>Data Usage Statement</w:t>
      </w:r>
      <w:bookmarkEnd w:id="54"/>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r>
        <w:t>Röhrig, L.</w:t>
      </w:r>
      <w:r w:rsidR="00105A79">
        <w:t xml:space="preserve"> (2022). </w:t>
      </w:r>
      <w:r w:rsidR="00105A79" w:rsidRPr="00105A79">
        <w:t>Dataset for: Right hemispheric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55" w:name="_Toc116064630"/>
      <w:r>
        <w:rPr>
          <w:b w:val="0"/>
          <w:bCs w:val="0"/>
        </w:rPr>
        <w:lastRenderedPageBreak/>
        <w:t>Appendix</w:t>
      </w:r>
      <w:bookmarkEnd w:id="55"/>
    </w:p>
    <w:p w14:paraId="147D8AAF" w14:textId="77777777" w:rsidR="00F76B93" w:rsidRPr="00F76B93" w:rsidRDefault="00F76B93" w:rsidP="00F76B93"/>
    <w:p w14:paraId="2CAAA965" w14:textId="117401E9" w:rsidR="0089785B" w:rsidRDefault="00D91FE5" w:rsidP="00F76B93">
      <w:pPr>
        <w:pStyle w:val="berschrift3"/>
      </w:pPr>
      <w:bookmarkStart w:id="56" w:name="_Toc116064631"/>
      <w:r>
        <w:t>Appendix</w:t>
      </w:r>
      <w:r w:rsidR="00F76B93">
        <w:t xml:space="preserve"> A: List of Abbreviations</w:t>
      </w:r>
      <w:bookmarkEnd w:id="56"/>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235BF2" w14:paraId="75C775F7" w14:textId="77777777" w:rsidTr="00F76B93">
        <w:tc>
          <w:tcPr>
            <w:tcW w:w="4531" w:type="dxa"/>
          </w:tcPr>
          <w:p w14:paraId="402FF27B" w14:textId="77777777" w:rsidR="00235BF2" w:rsidRDefault="00235BF2" w:rsidP="00F76B93">
            <w:r w:rsidRPr="00235BF2">
              <w:rPr>
                <w:color w:val="FF0000"/>
              </w:rPr>
              <w:t>FA</w:t>
            </w:r>
          </w:p>
        </w:tc>
        <w:tc>
          <w:tcPr>
            <w:tcW w:w="4531" w:type="dxa"/>
          </w:tcPr>
          <w:p w14:paraId="0A7641D0" w14:textId="77777777" w:rsidR="00235BF2" w:rsidRDefault="00235BF2" w:rsidP="00F76B93">
            <w:r w:rsidRPr="00235BF2">
              <w:rPr>
                <w:color w:val="FF0000"/>
              </w:rPr>
              <w:t>Functional Anisotropy</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5E813FBE" w14:textId="77777777" w:rsidTr="00F76B93">
        <w:tc>
          <w:tcPr>
            <w:tcW w:w="4531" w:type="dxa"/>
          </w:tcPr>
          <w:p w14:paraId="56BAEBCD" w14:textId="77777777" w:rsidR="00235BF2" w:rsidRPr="00A94D57" w:rsidRDefault="00235BF2" w:rsidP="00F76B93">
            <w:r w:rsidRPr="00A94D57">
              <w:t>HCP</w:t>
            </w:r>
          </w:p>
        </w:tc>
        <w:tc>
          <w:tcPr>
            <w:tcW w:w="4531" w:type="dxa"/>
          </w:tcPr>
          <w:p w14:paraId="5BF4EEFD" w14:textId="77777777" w:rsidR="00235BF2" w:rsidRPr="00A94D57" w:rsidRDefault="00235BF2" w:rsidP="00F76B93">
            <w:pPr>
              <w:rPr>
                <w:lang w:val="en-US"/>
              </w:rPr>
            </w:pPr>
            <w:r w:rsidRPr="00A94D57">
              <w:rPr>
                <w:lang w:val="en-US"/>
              </w:rPr>
              <w:t>Human Connectome Project</w:t>
            </w:r>
          </w:p>
        </w:tc>
      </w:tr>
      <w:tr w:rsidR="00235BF2" w14:paraId="44EA6C92" w14:textId="77777777" w:rsidTr="00F76B93">
        <w:tc>
          <w:tcPr>
            <w:tcW w:w="4531" w:type="dxa"/>
          </w:tcPr>
          <w:p w14:paraId="1F774214" w14:textId="77777777" w:rsidR="00235BF2" w:rsidRPr="007D182A" w:rsidRDefault="00235BF2" w:rsidP="00F76B93">
            <w:pPr>
              <w:rPr>
                <w:color w:val="FFC000"/>
              </w:rPr>
            </w:pPr>
            <w:r w:rsidRPr="007D182A">
              <w:rPr>
                <w:color w:val="FFC000"/>
              </w:rPr>
              <w:t>IOF</w:t>
            </w:r>
          </w:p>
        </w:tc>
        <w:tc>
          <w:tcPr>
            <w:tcW w:w="4531" w:type="dxa"/>
          </w:tcPr>
          <w:p w14:paraId="3D2EBBE1" w14:textId="77777777" w:rsidR="00235BF2" w:rsidRPr="007D182A" w:rsidRDefault="00235BF2" w:rsidP="00F76B93">
            <w:pPr>
              <w:rPr>
                <w:color w:val="FFC000"/>
              </w:rPr>
            </w:pPr>
            <w:r w:rsidRPr="007D182A">
              <w:rPr>
                <w:color w:val="FFC000"/>
              </w:rPr>
              <w:t>Inferior Occipitofrontal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4C2A29F8" w14:textId="77777777" w:rsidTr="00F76B93">
        <w:tc>
          <w:tcPr>
            <w:tcW w:w="4531" w:type="dxa"/>
          </w:tcPr>
          <w:p w14:paraId="59C76649" w14:textId="77777777" w:rsidR="00235BF2" w:rsidRPr="00235BF2" w:rsidRDefault="00235BF2" w:rsidP="00F76B93">
            <w:pPr>
              <w:rPr>
                <w:color w:val="FF0000"/>
              </w:rPr>
            </w:pPr>
            <w:r w:rsidRPr="00235BF2">
              <w:rPr>
                <w:color w:val="FF0000"/>
              </w:rPr>
              <w:t>MD</w:t>
            </w:r>
          </w:p>
        </w:tc>
        <w:tc>
          <w:tcPr>
            <w:tcW w:w="4531" w:type="dxa"/>
          </w:tcPr>
          <w:p w14:paraId="51ABF02F" w14:textId="77777777" w:rsidR="00235BF2" w:rsidRPr="00235BF2" w:rsidRDefault="00235BF2" w:rsidP="00F76B93">
            <w:pPr>
              <w:rPr>
                <w:color w:val="FF0000"/>
              </w:rPr>
            </w:pPr>
            <w:r w:rsidRPr="00235BF2">
              <w:rPr>
                <w:color w:val="FF0000"/>
              </w:rPr>
              <w:t>Mean Diffusivity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7D182A" w:rsidRDefault="00235BF2" w:rsidP="00F76B93">
            <w:pPr>
              <w:rPr>
                <w:color w:val="FFC000"/>
              </w:rPr>
            </w:pPr>
            <w:r w:rsidRPr="007D182A">
              <w:rPr>
                <w:color w:val="FFC000"/>
              </w:rPr>
              <w:t>SLF</w:t>
            </w:r>
          </w:p>
        </w:tc>
        <w:tc>
          <w:tcPr>
            <w:tcW w:w="4531" w:type="dxa"/>
          </w:tcPr>
          <w:p w14:paraId="023826E4" w14:textId="77777777" w:rsidR="00235BF2" w:rsidRPr="007D182A" w:rsidRDefault="00235BF2" w:rsidP="00F76B93">
            <w:pPr>
              <w:rPr>
                <w:color w:val="FFC000"/>
              </w:rPr>
            </w:pPr>
            <w:r w:rsidRPr="007D182A">
              <w:rPr>
                <w:color w:val="FFC000"/>
              </w:rPr>
              <w:t>Superior Longitudinal Fasciculus</w:t>
            </w:r>
          </w:p>
        </w:tc>
      </w:tr>
      <w:tr w:rsidR="00235BF2" w14:paraId="1352629A" w14:textId="77777777" w:rsidTr="00F76B93">
        <w:tc>
          <w:tcPr>
            <w:tcW w:w="4531" w:type="dxa"/>
          </w:tcPr>
          <w:p w14:paraId="7A8211AA" w14:textId="77777777" w:rsidR="00235BF2" w:rsidRPr="007D182A" w:rsidRDefault="00235BF2" w:rsidP="00F76B93">
            <w:pPr>
              <w:rPr>
                <w:color w:val="FFC000"/>
              </w:rPr>
            </w:pPr>
            <w:r w:rsidRPr="007D182A">
              <w:rPr>
                <w:color w:val="FFC000"/>
              </w:rPr>
              <w:t>SOF</w:t>
            </w:r>
          </w:p>
        </w:tc>
        <w:tc>
          <w:tcPr>
            <w:tcW w:w="4531" w:type="dxa"/>
          </w:tcPr>
          <w:p w14:paraId="6AECA3BC" w14:textId="77777777" w:rsidR="00235BF2" w:rsidRPr="007D182A" w:rsidRDefault="00235BF2" w:rsidP="00F76B93">
            <w:pPr>
              <w:rPr>
                <w:color w:val="FFC000"/>
              </w:rPr>
            </w:pPr>
            <w:r w:rsidRPr="007D182A">
              <w:rPr>
                <w:color w:val="FFC000"/>
              </w:rPr>
              <w:t>Superior Occipitofrontal Fascicle</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r w:rsidRPr="007D182A">
              <w:rPr>
                <w:color w:val="FFC000"/>
              </w:rPr>
              <w:t>vlPFC</w:t>
            </w:r>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57" w:name="_Toc116064632"/>
      <w:r>
        <w:lastRenderedPageBreak/>
        <w:t>Appendix</w:t>
      </w:r>
      <w:r w:rsidR="00AE3409">
        <w:t xml:space="preserve"> B: </w:t>
      </w:r>
      <w:r>
        <w:t>Supplementary</w:t>
      </w:r>
      <w:r w:rsidR="00AE3409">
        <w:t xml:space="preserve"> Tables and </w:t>
      </w:r>
      <w:r>
        <w:t>Figure</w:t>
      </w:r>
      <w:r w:rsidR="008F1B24">
        <w:t>s</w:t>
      </w:r>
      <w:bookmarkEnd w:id="57"/>
    </w:p>
    <w:p w14:paraId="5317A780" w14:textId="4BAFC5F3" w:rsidR="00AE3409" w:rsidRDefault="00D91FE5" w:rsidP="0089785B">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tbl>
    <w:p w14:paraId="52C50F03" w14:textId="6CDDB716" w:rsidR="00944DA2" w:rsidRDefault="00944DA2" w:rsidP="0089785B"/>
    <w:p w14:paraId="10C5AE65" w14:textId="3BB29AD1" w:rsidR="00944DA2" w:rsidRDefault="00D91FE5" w:rsidP="0089785B">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77777777" w:rsidR="00071492" w:rsidRDefault="00E43438" w:rsidP="0089785B">
      <w:pPr>
        <w:rPr>
          <w:sz w:val="18"/>
          <w:szCs w:val="18"/>
          <w:lang w:val="en-US"/>
        </w:rPr>
      </w:pPr>
      <w:r>
        <w:br/>
      </w:r>
      <w:r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Pr="00A91C22">
        <w:rPr>
          <w:sz w:val="18"/>
          <w:szCs w:val="18"/>
          <w:vertAlign w:val="superscript"/>
          <w:lang w:val="en-US"/>
        </w:rPr>
        <w:t xml:space="preserve">2 </w:t>
      </w:r>
      <w:r w:rsidRPr="00A91C22">
        <w:rPr>
          <w:sz w:val="18"/>
          <w:szCs w:val="18"/>
          <w:lang w:val="en-US"/>
        </w:rPr>
        <w:t xml:space="preserve">test (‘b’, for categorical variables)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sidRPr="00A91C22">
        <w:rPr>
          <w:sz w:val="18"/>
          <w:szCs w:val="18"/>
          <w:lang w:val="en-US"/>
        </w:rPr>
        <w:br/>
        <w:t xml:space="preserve">Abbreviations: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A91C22">
        <w:rPr>
          <w:i/>
          <w:iCs/>
          <w:sz w:val="18"/>
          <w:szCs w:val="18"/>
          <w:lang w:val="en-US"/>
        </w:rPr>
        <w:t>CoC</w:t>
      </w:r>
      <w:r w:rsidRPr="00A91C22">
        <w:rPr>
          <w:sz w:val="18"/>
          <w:szCs w:val="18"/>
          <w:lang w:val="en-US"/>
        </w:rPr>
        <w:t xml:space="preserve"> – Centre of Cancellation (</w:t>
      </w:r>
      <w:r w:rsidRPr="00747EBA">
        <w:rPr>
          <w:sz w:val="18"/>
          <w:szCs w:val="18"/>
          <w:lang w:val="en-US"/>
        </w:rPr>
        <w:t>Rorden &amp; Karnath, 2010</w:t>
      </w:r>
      <w:r>
        <w:rPr>
          <w:sz w:val="18"/>
          <w:szCs w:val="18"/>
          <w:lang w:val="en-US"/>
        </w:rPr>
        <w:t>)</w:t>
      </w:r>
      <w:r w:rsidR="00A7162F">
        <w:rPr>
          <w:sz w:val="18"/>
          <w:szCs w:val="18"/>
          <w:lang w:val="en-US"/>
        </w:rPr>
        <w:tab/>
      </w:r>
    </w:p>
    <w:p w14:paraId="3955CF96" w14:textId="2E3BAE78" w:rsidR="00A72E7A" w:rsidRPr="00A161AB" w:rsidRDefault="00CE2208" w:rsidP="0089785B">
      <w:pPr>
        <w:rPr>
          <w:sz w:val="18"/>
          <w:szCs w:val="18"/>
          <w:lang w:val="en-US"/>
        </w:rPr>
      </w:pPr>
      <w:r>
        <w:rPr>
          <w:sz w:val="18"/>
          <w:szCs w:val="18"/>
          <w:lang w:val="en-US"/>
        </w:rPr>
        <w:br/>
      </w:r>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p w14:paraId="69169D0B" w14:textId="77777777" w:rsidR="00CE2208" w:rsidRDefault="00CE2208" w:rsidP="0089785B">
      <w:pPr>
        <w:rPr>
          <w:b/>
          <w:bCs/>
        </w:rPr>
      </w:pPr>
    </w:p>
    <w:p w14:paraId="1ECA4B35" w14:textId="0670F577" w:rsidR="00E13A04" w:rsidRPr="009C731D" w:rsidRDefault="00DF45C5" w:rsidP="00E13A04">
      <w:r w:rsidRPr="00930AD5">
        <w:rPr>
          <w:b/>
          <w:bCs/>
        </w:rPr>
        <w:lastRenderedPageBreak/>
        <w:t>Supplementary Table 2b:</w:t>
      </w:r>
      <w:r>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76FEA7D0" w14:textId="69787ED4" w:rsidR="00CE2208" w:rsidRDefault="00930AD5" w:rsidP="0089785B">
      <w:pPr>
        <w:rPr>
          <w:rStyle w:val="Hyperlink"/>
          <w:rFonts w:ascii="Ebrima" w:hAnsi="Ebrima"/>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r w:rsidR="00D91FE5" w:rsidRPr="00747EBA">
        <w:rPr>
          <w:sz w:val="18"/>
          <w:szCs w:val="18"/>
          <w:lang w:val="en-US"/>
        </w:rPr>
        <w:t>Appendix</w:t>
      </w:r>
      <w:r w:rsidR="00EC203E" w:rsidRPr="00747EBA">
        <w:rPr>
          <w:sz w:val="18"/>
          <w:szCs w:val="18"/>
          <w:lang w:val="en-US"/>
        </w:rPr>
        <w:t xml:space="preserve"> A.</w:t>
      </w:r>
    </w:p>
    <w:p w14:paraId="5A0E4C7C" w14:textId="162D27DA" w:rsidR="00CE2208" w:rsidRDefault="00CE2208" w:rsidP="00CE2208">
      <w:r>
        <w:rPr>
          <w:rStyle w:val="Hyperlink"/>
          <w:rFonts w:ascii="Ebrima" w:hAnsi="Ebrima"/>
          <w:sz w:val="18"/>
          <w:szCs w:val="18"/>
          <w:lang w:val="en-US"/>
        </w:rPr>
        <w:br/>
      </w:r>
      <w:r>
        <w:rPr>
          <w:b/>
          <w:bCs/>
        </w:rPr>
        <w:t>Supplementary Table 3</w:t>
      </w:r>
      <w:r w:rsidRPr="00335A09">
        <w:rPr>
          <w:b/>
          <w:bCs/>
        </w:rPr>
        <w:t xml:space="preserve">: </w:t>
      </w:r>
      <w:r>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p w14:paraId="1BD79076" w14:textId="77777777" w:rsidR="00A7162F" w:rsidRDefault="00A7162F">
      <w:pPr>
        <w:rPr>
          <w:b/>
        </w:rPr>
      </w:pPr>
      <w:r>
        <w:rPr>
          <w:b/>
        </w:rPr>
        <w:br w:type="page"/>
      </w:r>
    </w:p>
    <w:p w14:paraId="4DDD5654" w14:textId="3CE0EC57" w:rsidR="008F1B24" w:rsidRDefault="00D91FE5" w:rsidP="0089785B">
      <w:r>
        <w:rPr>
          <w:b/>
        </w:rPr>
        <w:lastRenderedPageBreak/>
        <w:t>Supplementary</w:t>
      </w:r>
      <w:r w:rsidR="007700C1" w:rsidRPr="0009277F">
        <w:rPr>
          <w:b/>
        </w:rPr>
        <w:t xml:space="preserve"> </w:t>
      </w:r>
      <w:r>
        <w:rPr>
          <w:b/>
        </w:rPr>
        <w:t>Table</w:t>
      </w:r>
      <w:r w:rsidR="007700C1" w:rsidRPr="0009277F">
        <w:rPr>
          <w:b/>
        </w:rPr>
        <w:t xml:space="preserve"> </w:t>
      </w:r>
      <w:r w:rsidR="00CE2208">
        <w:rPr>
          <w:b/>
        </w:rPr>
        <w:t>4</w:t>
      </w:r>
      <w:r w:rsidR="007700C1">
        <w:t xml:space="preserve">: </w:t>
      </w:r>
      <w:r w:rsidR="0092609B">
        <w:t xml:space="preserve">Number </w:t>
      </w:r>
      <w:r w:rsidR="001E66E8">
        <w:t>of significant disconnections per Region at p = 0.05</w:t>
      </w:r>
    </w:p>
    <w:tbl>
      <w:tblPr>
        <w:tblStyle w:val="EinfacheTabelle2"/>
        <w:tblW w:w="8537" w:type="dxa"/>
        <w:tblLook w:val="04A0" w:firstRow="1" w:lastRow="0" w:firstColumn="1" w:lastColumn="0" w:noHBand="0" w:noVBand="1"/>
      </w:tblPr>
      <w:tblGrid>
        <w:gridCol w:w="3046"/>
        <w:gridCol w:w="508"/>
        <w:gridCol w:w="1378"/>
        <w:gridCol w:w="570"/>
        <w:gridCol w:w="6"/>
        <w:gridCol w:w="1234"/>
        <w:gridCol w:w="6"/>
        <w:gridCol w:w="750"/>
        <w:gridCol w:w="6"/>
        <w:gridCol w:w="1027"/>
        <w:gridCol w:w="6"/>
      </w:tblGrid>
      <w:tr w:rsidR="000D3033" w:rsidRPr="00165A5A" w14:paraId="10CB8EC6" w14:textId="77777777" w:rsidTr="000D3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single" w:sz="12" w:space="0" w:color="auto"/>
            </w:tcBorders>
          </w:tcPr>
          <w:p w14:paraId="5B1BAFA0" w14:textId="77777777" w:rsidR="000D3033" w:rsidRPr="00165A5A" w:rsidRDefault="000D3033" w:rsidP="00585720">
            <w:pPr>
              <w:jc w:val="center"/>
              <w:rPr>
                <w:sz w:val="18"/>
                <w:szCs w:val="18"/>
              </w:rPr>
            </w:pPr>
          </w:p>
        </w:tc>
        <w:tc>
          <w:tcPr>
            <w:tcW w:w="1886" w:type="dxa"/>
            <w:gridSpan w:val="2"/>
            <w:tcBorders>
              <w:top w:val="single" w:sz="12" w:space="0" w:color="auto"/>
              <w:bottom w:val="single" w:sz="12" w:space="0" w:color="auto"/>
            </w:tcBorders>
            <w:shd w:val="clear" w:color="auto" w:fill="F2F2F2" w:themeFill="background1" w:themeFillShade="F2"/>
          </w:tcPr>
          <w:p w14:paraId="502D6338" w14:textId="09DF1FF0"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893</w:t>
            </w:r>
            <w:r w:rsidRPr="00165A5A">
              <w:rPr>
                <w:sz w:val="18"/>
                <w:szCs w:val="18"/>
              </w:rPr>
              <w:t>)</w:t>
            </w:r>
          </w:p>
        </w:tc>
        <w:tc>
          <w:tcPr>
            <w:tcW w:w="1816" w:type="dxa"/>
            <w:gridSpan w:val="4"/>
            <w:tcBorders>
              <w:top w:val="single" w:sz="12" w:space="0" w:color="auto"/>
              <w:bottom w:val="single" w:sz="12" w:space="0" w:color="auto"/>
            </w:tcBorders>
          </w:tcPr>
          <w:p w14:paraId="784429DE" w14:textId="52448BDB"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Pr>
                <w:sz w:val="18"/>
                <w:szCs w:val="18"/>
              </w:rPr>
              <w:br/>
            </w:r>
            <w:r w:rsidRPr="00165A5A">
              <w:rPr>
                <w:sz w:val="18"/>
                <w:szCs w:val="18"/>
              </w:rPr>
              <w:t xml:space="preserve">(N = </w:t>
            </w:r>
            <w:r>
              <w:rPr>
                <w:sz w:val="18"/>
                <w:szCs w:val="18"/>
              </w:rPr>
              <w:t>205</w:t>
            </w:r>
            <w:r w:rsidRPr="00165A5A">
              <w:rPr>
                <w:sz w:val="18"/>
                <w:szCs w:val="18"/>
              </w:rPr>
              <w:t>)</w:t>
            </w:r>
          </w:p>
        </w:tc>
        <w:tc>
          <w:tcPr>
            <w:tcW w:w="1789" w:type="dxa"/>
            <w:gridSpan w:val="4"/>
            <w:tcBorders>
              <w:top w:val="single" w:sz="12" w:space="0" w:color="auto"/>
              <w:bottom w:val="single" w:sz="12" w:space="0" w:color="auto"/>
            </w:tcBorders>
          </w:tcPr>
          <w:p w14:paraId="6A071146" w14:textId="7DAD9498"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Male</w:t>
            </w:r>
            <w:r w:rsidRPr="00165A5A">
              <w:rPr>
                <w:sz w:val="18"/>
                <w:szCs w:val="18"/>
              </w:rPr>
              <w:br/>
              <w:t xml:space="preserve">(N = </w:t>
            </w:r>
            <w:r>
              <w:rPr>
                <w:sz w:val="18"/>
                <w:szCs w:val="18"/>
              </w:rPr>
              <w:t>611</w:t>
            </w:r>
            <w:r w:rsidRPr="00165A5A">
              <w:rPr>
                <w:sz w:val="18"/>
                <w:szCs w:val="18"/>
              </w:rPr>
              <w:t>)</w:t>
            </w:r>
          </w:p>
        </w:tc>
      </w:tr>
      <w:tr w:rsidR="000D3033" w:rsidRPr="007700C1" w14:paraId="1229D5AE"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nil"/>
            </w:tcBorders>
          </w:tcPr>
          <w:p w14:paraId="05CD2C4F" w14:textId="4FFA8A18" w:rsidR="000D3033" w:rsidRPr="0032272E" w:rsidRDefault="000D3033" w:rsidP="001E66E8">
            <w:pPr>
              <w:rPr>
                <w:sz w:val="18"/>
                <w:szCs w:val="18"/>
                <w:lang w:val="en-US"/>
              </w:rPr>
            </w:pPr>
            <w:r w:rsidRPr="0032272E">
              <w:rPr>
                <w:sz w:val="18"/>
                <w:szCs w:val="18"/>
              </w:rPr>
              <w:t>Amyg</w:t>
            </w:r>
            <w:r>
              <w:rPr>
                <w:sz w:val="18"/>
                <w:szCs w:val="18"/>
              </w:rPr>
              <w:t xml:space="preserve">dala </w:t>
            </w:r>
            <w:r w:rsidRPr="00EC203E">
              <w:rPr>
                <w:b w:val="0"/>
                <w:sz w:val="16"/>
                <w:szCs w:val="18"/>
              </w:rPr>
              <w:t>(Amyg)</w:t>
            </w:r>
          </w:p>
        </w:tc>
        <w:tc>
          <w:tcPr>
            <w:tcW w:w="508" w:type="dxa"/>
            <w:tcBorders>
              <w:top w:val="single" w:sz="12" w:space="0" w:color="auto"/>
              <w:bottom w:val="nil"/>
            </w:tcBorders>
            <w:shd w:val="clear" w:color="auto" w:fill="F2F2F2" w:themeFill="background1" w:themeFillShade="F2"/>
          </w:tcPr>
          <w:p w14:paraId="0436951A" w14:textId="315CE0DC" w:rsidR="000D3033" w:rsidRPr="00EC245F"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lang w:val="en-US"/>
              </w:rPr>
            </w:pPr>
            <w:r>
              <w:rPr>
                <w:sz w:val="18"/>
                <w:szCs w:val="18"/>
                <w:lang w:val="en-US"/>
              </w:rPr>
              <w:t>12</w:t>
            </w:r>
          </w:p>
        </w:tc>
        <w:tc>
          <w:tcPr>
            <w:tcW w:w="1378" w:type="dxa"/>
            <w:tcBorders>
              <w:top w:val="single" w:sz="12" w:space="0" w:color="auto"/>
              <w:bottom w:val="nil"/>
            </w:tcBorders>
            <w:shd w:val="clear" w:color="auto" w:fill="F2F2F2" w:themeFill="background1" w:themeFillShade="F2"/>
          </w:tcPr>
          <w:p w14:paraId="2B297F82" w14:textId="54433534" w:rsidR="000D3033" w:rsidRPr="00EC245F"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lang w:val="en-US"/>
              </w:rPr>
            </w:pPr>
            <w:r>
              <w:rPr>
                <w:sz w:val="18"/>
                <w:szCs w:val="18"/>
                <w:lang w:val="en-US"/>
              </w:rPr>
              <w:t>(1.34%)</w:t>
            </w:r>
          </w:p>
        </w:tc>
        <w:tc>
          <w:tcPr>
            <w:tcW w:w="570" w:type="dxa"/>
            <w:tcBorders>
              <w:top w:val="single" w:sz="12" w:space="0" w:color="auto"/>
              <w:bottom w:val="nil"/>
            </w:tcBorders>
          </w:tcPr>
          <w:p w14:paraId="14DBECAA" w14:textId="28F14520"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single" w:sz="12" w:space="0" w:color="auto"/>
              <w:bottom w:val="nil"/>
            </w:tcBorders>
          </w:tcPr>
          <w:p w14:paraId="720D77E6" w14:textId="307D9D3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single" w:sz="12" w:space="0" w:color="auto"/>
              <w:bottom w:val="nil"/>
            </w:tcBorders>
          </w:tcPr>
          <w:p w14:paraId="6DF94FFF"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7</w:t>
            </w:r>
          </w:p>
        </w:tc>
        <w:tc>
          <w:tcPr>
            <w:tcW w:w="1033" w:type="dxa"/>
            <w:gridSpan w:val="2"/>
            <w:tcBorders>
              <w:top w:val="single" w:sz="12" w:space="0" w:color="auto"/>
              <w:bottom w:val="nil"/>
            </w:tcBorders>
          </w:tcPr>
          <w:p w14:paraId="09BDAC21" w14:textId="28B25679"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(1.14%)</w:t>
            </w:r>
          </w:p>
        </w:tc>
      </w:tr>
      <w:tr w:rsidR="000D3033" w:rsidRPr="007700C1" w14:paraId="0517F2B6"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69F72E47" w14:textId="3D273560" w:rsidR="000D3033" w:rsidRPr="0032272E" w:rsidRDefault="000D3033" w:rsidP="001E66E8">
            <w:pPr>
              <w:rPr>
                <w:sz w:val="18"/>
                <w:szCs w:val="18"/>
              </w:rPr>
            </w:pPr>
            <w:r>
              <w:rPr>
                <w:sz w:val="18"/>
                <w:szCs w:val="18"/>
              </w:rPr>
              <w:t xml:space="preserve">Basal Ganglia </w:t>
            </w:r>
            <w:r w:rsidRPr="00EC203E">
              <w:rPr>
                <w:b w:val="0"/>
                <w:sz w:val="16"/>
                <w:szCs w:val="18"/>
              </w:rPr>
              <w:t>(BG)</w:t>
            </w:r>
          </w:p>
        </w:tc>
        <w:tc>
          <w:tcPr>
            <w:tcW w:w="508" w:type="dxa"/>
            <w:tcBorders>
              <w:top w:val="nil"/>
              <w:bottom w:val="nil"/>
            </w:tcBorders>
            <w:shd w:val="clear" w:color="auto" w:fill="F2F2F2" w:themeFill="background1" w:themeFillShade="F2"/>
          </w:tcPr>
          <w:p w14:paraId="2777A668" w14:textId="3A23940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rPr>
            </w:pPr>
            <w:r w:rsidRPr="0032272E">
              <w:rPr>
                <w:sz w:val="18"/>
                <w:szCs w:val="18"/>
              </w:rPr>
              <w:t>60</w:t>
            </w:r>
          </w:p>
        </w:tc>
        <w:tc>
          <w:tcPr>
            <w:tcW w:w="1378" w:type="dxa"/>
            <w:tcBorders>
              <w:top w:val="nil"/>
              <w:bottom w:val="nil"/>
            </w:tcBorders>
            <w:shd w:val="clear" w:color="auto" w:fill="F2F2F2" w:themeFill="background1" w:themeFillShade="F2"/>
          </w:tcPr>
          <w:p w14:paraId="4AB7513A" w14:textId="55AD6AE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(6.72%)</w:t>
            </w:r>
          </w:p>
        </w:tc>
        <w:tc>
          <w:tcPr>
            <w:tcW w:w="570" w:type="dxa"/>
            <w:tcBorders>
              <w:top w:val="nil"/>
              <w:bottom w:val="nil"/>
            </w:tcBorders>
          </w:tcPr>
          <w:p w14:paraId="045E7D47"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75B40C70" w14:textId="10213272"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54108BB5"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w:t>
            </w:r>
          </w:p>
        </w:tc>
        <w:tc>
          <w:tcPr>
            <w:tcW w:w="1033" w:type="dxa"/>
            <w:gridSpan w:val="2"/>
            <w:tcBorders>
              <w:top w:val="nil"/>
              <w:bottom w:val="nil"/>
            </w:tcBorders>
          </w:tcPr>
          <w:p w14:paraId="174E13E2" w14:textId="302B5AAB"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(6.06%)</w:t>
            </w:r>
          </w:p>
        </w:tc>
      </w:tr>
      <w:tr w:rsidR="000D3033" w:rsidRPr="007700C1" w14:paraId="18A59025"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2C6F608" w14:textId="51CBA8C6" w:rsidR="000D3033" w:rsidRPr="0032272E" w:rsidRDefault="000D3033" w:rsidP="001E66E8">
            <w:pPr>
              <w:rPr>
                <w:sz w:val="18"/>
                <w:szCs w:val="18"/>
                <w:lang w:val="en-US"/>
              </w:rPr>
            </w:pPr>
            <w:r>
              <w:rPr>
                <w:sz w:val="18"/>
                <w:szCs w:val="18"/>
              </w:rPr>
              <w:t xml:space="preserve">Fusiform Gyrus </w:t>
            </w:r>
            <w:r w:rsidRPr="00EC203E">
              <w:rPr>
                <w:b w:val="0"/>
                <w:sz w:val="16"/>
                <w:szCs w:val="18"/>
              </w:rPr>
              <w:t>(FuG)</w:t>
            </w:r>
          </w:p>
        </w:tc>
        <w:tc>
          <w:tcPr>
            <w:tcW w:w="508" w:type="dxa"/>
            <w:tcBorders>
              <w:top w:val="nil"/>
              <w:bottom w:val="nil"/>
            </w:tcBorders>
            <w:shd w:val="clear" w:color="auto" w:fill="F2F2F2" w:themeFill="background1" w:themeFillShade="F2"/>
          </w:tcPr>
          <w:p w14:paraId="7F560402" w14:textId="01F2CF7A"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24</w:t>
            </w:r>
          </w:p>
        </w:tc>
        <w:tc>
          <w:tcPr>
            <w:tcW w:w="1378" w:type="dxa"/>
            <w:tcBorders>
              <w:top w:val="nil"/>
              <w:bottom w:val="nil"/>
            </w:tcBorders>
            <w:shd w:val="clear" w:color="auto" w:fill="F2F2F2" w:themeFill="background1" w:themeFillShade="F2"/>
          </w:tcPr>
          <w:p w14:paraId="25D93014" w14:textId="4A249042"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(2.69%)</w:t>
            </w:r>
          </w:p>
        </w:tc>
        <w:tc>
          <w:tcPr>
            <w:tcW w:w="570" w:type="dxa"/>
            <w:tcBorders>
              <w:top w:val="nil"/>
              <w:bottom w:val="nil"/>
            </w:tcBorders>
          </w:tcPr>
          <w:p w14:paraId="77D209FB"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w:t>
            </w:r>
          </w:p>
        </w:tc>
        <w:tc>
          <w:tcPr>
            <w:tcW w:w="1240" w:type="dxa"/>
            <w:gridSpan w:val="2"/>
            <w:tcBorders>
              <w:top w:val="nil"/>
              <w:bottom w:val="nil"/>
            </w:tcBorders>
          </w:tcPr>
          <w:p w14:paraId="18163853" w14:textId="07BE5ECC"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(0.49%)</w:t>
            </w:r>
          </w:p>
        </w:tc>
        <w:tc>
          <w:tcPr>
            <w:tcW w:w="756" w:type="dxa"/>
            <w:gridSpan w:val="2"/>
            <w:tcBorders>
              <w:top w:val="nil"/>
              <w:bottom w:val="nil"/>
            </w:tcBorders>
          </w:tcPr>
          <w:p w14:paraId="61868841"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18</w:t>
            </w:r>
          </w:p>
        </w:tc>
        <w:tc>
          <w:tcPr>
            <w:tcW w:w="1033" w:type="dxa"/>
            <w:gridSpan w:val="2"/>
            <w:tcBorders>
              <w:top w:val="nil"/>
              <w:bottom w:val="nil"/>
            </w:tcBorders>
          </w:tcPr>
          <w:p w14:paraId="277B9674" w14:textId="4A71A87D"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(2.94%)</w:t>
            </w:r>
          </w:p>
        </w:tc>
      </w:tr>
      <w:tr w:rsidR="000D3033" w:rsidRPr="007700C1" w14:paraId="7EE5B84C"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22979656" w14:textId="5767509B" w:rsidR="000D3033" w:rsidRPr="00EC203E" w:rsidRDefault="000D3033" w:rsidP="001E66E8">
            <w:pPr>
              <w:rPr>
                <w:b w:val="0"/>
                <w:sz w:val="16"/>
                <w:szCs w:val="18"/>
                <w:lang w:val="en-US"/>
              </w:rPr>
            </w:pPr>
            <w:r w:rsidRPr="0032272E">
              <w:rPr>
                <w:sz w:val="18"/>
                <w:szCs w:val="18"/>
              </w:rPr>
              <w:t>Hipp</w:t>
            </w:r>
            <w:r>
              <w:rPr>
                <w:sz w:val="18"/>
                <w:szCs w:val="18"/>
              </w:rPr>
              <w:t xml:space="preserve">ocampus </w:t>
            </w:r>
            <w:r>
              <w:rPr>
                <w:b w:val="0"/>
                <w:sz w:val="16"/>
                <w:szCs w:val="18"/>
              </w:rPr>
              <w:t>(Hipp)</w:t>
            </w:r>
          </w:p>
        </w:tc>
        <w:tc>
          <w:tcPr>
            <w:tcW w:w="508" w:type="dxa"/>
            <w:tcBorders>
              <w:top w:val="nil"/>
              <w:bottom w:val="nil"/>
            </w:tcBorders>
            <w:shd w:val="clear" w:color="auto" w:fill="F2F2F2" w:themeFill="background1" w:themeFillShade="F2"/>
          </w:tcPr>
          <w:p w14:paraId="7336213D" w14:textId="5B0E2341"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27</w:t>
            </w:r>
          </w:p>
        </w:tc>
        <w:tc>
          <w:tcPr>
            <w:tcW w:w="1378" w:type="dxa"/>
            <w:tcBorders>
              <w:top w:val="nil"/>
              <w:bottom w:val="nil"/>
            </w:tcBorders>
            <w:shd w:val="clear" w:color="auto" w:fill="F2F2F2" w:themeFill="background1" w:themeFillShade="F2"/>
          </w:tcPr>
          <w:p w14:paraId="2C6F323E" w14:textId="5F7BE15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(3.02%)</w:t>
            </w:r>
          </w:p>
        </w:tc>
        <w:tc>
          <w:tcPr>
            <w:tcW w:w="570" w:type="dxa"/>
            <w:tcBorders>
              <w:top w:val="nil"/>
              <w:bottom w:val="nil"/>
            </w:tcBorders>
          </w:tcPr>
          <w:p w14:paraId="7CEB5116"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40E73590" w14:textId="7590772A"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78B2ADED"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13</w:t>
            </w:r>
          </w:p>
        </w:tc>
        <w:tc>
          <w:tcPr>
            <w:tcW w:w="1033" w:type="dxa"/>
            <w:gridSpan w:val="2"/>
            <w:tcBorders>
              <w:top w:val="nil"/>
              <w:bottom w:val="nil"/>
            </w:tcBorders>
          </w:tcPr>
          <w:p w14:paraId="00FEA245" w14:textId="011AC99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(2.13%)</w:t>
            </w:r>
          </w:p>
        </w:tc>
      </w:tr>
      <w:tr w:rsidR="000D3033" w:rsidRPr="007700C1" w14:paraId="7CE342E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DDC47F3" w14:textId="24BB4554" w:rsidR="000D3033" w:rsidRPr="0032272E" w:rsidRDefault="000D3033" w:rsidP="001E66E8">
            <w:pPr>
              <w:rPr>
                <w:b w:val="0"/>
                <w:i/>
                <w:sz w:val="18"/>
                <w:szCs w:val="18"/>
                <w:lang w:val="en-US"/>
              </w:rPr>
            </w:pPr>
            <w:r w:rsidRPr="0032272E">
              <w:rPr>
                <w:sz w:val="18"/>
                <w:szCs w:val="18"/>
              </w:rPr>
              <w:t>I</w:t>
            </w:r>
            <w:r>
              <w:rPr>
                <w:sz w:val="18"/>
                <w:szCs w:val="18"/>
              </w:rPr>
              <w:t xml:space="preserve">nferior </w:t>
            </w:r>
            <w:r w:rsidRPr="0032272E">
              <w:rPr>
                <w:sz w:val="18"/>
                <w:szCs w:val="18"/>
              </w:rPr>
              <w:t>F</w:t>
            </w:r>
            <w:r>
              <w:rPr>
                <w:sz w:val="18"/>
                <w:szCs w:val="18"/>
              </w:rPr>
              <w:t xml:space="preserve">rontal </w:t>
            </w:r>
            <w:r w:rsidRPr="0032272E">
              <w:rPr>
                <w:sz w:val="18"/>
                <w:szCs w:val="18"/>
              </w:rPr>
              <w:t>G</w:t>
            </w:r>
            <w:r>
              <w:rPr>
                <w:sz w:val="18"/>
                <w:szCs w:val="18"/>
              </w:rPr>
              <w:t xml:space="preserve">yrus </w:t>
            </w:r>
            <w:r w:rsidRPr="00EC203E">
              <w:rPr>
                <w:b w:val="0"/>
                <w:sz w:val="16"/>
                <w:szCs w:val="18"/>
              </w:rPr>
              <w:t>(IFG)</w:t>
            </w:r>
          </w:p>
        </w:tc>
        <w:tc>
          <w:tcPr>
            <w:tcW w:w="508" w:type="dxa"/>
            <w:tcBorders>
              <w:top w:val="nil"/>
              <w:bottom w:val="nil"/>
            </w:tcBorders>
            <w:shd w:val="clear" w:color="auto" w:fill="F2F2F2" w:themeFill="background1" w:themeFillShade="F2"/>
          </w:tcPr>
          <w:p w14:paraId="633F4588" w14:textId="5DB2FEE9"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12</w:t>
            </w:r>
          </w:p>
        </w:tc>
        <w:tc>
          <w:tcPr>
            <w:tcW w:w="1378" w:type="dxa"/>
            <w:tcBorders>
              <w:top w:val="nil"/>
              <w:bottom w:val="nil"/>
            </w:tcBorders>
            <w:shd w:val="clear" w:color="auto" w:fill="F2F2F2" w:themeFill="background1" w:themeFillShade="F2"/>
          </w:tcPr>
          <w:p w14:paraId="16C1175C" w14:textId="5F472BB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(1.34%)</w:t>
            </w:r>
          </w:p>
        </w:tc>
        <w:tc>
          <w:tcPr>
            <w:tcW w:w="570" w:type="dxa"/>
            <w:tcBorders>
              <w:top w:val="nil"/>
              <w:bottom w:val="nil"/>
            </w:tcBorders>
          </w:tcPr>
          <w:p w14:paraId="2B0126F1" w14:textId="4DD07723"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08A9F559" w14:textId="28313D4E"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28A94A6A"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w:t>
            </w:r>
          </w:p>
        </w:tc>
        <w:tc>
          <w:tcPr>
            <w:tcW w:w="1033" w:type="dxa"/>
            <w:gridSpan w:val="2"/>
            <w:tcBorders>
              <w:top w:val="nil"/>
              <w:bottom w:val="nil"/>
            </w:tcBorders>
          </w:tcPr>
          <w:p w14:paraId="7B361166" w14:textId="2377566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(0.65%)</w:t>
            </w:r>
          </w:p>
        </w:tc>
      </w:tr>
      <w:tr w:rsidR="000D3033" w:rsidRPr="007700C1" w14:paraId="3A7A45B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58B7B3B" w14:textId="6DB5F104" w:rsidR="000D3033" w:rsidRPr="00EC203E" w:rsidRDefault="000D3033" w:rsidP="001E66E8">
            <w:pPr>
              <w:rPr>
                <w:b w:val="0"/>
                <w:sz w:val="16"/>
                <w:szCs w:val="18"/>
                <w:lang w:val="en-US"/>
              </w:rPr>
            </w:pPr>
            <w:r>
              <w:rPr>
                <w:sz w:val="18"/>
                <w:szCs w:val="18"/>
              </w:rPr>
              <w:t xml:space="preserve">Insula </w:t>
            </w:r>
            <w:r>
              <w:rPr>
                <w:b w:val="0"/>
                <w:sz w:val="16"/>
                <w:szCs w:val="18"/>
              </w:rPr>
              <w:t>(Ins)</w:t>
            </w:r>
          </w:p>
        </w:tc>
        <w:tc>
          <w:tcPr>
            <w:tcW w:w="508" w:type="dxa"/>
            <w:tcBorders>
              <w:top w:val="nil"/>
              <w:bottom w:val="nil"/>
            </w:tcBorders>
            <w:shd w:val="clear" w:color="auto" w:fill="F2F2F2" w:themeFill="background1" w:themeFillShade="F2"/>
          </w:tcPr>
          <w:p w14:paraId="552EADD7" w14:textId="0AA013C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8</w:t>
            </w:r>
          </w:p>
        </w:tc>
        <w:tc>
          <w:tcPr>
            <w:tcW w:w="1378" w:type="dxa"/>
            <w:tcBorders>
              <w:top w:val="nil"/>
              <w:bottom w:val="nil"/>
            </w:tcBorders>
            <w:shd w:val="clear" w:color="auto" w:fill="F2F2F2" w:themeFill="background1" w:themeFillShade="F2"/>
          </w:tcPr>
          <w:p w14:paraId="43034719" w14:textId="425BA49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(0.89%)</w:t>
            </w:r>
          </w:p>
        </w:tc>
        <w:tc>
          <w:tcPr>
            <w:tcW w:w="570" w:type="dxa"/>
            <w:tcBorders>
              <w:top w:val="nil"/>
              <w:bottom w:val="nil"/>
            </w:tcBorders>
          </w:tcPr>
          <w:p w14:paraId="12F47FD3" w14:textId="6A939755"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6FCB5A8D" w14:textId="57142D61"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1A77ED9E"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9</w:t>
            </w:r>
          </w:p>
        </w:tc>
        <w:tc>
          <w:tcPr>
            <w:tcW w:w="1033" w:type="dxa"/>
            <w:gridSpan w:val="2"/>
            <w:tcBorders>
              <w:top w:val="nil"/>
              <w:bottom w:val="nil"/>
            </w:tcBorders>
          </w:tcPr>
          <w:p w14:paraId="675DD692" w14:textId="1CDDEFB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(1.47%)</w:t>
            </w:r>
          </w:p>
        </w:tc>
      </w:tr>
      <w:tr w:rsidR="000D3033" w:rsidRPr="007700C1" w14:paraId="1F3BB4D1"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FD21722" w14:textId="18FE26C4" w:rsidR="000D3033" w:rsidRPr="00EC203E" w:rsidRDefault="000D3033" w:rsidP="001E66E8">
            <w:pPr>
              <w:rPr>
                <w:b w:val="0"/>
                <w:sz w:val="16"/>
                <w:szCs w:val="18"/>
                <w:lang w:val="en-US"/>
              </w:rPr>
            </w:pPr>
            <w:r w:rsidRPr="0032272E">
              <w:rPr>
                <w:sz w:val="18"/>
                <w:szCs w:val="18"/>
              </w:rPr>
              <w:t>I</w:t>
            </w:r>
            <w:r>
              <w:rPr>
                <w:sz w:val="18"/>
                <w:szCs w:val="18"/>
              </w:rPr>
              <w:t xml:space="preserve">nferior </w:t>
            </w:r>
            <w:r w:rsidRPr="0032272E">
              <w:rPr>
                <w:sz w:val="18"/>
                <w:szCs w:val="18"/>
              </w:rPr>
              <w:t>P</w:t>
            </w:r>
            <w:r>
              <w:rPr>
                <w:sz w:val="18"/>
                <w:szCs w:val="18"/>
              </w:rPr>
              <w:t xml:space="preserve">arietal </w:t>
            </w:r>
            <w:r w:rsidRPr="0032272E">
              <w:rPr>
                <w:sz w:val="18"/>
                <w:szCs w:val="18"/>
              </w:rPr>
              <w:t>L</w:t>
            </w:r>
            <w:r>
              <w:rPr>
                <w:sz w:val="18"/>
                <w:szCs w:val="18"/>
              </w:rPr>
              <w:t xml:space="preserve">obule </w:t>
            </w:r>
            <w:r>
              <w:rPr>
                <w:b w:val="0"/>
                <w:sz w:val="16"/>
                <w:szCs w:val="18"/>
              </w:rPr>
              <w:t>(IPL)</w:t>
            </w:r>
          </w:p>
        </w:tc>
        <w:tc>
          <w:tcPr>
            <w:tcW w:w="508" w:type="dxa"/>
            <w:tcBorders>
              <w:top w:val="nil"/>
              <w:bottom w:val="nil"/>
            </w:tcBorders>
            <w:shd w:val="clear" w:color="auto" w:fill="F2F2F2" w:themeFill="background1" w:themeFillShade="F2"/>
          </w:tcPr>
          <w:p w14:paraId="166F9D78" w14:textId="625D52C1"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311</w:t>
            </w:r>
          </w:p>
        </w:tc>
        <w:tc>
          <w:tcPr>
            <w:tcW w:w="1378" w:type="dxa"/>
            <w:tcBorders>
              <w:top w:val="nil"/>
              <w:bottom w:val="nil"/>
            </w:tcBorders>
            <w:shd w:val="clear" w:color="auto" w:fill="F2F2F2" w:themeFill="background1" w:themeFillShade="F2"/>
          </w:tcPr>
          <w:p w14:paraId="39CE6B63" w14:textId="69CC6C22"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(34.83%)</w:t>
            </w:r>
          </w:p>
        </w:tc>
        <w:tc>
          <w:tcPr>
            <w:tcW w:w="570" w:type="dxa"/>
            <w:tcBorders>
              <w:top w:val="nil"/>
              <w:bottom w:val="nil"/>
            </w:tcBorders>
          </w:tcPr>
          <w:p w14:paraId="4D187CC7"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57</w:t>
            </w:r>
          </w:p>
        </w:tc>
        <w:tc>
          <w:tcPr>
            <w:tcW w:w="1240" w:type="dxa"/>
            <w:gridSpan w:val="2"/>
            <w:tcBorders>
              <w:top w:val="nil"/>
              <w:bottom w:val="nil"/>
            </w:tcBorders>
          </w:tcPr>
          <w:p w14:paraId="3EFA8E81" w14:textId="7BEB602F"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(27.80%)</w:t>
            </w:r>
          </w:p>
        </w:tc>
        <w:tc>
          <w:tcPr>
            <w:tcW w:w="756" w:type="dxa"/>
            <w:gridSpan w:val="2"/>
            <w:tcBorders>
              <w:top w:val="nil"/>
              <w:bottom w:val="nil"/>
            </w:tcBorders>
          </w:tcPr>
          <w:p w14:paraId="2A889CE9"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189</w:t>
            </w:r>
          </w:p>
        </w:tc>
        <w:tc>
          <w:tcPr>
            <w:tcW w:w="1033" w:type="dxa"/>
            <w:gridSpan w:val="2"/>
            <w:tcBorders>
              <w:top w:val="nil"/>
              <w:bottom w:val="nil"/>
            </w:tcBorders>
          </w:tcPr>
          <w:p w14:paraId="2D39C707" w14:textId="3FE7F996"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(30.93%)</w:t>
            </w:r>
          </w:p>
        </w:tc>
      </w:tr>
      <w:tr w:rsidR="000D3033" w:rsidRPr="007700C1" w14:paraId="3F2B2D5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946967" w14:textId="6A1B213F" w:rsidR="000D3033" w:rsidRPr="00EC203E" w:rsidRDefault="000D3033" w:rsidP="001E66E8">
            <w:pPr>
              <w:rPr>
                <w:sz w:val="18"/>
                <w:szCs w:val="18"/>
                <w:lang w:val="en-US"/>
              </w:rPr>
            </w:pPr>
            <w:r w:rsidRPr="00EC203E">
              <w:rPr>
                <w:sz w:val="18"/>
                <w:szCs w:val="18"/>
              </w:rPr>
              <w:t xml:space="preserve">Inferior Temporal Gyrus </w:t>
            </w:r>
            <w:r w:rsidRPr="00EC203E">
              <w:rPr>
                <w:b w:val="0"/>
                <w:sz w:val="16"/>
                <w:szCs w:val="18"/>
              </w:rPr>
              <w:t>(ITG)</w:t>
            </w:r>
          </w:p>
        </w:tc>
        <w:tc>
          <w:tcPr>
            <w:tcW w:w="508" w:type="dxa"/>
            <w:tcBorders>
              <w:top w:val="nil"/>
              <w:bottom w:val="nil"/>
            </w:tcBorders>
            <w:shd w:val="clear" w:color="auto" w:fill="F2F2F2" w:themeFill="background1" w:themeFillShade="F2"/>
          </w:tcPr>
          <w:p w14:paraId="5E9E08A9" w14:textId="092BAC7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286</w:t>
            </w:r>
            <w:r>
              <w:rPr>
                <w:sz w:val="18"/>
                <w:szCs w:val="18"/>
              </w:rPr>
              <w:t xml:space="preserve"> </w:t>
            </w:r>
          </w:p>
        </w:tc>
        <w:tc>
          <w:tcPr>
            <w:tcW w:w="1378" w:type="dxa"/>
            <w:tcBorders>
              <w:top w:val="nil"/>
              <w:bottom w:val="nil"/>
            </w:tcBorders>
            <w:shd w:val="clear" w:color="auto" w:fill="F2F2F2" w:themeFill="background1" w:themeFillShade="F2"/>
          </w:tcPr>
          <w:p w14:paraId="689C6616" w14:textId="6B84297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(32.03%)</w:t>
            </w:r>
          </w:p>
        </w:tc>
        <w:tc>
          <w:tcPr>
            <w:tcW w:w="570" w:type="dxa"/>
            <w:tcBorders>
              <w:top w:val="nil"/>
              <w:bottom w:val="nil"/>
            </w:tcBorders>
          </w:tcPr>
          <w:p w14:paraId="2B57FCA5"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99</w:t>
            </w:r>
          </w:p>
        </w:tc>
        <w:tc>
          <w:tcPr>
            <w:tcW w:w="1240" w:type="dxa"/>
            <w:gridSpan w:val="2"/>
            <w:tcBorders>
              <w:top w:val="nil"/>
              <w:bottom w:val="nil"/>
            </w:tcBorders>
          </w:tcPr>
          <w:p w14:paraId="530559BE" w14:textId="66DB4362"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(48.29%)</w:t>
            </w:r>
          </w:p>
        </w:tc>
        <w:tc>
          <w:tcPr>
            <w:tcW w:w="756" w:type="dxa"/>
            <w:gridSpan w:val="2"/>
            <w:tcBorders>
              <w:top w:val="nil"/>
              <w:bottom w:val="nil"/>
            </w:tcBorders>
          </w:tcPr>
          <w:p w14:paraId="462ADFAA"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261</w:t>
            </w:r>
          </w:p>
        </w:tc>
        <w:tc>
          <w:tcPr>
            <w:tcW w:w="1033" w:type="dxa"/>
            <w:gridSpan w:val="2"/>
            <w:tcBorders>
              <w:top w:val="nil"/>
              <w:bottom w:val="nil"/>
            </w:tcBorders>
          </w:tcPr>
          <w:p w14:paraId="0F50C29D" w14:textId="0C81886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(42.72%)</w:t>
            </w:r>
          </w:p>
        </w:tc>
      </w:tr>
      <w:tr w:rsidR="000D3033" w:rsidRPr="007700C1" w14:paraId="24118E00"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678034D" w14:textId="0855FC3B" w:rsidR="000D3033" w:rsidRPr="00EC203E" w:rsidRDefault="000D3033" w:rsidP="001E66E8">
            <w:pPr>
              <w:rPr>
                <w:sz w:val="18"/>
                <w:szCs w:val="18"/>
                <w:lang w:val="en-US"/>
              </w:rPr>
            </w:pPr>
            <w:r w:rsidRPr="00EC203E">
              <w:rPr>
                <w:sz w:val="18"/>
                <w:szCs w:val="18"/>
              </w:rPr>
              <w:t>L</w:t>
            </w:r>
            <w:r>
              <w:rPr>
                <w:sz w:val="18"/>
                <w:szCs w:val="18"/>
              </w:rPr>
              <w:t xml:space="preserve">ateral </w:t>
            </w:r>
            <w:r w:rsidRPr="00EC203E">
              <w:rPr>
                <w:sz w:val="18"/>
                <w:szCs w:val="18"/>
              </w:rPr>
              <w:t>Oc</w:t>
            </w:r>
            <w:r>
              <w:rPr>
                <w:sz w:val="18"/>
                <w:szCs w:val="18"/>
              </w:rPr>
              <w:t xml:space="preserve">cipital </w:t>
            </w:r>
            <w:r w:rsidRPr="00EC203E">
              <w:rPr>
                <w:sz w:val="18"/>
                <w:szCs w:val="18"/>
              </w:rPr>
              <w:t>C</w:t>
            </w:r>
            <w:r>
              <w:rPr>
                <w:sz w:val="18"/>
                <w:szCs w:val="18"/>
              </w:rPr>
              <w:t xml:space="preserve">ortex </w:t>
            </w:r>
            <w:r w:rsidRPr="00EC203E">
              <w:rPr>
                <w:b w:val="0"/>
                <w:sz w:val="16"/>
                <w:szCs w:val="18"/>
              </w:rPr>
              <w:t>(LOcC)</w:t>
            </w:r>
          </w:p>
        </w:tc>
        <w:tc>
          <w:tcPr>
            <w:tcW w:w="508" w:type="dxa"/>
            <w:tcBorders>
              <w:top w:val="nil"/>
              <w:bottom w:val="nil"/>
            </w:tcBorders>
            <w:shd w:val="clear" w:color="auto" w:fill="F2F2F2" w:themeFill="background1" w:themeFillShade="F2"/>
          </w:tcPr>
          <w:p w14:paraId="3500F121" w14:textId="2A87F368"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93</w:t>
            </w:r>
            <w:r>
              <w:rPr>
                <w:sz w:val="18"/>
                <w:szCs w:val="18"/>
              </w:rPr>
              <w:t xml:space="preserve"> </w:t>
            </w:r>
          </w:p>
        </w:tc>
        <w:tc>
          <w:tcPr>
            <w:tcW w:w="1378" w:type="dxa"/>
            <w:tcBorders>
              <w:top w:val="nil"/>
              <w:bottom w:val="nil"/>
            </w:tcBorders>
            <w:shd w:val="clear" w:color="auto" w:fill="F2F2F2" w:themeFill="background1" w:themeFillShade="F2"/>
          </w:tcPr>
          <w:p w14:paraId="75239BDA" w14:textId="3C91B246"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(10.41%)</w:t>
            </w:r>
          </w:p>
        </w:tc>
        <w:tc>
          <w:tcPr>
            <w:tcW w:w="570" w:type="dxa"/>
            <w:tcBorders>
              <w:top w:val="nil"/>
              <w:bottom w:val="nil"/>
            </w:tcBorders>
          </w:tcPr>
          <w:p w14:paraId="78F4C50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w:t>
            </w:r>
          </w:p>
        </w:tc>
        <w:tc>
          <w:tcPr>
            <w:tcW w:w="1240" w:type="dxa"/>
            <w:gridSpan w:val="2"/>
            <w:tcBorders>
              <w:top w:val="nil"/>
              <w:bottom w:val="nil"/>
            </w:tcBorders>
          </w:tcPr>
          <w:p w14:paraId="721EF633" w14:textId="78552B1B"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(4.39%)</w:t>
            </w:r>
          </w:p>
        </w:tc>
        <w:tc>
          <w:tcPr>
            <w:tcW w:w="756" w:type="dxa"/>
            <w:gridSpan w:val="2"/>
            <w:tcBorders>
              <w:top w:val="nil"/>
              <w:bottom w:val="nil"/>
            </w:tcBorders>
          </w:tcPr>
          <w:p w14:paraId="5DEF9693"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80</w:t>
            </w:r>
          </w:p>
        </w:tc>
        <w:tc>
          <w:tcPr>
            <w:tcW w:w="1033" w:type="dxa"/>
            <w:gridSpan w:val="2"/>
            <w:tcBorders>
              <w:top w:val="nil"/>
              <w:bottom w:val="nil"/>
            </w:tcBorders>
          </w:tcPr>
          <w:p w14:paraId="28D7F40C" w14:textId="5E59301A"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(13.09%)</w:t>
            </w:r>
          </w:p>
        </w:tc>
      </w:tr>
      <w:tr w:rsidR="000D3033" w:rsidRPr="007700C1" w14:paraId="2CF18665"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81638D" w14:textId="446FDA60" w:rsidR="000D3033" w:rsidRPr="002B0A6A" w:rsidRDefault="000D3033" w:rsidP="001E66E8">
            <w:pPr>
              <w:rPr>
                <w:b w:val="0"/>
                <w:sz w:val="16"/>
                <w:szCs w:val="18"/>
                <w:lang w:val="en-US"/>
              </w:rPr>
            </w:pPr>
            <w:r w:rsidRPr="0032272E">
              <w:rPr>
                <w:sz w:val="18"/>
                <w:szCs w:val="18"/>
              </w:rPr>
              <w:t>M</w:t>
            </w:r>
            <w:r>
              <w:rPr>
                <w:sz w:val="18"/>
                <w:szCs w:val="18"/>
              </w:rPr>
              <w:t xml:space="preserve">iddle </w:t>
            </w:r>
            <w:r w:rsidRPr="0032272E">
              <w:rPr>
                <w:sz w:val="18"/>
                <w:szCs w:val="18"/>
              </w:rPr>
              <w:t>F</w:t>
            </w:r>
            <w:r>
              <w:rPr>
                <w:sz w:val="18"/>
                <w:szCs w:val="18"/>
              </w:rPr>
              <w:t xml:space="preserve">rontal </w:t>
            </w:r>
            <w:r w:rsidRPr="0032272E">
              <w:rPr>
                <w:sz w:val="18"/>
                <w:szCs w:val="18"/>
              </w:rPr>
              <w:t>G</w:t>
            </w:r>
            <w:r>
              <w:rPr>
                <w:sz w:val="18"/>
                <w:szCs w:val="18"/>
              </w:rPr>
              <w:t xml:space="preserve">yrus </w:t>
            </w:r>
            <w:r w:rsidRPr="0032272E">
              <w:rPr>
                <w:sz w:val="18"/>
                <w:szCs w:val="18"/>
              </w:rPr>
              <w:t xml:space="preserve"> </w:t>
            </w:r>
            <w:r>
              <w:rPr>
                <w:b w:val="0"/>
                <w:sz w:val="16"/>
                <w:szCs w:val="18"/>
              </w:rPr>
              <w:t>(MFG)</w:t>
            </w:r>
          </w:p>
        </w:tc>
        <w:tc>
          <w:tcPr>
            <w:tcW w:w="508" w:type="dxa"/>
            <w:tcBorders>
              <w:top w:val="nil"/>
              <w:bottom w:val="nil"/>
            </w:tcBorders>
            <w:shd w:val="clear" w:color="auto" w:fill="F2F2F2" w:themeFill="background1" w:themeFillShade="F2"/>
          </w:tcPr>
          <w:p w14:paraId="2C5684D1" w14:textId="5CFB94BD"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31</w:t>
            </w:r>
            <w:r>
              <w:rPr>
                <w:sz w:val="18"/>
                <w:szCs w:val="18"/>
              </w:rPr>
              <w:t xml:space="preserve"> </w:t>
            </w:r>
          </w:p>
        </w:tc>
        <w:tc>
          <w:tcPr>
            <w:tcW w:w="1378" w:type="dxa"/>
            <w:tcBorders>
              <w:top w:val="nil"/>
              <w:bottom w:val="nil"/>
            </w:tcBorders>
            <w:shd w:val="clear" w:color="auto" w:fill="F2F2F2" w:themeFill="background1" w:themeFillShade="F2"/>
          </w:tcPr>
          <w:p w14:paraId="0ED4F1FD" w14:textId="3A85F4B2"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(3.47%)</w:t>
            </w:r>
          </w:p>
        </w:tc>
        <w:tc>
          <w:tcPr>
            <w:tcW w:w="570" w:type="dxa"/>
            <w:tcBorders>
              <w:top w:val="nil"/>
              <w:bottom w:val="nil"/>
            </w:tcBorders>
          </w:tcPr>
          <w:p w14:paraId="462E07EA"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1A54419E" w14:textId="30808E2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2ED71D3A"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23</w:t>
            </w:r>
          </w:p>
        </w:tc>
        <w:tc>
          <w:tcPr>
            <w:tcW w:w="1033" w:type="dxa"/>
            <w:gridSpan w:val="2"/>
            <w:tcBorders>
              <w:top w:val="nil"/>
              <w:bottom w:val="nil"/>
            </w:tcBorders>
          </w:tcPr>
          <w:p w14:paraId="2D66018C" w14:textId="0C3FB026"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(3.76%)</w:t>
            </w:r>
          </w:p>
        </w:tc>
      </w:tr>
      <w:tr w:rsidR="000D3033" w:rsidRPr="007700C1" w14:paraId="160C6A79"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8BD8AE9" w14:textId="6ED52B0E" w:rsidR="000D3033" w:rsidRPr="002B0A6A" w:rsidRDefault="000D3033" w:rsidP="001E66E8">
            <w:pPr>
              <w:rPr>
                <w:b w:val="0"/>
                <w:sz w:val="16"/>
                <w:szCs w:val="18"/>
                <w:lang w:val="en-US"/>
              </w:rPr>
            </w:pPr>
            <w:r w:rsidRPr="0032272E">
              <w:rPr>
                <w:sz w:val="18"/>
                <w:szCs w:val="18"/>
              </w:rPr>
              <w:t>M</w:t>
            </w:r>
            <w:r>
              <w:rPr>
                <w:sz w:val="18"/>
                <w:szCs w:val="18"/>
              </w:rPr>
              <w:t xml:space="preserve">iddle </w:t>
            </w:r>
            <w:r w:rsidRPr="0032272E">
              <w:rPr>
                <w:sz w:val="18"/>
                <w:szCs w:val="18"/>
              </w:rPr>
              <w:t>T</w:t>
            </w:r>
            <w:r>
              <w:rPr>
                <w:sz w:val="18"/>
                <w:szCs w:val="18"/>
              </w:rPr>
              <w:t xml:space="preserve">emporal </w:t>
            </w:r>
            <w:r w:rsidRPr="0032272E">
              <w:rPr>
                <w:sz w:val="18"/>
                <w:szCs w:val="18"/>
              </w:rPr>
              <w:t>G</w:t>
            </w:r>
            <w:r>
              <w:rPr>
                <w:sz w:val="18"/>
                <w:szCs w:val="18"/>
              </w:rPr>
              <w:t xml:space="preserve">yrus </w:t>
            </w:r>
            <w:r>
              <w:rPr>
                <w:b w:val="0"/>
                <w:sz w:val="16"/>
                <w:szCs w:val="18"/>
              </w:rPr>
              <w:t>(MTG)</w:t>
            </w:r>
          </w:p>
        </w:tc>
        <w:tc>
          <w:tcPr>
            <w:tcW w:w="508" w:type="dxa"/>
            <w:tcBorders>
              <w:top w:val="nil"/>
              <w:bottom w:val="nil"/>
            </w:tcBorders>
            <w:shd w:val="clear" w:color="auto" w:fill="F2F2F2" w:themeFill="background1" w:themeFillShade="F2"/>
          </w:tcPr>
          <w:p w14:paraId="15598D66"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174</w:t>
            </w:r>
          </w:p>
        </w:tc>
        <w:tc>
          <w:tcPr>
            <w:tcW w:w="1378" w:type="dxa"/>
            <w:tcBorders>
              <w:top w:val="nil"/>
              <w:bottom w:val="nil"/>
            </w:tcBorders>
            <w:shd w:val="clear" w:color="auto" w:fill="F2F2F2" w:themeFill="background1" w:themeFillShade="F2"/>
          </w:tcPr>
          <w:p w14:paraId="2A86EBA8" w14:textId="41306C89"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(19.48%)</w:t>
            </w:r>
          </w:p>
        </w:tc>
        <w:tc>
          <w:tcPr>
            <w:tcW w:w="570" w:type="dxa"/>
            <w:tcBorders>
              <w:top w:val="nil"/>
              <w:bottom w:val="nil"/>
            </w:tcBorders>
          </w:tcPr>
          <w:p w14:paraId="2C6F1A7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45</w:t>
            </w:r>
          </w:p>
        </w:tc>
        <w:tc>
          <w:tcPr>
            <w:tcW w:w="1240" w:type="dxa"/>
            <w:gridSpan w:val="2"/>
            <w:tcBorders>
              <w:top w:val="nil"/>
              <w:bottom w:val="nil"/>
            </w:tcBorders>
          </w:tcPr>
          <w:p w14:paraId="150B4BCC" w14:textId="3551976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(21.95%)</w:t>
            </w:r>
          </w:p>
        </w:tc>
        <w:tc>
          <w:tcPr>
            <w:tcW w:w="756" w:type="dxa"/>
            <w:gridSpan w:val="2"/>
            <w:tcBorders>
              <w:top w:val="nil"/>
              <w:bottom w:val="nil"/>
            </w:tcBorders>
          </w:tcPr>
          <w:p w14:paraId="21B4FCF1"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160</w:t>
            </w:r>
          </w:p>
        </w:tc>
        <w:tc>
          <w:tcPr>
            <w:tcW w:w="1033" w:type="dxa"/>
            <w:gridSpan w:val="2"/>
            <w:tcBorders>
              <w:top w:val="nil"/>
              <w:bottom w:val="nil"/>
            </w:tcBorders>
          </w:tcPr>
          <w:p w14:paraId="6D679AB0" w14:textId="16E4C471"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(26.19%)</w:t>
            </w:r>
          </w:p>
        </w:tc>
      </w:tr>
      <w:tr w:rsidR="000D3033" w:rsidRPr="007700C1" w14:paraId="6797957A"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55D4E37" w14:textId="55B1DBD4" w:rsidR="000D3033" w:rsidRPr="0032272E" w:rsidRDefault="000D3033" w:rsidP="002B0A6A">
            <w:pPr>
              <w:rPr>
                <w:sz w:val="18"/>
                <w:szCs w:val="18"/>
                <w:lang w:val="en-US"/>
              </w:rPr>
            </w:pPr>
            <w:r w:rsidRPr="0032272E">
              <w:rPr>
                <w:sz w:val="18"/>
                <w:szCs w:val="18"/>
              </w:rPr>
              <w:t>M</w:t>
            </w:r>
            <w:r>
              <w:rPr>
                <w:sz w:val="18"/>
                <w:szCs w:val="18"/>
              </w:rPr>
              <w:t xml:space="preserve">edioventral </w:t>
            </w:r>
            <w:r w:rsidRPr="0032272E">
              <w:rPr>
                <w:sz w:val="18"/>
                <w:szCs w:val="18"/>
              </w:rPr>
              <w:t>Oc</w:t>
            </w:r>
            <w:r>
              <w:rPr>
                <w:sz w:val="18"/>
                <w:szCs w:val="18"/>
              </w:rPr>
              <w:t xml:space="preserve">cipital </w:t>
            </w:r>
            <w:r w:rsidRPr="0032272E">
              <w:rPr>
                <w:sz w:val="18"/>
                <w:szCs w:val="18"/>
              </w:rPr>
              <w:t>C</w:t>
            </w:r>
            <w:r>
              <w:rPr>
                <w:sz w:val="18"/>
                <w:szCs w:val="18"/>
              </w:rPr>
              <w:t xml:space="preserve">ortex </w:t>
            </w:r>
            <w:r w:rsidRPr="002B0A6A">
              <w:rPr>
                <w:b w:val="0"/>
                <w:sz w:val="16"/>
                <w:szCs w:val="18"/>
              </w:rPr>
              <w:t>(MVOcC)</w:t>
            </w:r>
          </w:p>
        </w:tc>
        <w:tc>
          <w:tcPr>
            <w:tcW w:w="508" w:type="dxa"/>
            <w:tcBorders>
              <w:top w:val="nil"/>
              <w:bottom w:val="nil"/>
            </w:tcBorders>
            <w:shd w:val="clear" w:color="auto" w:fill="F2F2F2" w:themeFill="background1" w:themeFillShade="F2"/>
          </w:tcPr>
          <w:p w14:paraId="31D28F55"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15</w:t>
            </w:r>
          </w:p>
        </w:tc>
        <w:tc>
          <w:tcPr>
            <w:tcW w:w="1378" w:type="dxa"/>
            <w:tcBorders>
              <w:top w:val="nil"/>
              <w:bottom w:val="nil"/>
            </w:tcBorders>
            <w:shd w:val="clear" w:color="auto" w:fill="F2F2F2" w:themeFill="background1" w:themeFillShade="F2"/>
          </w:tcPr>
          <w:p w14:paraId="178E7EE8" w14:textId="15F431E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(1.68%)</w:t>
            </w:r>
          </w:p>
        </w:tc>
        <w:tc>
          <w:tcPr>
            <w:tcW w:w="570" w:type="dxa"/>
            <w:tcBorders>
              <w:top w:val="nil"/>
              <w:bottom w:val="nil"/>
            </w:tcBorders>
          </w:tcPr>
          <w:p w14:paraId="24DC9D3E" w14:textId="10646B5E"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50A7458D" w14:textId="0E0E20FF"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6337DA50"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12</w:t>
            </w:r>
          </w:p>
        </w:tc>
        <w:tc>
          <w:tcPr>
            <w:tcW w:w="1033" w:type="dxa"/>
            <w:gridSpan w:val="2"/>
            <w:tcBorders>
              <w:top w:val="nil"/>
              <w:bottom w:val="nil"/>
            </w:tcBorders>
          </w:tcPr>
          <w:p w14:paraId="3C23FFB3" w14:textId="5DB1965C"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(1.96%)</w:t>
            </w:r>
          </w:p>
        </w:tc>
      </w:tr>
      <w:tr w:rsidR="000D3033" w:rsidRPr="007700C1" w14:paraId="06DA27B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D4E4675" w14:textId="0F3EE627" w:rsidR="000D3033" w:rsidRPr="002B0A6A" w:rsidRDefault="000D3033" w:rsidP="001E66E8">
            <w:pPr>
              <w:rPr>
                <w:b w:val="0"/>
                <w:sz w:val="16"/>
                <w:szCs w:val="18"/>
                <w:lang w:val="en-US"/>
              </w:rPr>
            </w:pPr>
            <w:r>
              <w:rPr>
                <w:sz w:val="18"/>
                <w:szCs w:val="18"/>
              </w:rPr>
              <w:t xml:space="preserve">Orbital Gyrus </w:t>
            </w:r>
            <w:r>
              <w:rPr>
                <w:b w:val="0"/>
                <w:sz w:val="16"/>
                <w:szCs w:val="18"/>
              </w:rPr>
              <w:t>(Org)</w:t>
            </w:r>
          </w:p>
        </w:tc>
        <w:tc>
          <w:tcPr>
            <w:tcW w:w="508" w:type="dxa"/>
            <w:tcBorders>
              <w:top w:val="nil"/>
              <w:bottom w:val="nil"/>
            </w:tcBorders>
            <w:shd w:val="clear" w:color="auto" w:fill="F2F2F2" w:themeFill="background1" w:themeFillShade="F2"/>
          </w:tcPr>
          <w:p w14:paraId="3C3472E9"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15</w:t>
            </w:r>
          </w:p>
        </w:tc>
        <w:tc>
          <w:tcPr>
            <w:tcW w:w="1378" w:type="dxa"/>
            <w:tcBorders>
              <w:top w:val="nil"/>
              <w:bottom w:val="nil"/>
            </w:tcBorders>
            <w:shd w:val="clear" w:color="auto" w:fill="F2F2F2" w:themeFill="background1" w:themeFillShade="F2"/>
          </w:tcPr>
          <w:p w14:paraId="7EF1C7DF" w14:textId="53BDC42C"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(1.68%)</w:t>
            </w:r>
          </w:p>
        </w:tc>
        <w:tc>
          <w:tcPr>
            <w:tcW w:w="570" w:type="dxa"/>
            <w:tcBorders>
              <w:top w:val="nil"/>
              <w:bottom w:val="nil"/>
            </w:tcBorders>
          </w:tcPr>
          <w:p w14:paraId="3FADCC58"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1C8DC042" w14:textId="18D2F33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709B5DB2"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w:t>
            </w:r>
          </w:p>
        </w:tc>
        <w:tc>
          <w:tcPr>
            <w:tcW w:w="1033" w:type="dxa"/>
            <w:gridSpan w:val="2"/>
            <w:tcBorders>
              <w:top w:val="nil"/>
              <w:bottom w:val="nil"/>
            </w:tcBorders>
          </w:tcPr>
          <w:p w14:paraId="05155C67" w14:textId="131AD5CA"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(3.11%)</w:t>
            </w:r>
          </w:p>
        </w:tc>
      </w:tr>
      <w:tr w:rsidR="000D3033" w:rsidRPr="007700C1" w14:paraId="60D4333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A333E3F" w14:textId="3A143011" w:rsidR="000D3033" w:rsidRPr="002B0A6A" w:rsidRDefault="000D3033" w:rsidP="001E66E8">
            <w:pPr>
              <w:rPr>
                <w:b w:val="0"/>
                <w:sz w:val="16"/>
                <w:szCs w:val="18"/>
                <w:lang w:val="en-US"/>
              </w:rPr>
            </w:pPr>
            <w:r>
              <w:rPr>
                <w:sz w:val="18"/>
                <w:szCs w:val="18"/>
              </w:rPr>
              <w:t xml:space="preserve">Paracentral Lobule </w:t>
            </w:r>
            <w:r>
              <w:rPr>
                <w:b w:val="0"/>
                <w:sz w:val="16"/>
                <w:szCs w:val="18"/>
              </w:rPr>
              <w:t>(PCL)</w:t>
            </w:r>
          </w:p>
        </w:tc>
        <w:tc>
          <w:tcPr>
            <w:tcW w:w="508" w:type="dxa"/>
            <w:tcBorders>
              <w:top w:val="nil"/>
              <w:bottom w:val="nil"/>
            </w:tcBorders>
            <w:shd w:val="clear" w:color="auto" w:fill="F2F2F2" w:themeFill="background1" w:themeFillShade="F2"/>
          </w:tcPr>
          <w:p w14:paraId="729FFCF1"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4</w:t>
            </w:r>
          </w:p>
        </w:tc>
        <w:tc>
          <w:tcPr>
            <w:tcW w:w="1378" w:type="dxa"/>
            <w:tcBorders>
              <w:top w:val="nil"/>
              <w:bottom w:val="nil"/>
            </w:tcBorders>
            <w:shd w:val="clear" w:color="auto" w:fill="F2F2F2" w:themeFill="background1" w:themeFillShade="F2"/>
          </w:tcPr>
          <w:p w14:paraId="1AE7E6C2" w14:textId="26146784"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(0.45%)</w:t>
            </w:r>
          </w:p>
        </w:tc>
        <w:tc>
          <w:tcPr>
            <w:tcW w:w="570" w:type="dxa"/>
            <w:tcBorders>
              <w:top w:val="nil"/>
              <w:bottom w:val="nil"/>
            </w:tcBorders>
          </w:tcPr>
          <w:p w14:paraId="07997CAB" w14:textId="4644A00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4D8C5B4B" w14:textId="6F4F47CD"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71E975AB" w14:textId="79FBB9B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033" w:type="dxa"/>
            <w:gridSpan w:val="2"/>
            <w:tcBorders>
              <w:top w:val="nil"/>
              <w:bottom w:val="nil"/>
            </w:tcBorders>
          </w:tcPr>
          <w:p w14:paraId="1C973CA4" w14:textId="092BB29C"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r>
      <w:tr w:rsidR="000D3033" w:rsidRPr="007700C1" w14:paraId="7D2F691B"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7BE7736" w14:textId="37A87EF5" w:rsidR="000D3033" w:rsidRPr="002B0A6A" w:rsidRDefault="000D3033" w:rsidP="001E66E8">
            <w:pPr>
              <w:rPr>
                <w:b w:val="0"/>
                <w:sz w:val="16"/>
                <w:szCs w:val="18"/>
                <w:lang w:val="en-US"/>
              </w:rPr>
            </w:pPr>
            <w:r w:rsidRPr="0032272E">
              <w:rPr>
                <w:sz w:val="18"/>
                <w:szCs w:val="18"/>
              </w:rPr>
              <w:t>P</w:t>
            </w:r>
            <w:r>
              <w:rPr>
                <w:sz w:val="18"/>
                <w:szCs w:val="18"/>
              </w:rPr>
              <w:t>re</w:t>
            </w:r>
            <w:r w:rsidRPr="0032272E">
              <w:rPr>
                <w:sz w:val="18"/>
                <w:szCs w:val="18"/>
              </w:rPr>
              <w:t>cun</w:t>
            </w:r>
            <w:r>
              <w:rPr>
                <w:sz w:val="18"/>
                <w:szCs w:val="18"/>
              </w:rPr>
              <w:t xml:space="preserve">eus </w:t>
            </w:r>
            <w:r>
              <w:rPr>
                <w:b w:val="0"/>
                <w:sz w:val="16"/>
                <w:szCs w:val="18"/>
              </w:rPr>
              <w:t>(Pcun)</w:t>
            </w:r>
          </w:p>
        </w:tc>
        <w:tc>
          <w:tcPr>
            <w:tcW w:w="508" w:type="dxa"/>
            <w:tcBorders>
              <w:top w:val="nil"/>
              <w:bottom w:val="nil"/>
            </w:tcBorders>
            <w:shd w:val="clear" w:color="auto" w:fill="F2F2F2" w:themeFill="background1" w:themeFillShade="F2"/>
          </w:tcPr>
          <w:p w14:paraId="7884DD23"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33</w:t>
            </w:r>
          </w:p>
        </w:tc>
        <w:tc>
          <w:tcPr>
            <w:tcW w:w="1378" w:type="dxa"/>
            <w:tcBorders>
              <w:top w:val="nil"/>
              <w:bottom w:val="nil"/>
            </w:tcBorders>
            <w:shd w:val="clear" w:color="auto" w:fill="F2F2F2" w:themeFill="background1" w:themeFillShade="F2"/>
          </w:tcPr>
          <w:p w14:paraId="70F03A77" w14:textId="1991026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(3.70%)</w:t>
            </w:r>
          </w:p>
        </w:tc>
        <w:tc>
          <w:tcPr>
            <w:tcW w:w="570" w:type="dxa"/>
            <w:tcBorders>
              <w:top w:val="nil"/>
              <w:bottom w:val="nil"/>
            </w:tcBorders>
          </w:tcPr>
          <w:p w14:paraId="6BD67F3C"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w:t>
            </w:r>
          </w:p>
        </w:tc>
        <w:tc>
          <w:tcPr>
            <w:tcW w:w="1240" w:type="dxa"/>
            <w:gridSpan w:val="2"/>
            <w:tcBorders>
              <w:top w:val="nil"/>
              <w:bottom w:val="nil"/>
            </w:tcBorders>
          </w:tcPr>
          <w:p w14:paraId="4AFFDDFE" w14:textId="4385EE46"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(2.93%)</w:t>
            </w:r>
          </w:p>
        </w:tc>
        <w:tc>
          <w:tcPr>
            <w:tcW w:w="756" w:type="dxa"/>
            <w:gridSpan w:val="2"/>
            <w:tcBorders>
              <w:top w:val="nil"/>
              <w:bottom w:val="nil"/>
            </w:tcBorders>
          </w:tcPr>
          <w:p w14:paraId="7A3E5A9E"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w:t>
            </w:r>
          </w:p>
        </w:tc>
        <w:tc>
          <w:tcPr>
            <w:tcW w:w="1033" w:type="dxa"/>
            <w:gridSpan w:val="2"/>
            <w:tcBorders>
              <w:top w:val="nil"/>
              <w:bottom w:val="nil"/>
            </w:tcBorders>
          </w:tcPr>
          <w:p w14:paraId="54F42F5D" w14:textId="50C943EC"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(3.11%)</w:t>
            </w:r>
          </w:p>
        </w:tc>
      </w:tr>
      <w:tr w:rsidR="000D3033" w:rsidRPr="007700C1" w14:paraId="79F12E8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1EE03908" w14:textId="3684556D" w:rsidR="000D3033" w:rsidRPr="002B0A6A" w:rsidRDefault="000D3033" w:rsidP="001E66E8">
            <w:pPr>
              <w:rPr>
                <w:b w:val="0"/>
                <w:sz w:val="16"/>
                <w:szCs w:val="18"/>
                <w:lang w:val="en-US"/>
              </w:rPr>
            </w:pPr>
            <w:r>
              <w:rPr>
                <w:sz w:val="18"/>
                <w:szCs w:val="18"/>
              </w:rPr>
              <w:t xml:space="preserve">Parahippocampal Gyrus </w:t>
            </w:r>
            <w:r>
              <w:rPr>
                <w:b w:val="0"/>
                <w:sz w:val="16"/>
                <w:szCs w:val="18"/>
              </w:rPr>
              <w:t>(PhG)</w:t>
            </w:r>
          </w:p>
        </w:tc>
        <w:tc>
          <w:tcPr>
            <w:tcW w:w="508" w:type="dxa"/>
            <w:tcBorders>
              <w:top w:val="nil"/>
              <w:bottom w:val="nil"/>
            </w:tcBorders>
            <w:shd w:val="clear" w:color="auto" w:fill="F2F2F2" w:themeFill="background1" w:themeFillShade="F2"/>
          </w:tcPr>
          <w:p w14:paraId="48EC7A04" w14:textId="4829E02D" w:rsidR="000D3033" w:rsidRPr="0032272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w:t>
            </w:r>
          </w:p>
        </w:tc>
        <w:tc>
          <w:tcPr>
            <w:tcW w:w="1378" w:type="dxa"/>
            <w:tcBorders>
              <w:top w:val="nil"/>
              <w:bottom w:val="nil"/>
            </w:tcBorders>
            <w:shd w:val="clear" w:color="auto" w:fill="F2F2F2" w:themeFill="background1" w:themeFillShade="F2"/>
          </w:tcPr>
          <w:p w14:paraId="1AF8A414" w14:textId="07D1CB18" w:rsidR="000D3033" w:rsidRPr="0032272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(0.34%)</w:t>
            </w:r>
          </w:p>
        </w:tc>
        <w:tc>
          <w:tcPr>
            <w:tcW w:w="576" w:type="dxa"/>
            <w:gridSpan w:val="2"/>
            <w:tcBorders>
              <w:top w:val="nil"/>
              <w:bottom w:val="nil"/>
            </w:tcBorders>
          </w:tcPr>
          <w:p w14:paraId="0E635F13" w14:textId="1BBF559F"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4FBB4145" w14:textId="5593FDE4"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43A78B7E"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5</w:t>
            </w:r>
          </w:p>
        </w:tc>
        <w:tc>
          <w:tcPr>
            <w:tcW w:w="1033" w:type="dxa"/>
            <w:gridSpan w:val="2"/>
            <w:tcBorders>
              <w:top w:val="nil"/>
              <w:bottom w:val="nil"/>
            </w:tcBorders>
          </w:tcPr>
          <w:p w14:paraId="5DC3E222" w14:textId="223191E2"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(0.82%)</w:t>
            </w:r>
          </w:p>
        </w:tc>
      </w:tr>
      <w:tr w:rsidR="000D3033" w:rsidRPr="007700C1" w14:paraId="08CF0F7C"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49217E1" w14:textId="6928D32E" w:rsidR="000D3033" w:rsidRPr="002B0A6A" w:rsidRDefault="000D3033" w:rsidP="001E66E8">
            <w:pPr>
              <w:rPr>
                <w:b w:val="0"/>
                <w:sz w:val="16"/>
                <w:szCs w:val="18"/>
                <w:lang w:val="en-US"/>
              </w:rPr>
            </w:pPr>
            <w:r w:rsidRPr="0032272E">
              <w:rPr>
                <w:sz w:val="18"/>
                <w:szCs w:val="18"/>
              </w:rPr>
              <w:t>Po</w:t>
            </w:r>
            <w:r>
              <w:rPr>
                <w:sz w:val="18"/>
                <w:szCs w:val="18"/>
              </w:rPr>
              <w:t xml:space="preserve">stcentral </w:t>
            </w:r>
            <w:r w:rsidRPr="0032272E">
              <w:rPr>
                <w:sz w:val="18"/>
                <w:szCs w:val="18"/>
              </w:rPr>
              <w:t>G</w:t>
            </w:r>
            <w:r>
              <w:rPr>
                <w:sz w:val="18"/>
                <w:szCs w:val="18"/>
              </w:rPr>
              <w:t xml:space="preserve">yrus </w:t>
            </w:r>
            <w:r>
              <w:rPr>
                <w:b w:val="0"/>
                <w:sz w:val="16"/>
                <w:szCs w:val="18"/>
              </w:rPr>
              <w:t>(PoG)</w:t>
            </w:r>
          </w:p>
        </w:tc>
        <w:tc>
          <w:tcPr>
            <w:tcW w:w="508" w:type="dxa"/>
            <w:tcBorders>
              <w:top w:val="nil"/>
              <w:bottom w:val="nil"/>
            </w:tcBorders>
            <w:shd w:val="clear" w:color="auto" w:fill="F2F2F2" w:themeFill="background1" w:themeFillShade="F2"/>
          </w:tcPr>
          <w:p w14:paraId="64095A17"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59</w:t>
            </w:r>
          </w:p>
        </w:tc>
        <w:tc>
          <w:tcPr>
            <w:tcW w:w="1378" w:type="dxa"/>
            <w:tcBorders>
              <w:top w:val="nil"/>
              <w:bottom w:val="nil"/>
            </w:tcBorders>
            <w:shd w:val="clear" w:color="auto" w:fill="F2F2F2" w:themeFill="background1" w:themeFillShade="F2"/>
          </w:tcPr>
          <w:p w14:paraId="63AAE6E2" w14:textId="15390FCC"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(6.61%)</w:t>
            </w:r>
          </w:p>
        </w:tc>
        <w:tc>
          <w:tcPr>
            <w:tcW w:w="576" w:type="dxa"/>
            <w:gridSpan w:val="2"/>
            <w:tcBorders>
              <w:top w:val="nil"/>
              <w:bottom w:val="nil"/>
            </w:tcBorders>
          </w:tcPr>
          <w:p w14:paraId="52B20DF3"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2E684545" w14:textId="740FDB71"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5DA0583B"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25</w:t>
            </w:r>
          </w:p>
        </w:tc>
        <w:tc>
          <w:tcPr>
            <w:tcW w:w="1033" w:type="dxa"/>
            <w:gridSpan w:val="2"/>
            <w:tcBorders>
              <w:top w:val="nil"/>
              <w:bottom w:val="nil"/>
            </w:tcBorders>
          </w:tcPr>
          <w:p w14:paraId="71362162" w14:textId="2BF24D1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(4.89%)</w:t>
            </w:r>
          </w:p>
        </w:tc>
      </w:tr>
      <w:tr w:rsidR="000D3033" w:rsidRPr="007700C1" w14:paraId="1CF342F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A91CD22" w14:textId="3B5B138F" w:rsidR="000D3033" w:rsidRPr="002B0A6A" w:rsidRDefault="000D3033" w:rsidP="001E66E8">
            <w:pPr>
              <w:rPr>
                <w:b w:val="0"/>
                <w:sz w:val="16"/>
                <w:szCs w:val="18"/>
                <w:lang w:val="en-US"/>
              </w:rPr>
            </w:pPr>
            <w:r>
              <w:rPr>
                <w:sz w:val="18"/>
                <w:szCs w:val="18"/>
              </w:rPr>
              <w:t xml:space="preserve">Precentral Gyrus </w:t>
            </w:r>
            <w:r>
              <w:rPr>
                <w:b w:val="0"/>
                <w:sz w:val="16"/>
                <w:szCs w:val="18"/>
              </w:rPr>
              <w:t>(PrG)</w:t>
            </w:r>
          </w:p>
        </w:tc>
        <w:tc>
          <w:tcPr>
            <w:tcW w:w="508" w:type="dxa"/>
            <w:tcBorders>
              <w:top w:val="nil"/>
              <w:bottom w:val="nil"/>
            </w:tcBorders>
            <w:shd w:val="clear" w:color="auto" w:fill="F2F2F2" w:themeFill="background1" w:themeFillShade="F2"/>
          </w:tcPr>
          <w:p w14:paraId="45CCC5AB"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33</w:t>
            </w:r>
          </w:p>
        </w:tc>
        <w:tc>
          <w:tcPr>
            <w:tcW w:w="1378" w:type="dxa"/>
            <w:tcBorders>
              <w:top w:val="nil"/>
              <w:bottom w:val="nil"/>
            </w:tcBorders>
            <w:shd w:val="clear" w:color="auto" w:fill="F2F2F2" w:themeFill="background1" w:themeFillShade="F2"/>
          </w:tcPr>
          <w:p w14:paraId="167756F6" w14:textId="0EFA8B50"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(3.70%)</w:t>
            </w:r>
          </w:p>
        </w:tc>
        <w:tc>
          <w:tcPr>
            <w:tcW w:w="576" w:type="dxa"/>
            <w:gridSpan w:val="2"/>
            <w:tcBorders>
              <w:top w:val="nil"/>
              <w:bottom w:val="nil"/>
            </w:tcBorders>
          </w:tcPr>
          <w:p w14:paraId="3F31F712"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7B4FEB63" w14:textId="776B32F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0A075462"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24</w:t>
            </w:r>
          </w:p>
        </w:tc>
        <w:tc>
          <w:tcPr>
            <w:tcW w:w="1033" w:type="dxa"/>
            <w:gridSpan w:val="2"/>
            <w:tcBorders>
              <w:top w:val="nil"/>
              <w:bottom w:val="nil"/>
            </w:tcBorders>
          </w:tcPr>
          <w:p w14:paraId="440634DE" w14:textId="765E7898"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(3.93%)</w:t>
            </w:r>
          </w:p>
        </w:tc>
      </w:tr>
      <w:tr w:rsidR="000D3033" w:rsidRPr="007700C1" w14:paraId="0D5D923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B5C0685" w14:textId="255CA3AF" w:rsidR="000D3033" w:rsidRPr="0032272E" w:rsidRDefault="000D3033" w:rsidP="001E66E8">
            <w:pPr>
              <w:rPr>
                <w:sz w:val="18"/>
                <w:szCs w:val="18"/>
                <w:lang w:val="en-US"/>
              </w:rPr>
            </w:pPr>
            <w:r w:rsidRPr="0032272E">
              <w:rPr>
                <w:sz w:val="18"/>
                <w:szCs w:val="18"/>
              </w:rPr>
              <w:t>P</w:t>
            </w:r>
            <w:r>
              <w:rPr>
                <w:sz w:val="18"/>
                <w:szCs w:val="18"/>
              </w:rPr>
              <w:t xml:space="preserve">osterior Superior Parietal Sulcus </w:t>
            </w:r>
            <w:r w:rsidRPr="002B0A6A">
              <w:rPr>
                <w:b w:val="0"/>
                <w:sz w:val="16"/>
                <w:szCs w:val="18"/>
              </w:rPr>
              <w:t>(pSTS)</w:t>
            </w:r>
          </w:p>
        </w:tc>
        <w:tc>
          <w:tcPr>
            <w:tcW w:w="508" w:type="dxa"/>
            <w:tcBorders>
              <w:top w:val="nil"/>
              <w:bottom w:val="nil"/>
            </w:tcBorders>
            <w:shd w:val="clear" w:color="auto" w:fill="F2F2F2" w:themeFill="background1" w:themeFillShade="F2"/>
          </w:tcPr>
          <w:p w14:paraId="1D96855E"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107</w:t>
            </w:r>
          </w:p>
        </w:tc>
        <w:tc>
          <w:tcPr>
            <w:tcW w:w="1378" w:type="dxa"/>
            <w:tcBorders>
              <w:top w:val="nil"/>
              <w:bottom w:val="nil"/>
            </w:tcBorders>
            <w:shd w:val="clear" w:color="auto" w:fill="F2F2F2" w:themeFill="background1" w:themeFillShade="F2"/>
          </w:tcPr>
          <w:p w14:paraId="5472F687" w14:textId="1118E6CE"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(11.98%)</w:t>
            </w:r>
          </w:p>
        </w:tc>
        <w:tc>
          <w:tcPr>
            <w:tcW w:w="576" w:type="dxa"/>
            <w:gridSpan w:val="2"/>
            <w:tcBorders>
              <w:top w:val="nil"/>
              <w:bottom w:val="nil"/>
            </w:tcBorders>
          </w:tcPr>
          <w:p w14:paraId="333D531A"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74</w:t>
            </w:r>
          </w:p>
        </w:tc>
        <w:tc>
          <w:tcPr>
            <w:tcW w:w="1240" w:type="dxa"/>
            <w:gridSpan w:val="2"/>
            <w:tcBorders>
              <w:top w:val="nil"/>
              <w:bottom w:val="nil"/>
            </w:tcBorders>
          </w:tcPr>
          <w:p w14:paraId="59688D8E" w14:textId="77C4F943"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(36.10%)</w:t>
            </w:r>
          </w:p>
        </w:tc>
        <w:tc>
          <w:tcPr>
            <w:tcW w:w="756" w:type="dxa"/>
            <w:gridSpan w:val="2"/>
            <w:tcBorders>
              <w:top w:val="nil"/>
              <w:bottom w:val="nil"/>
            </w:tcBorders>
          </w:tcPr>
          <w:p w14:paraId="691D1D3B"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33</w:t>
            </w:r>
          </w:p>
        </w:tc>
        <w:tc>
          <w:tcPr>
            <w:tcW w:w="1033" w:type="dxa"/>
            <w:gridSpan w:val="2"/>
            <w:tcBorders>
              <w:top w:val="nil"/>
              <w:bottom w:val="nil"/>
            </w:tcBorders>
          </w:tcPr>
          <w:p w14:paraId="1B0B6BBC" w14:textId="45D5646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(5.40%)</w:t>
            </w:r>
          </w:p>
        </w:tc>
      </w:tr>
      <w:tr w:rsidR="000D3033" w:rsidRPr="007700C1" w14:paraId="1179602B"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9BE8691" w14:textId="72455A8E" w:rsidR="000D3033" w:rsidRPr="002B0A6A" w:rsidRDefault="000D3033" w:rsidP="001E66E8">
            <w:pPr>
              <w:rPr>
                <w:b w:val="0"/>
                <w:sz w:val="16"/>
                <w:szCs w:val="18"/>
                <w:lang w:val="en-US"/>
              </w:rPr>
            </w:pPr>
            <w:r>
              <w:rPr>
                <w:sz w:val="18"/>
                <w:szCs w:val="18"/>
              </w:rPr>
              <w:t xml:space="preserve">Superior Frontal Gyrus </w:t>
            </w:r>
            <w:r>
              <w:rPr>
                <w:b w:val="0"/>
                <w:sz w:val="16"/>
                <w:szCs w:val="18"/>
              </w:rPr>
              <w:t>(SFG)</w:t>
            </w:r>
          </w:p>
        </w:tc>
        <w:tc>
          <w:tcPr>
            <w:tcW w:w="508" w:type="dxa"/>
            <w:tcBorders>
              <w:top w:val="nil"/>
              <w:bottom w:val="nil"/>
            </w:tcBorders>
            <w:shd w:val="clear" w:color="auto" w:fill="F2F2F2" w:themeFill="background1" w:themeFillShade="F2"/>
          </w:tcPr>
          <w:p w14:paraId="76748DCE" w14:textId="77777777"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17</w:t>
            </w:r>
          </w:p>
        </w:tc>
        <w:tc>
          <w:tcPr>
            <w:tcW w:w="1378" w:type="dxa"/>
            <w:tcBorders>
              <w:top w:val="nil"/>
              <w:bottom w:val="nil"/>
            </w:tcBorders>
            <w:shd w:val="clear" w:color="auto" w:fill="F2F2F2" w:themeFill="background1" w:themeFillShade="F2"/>
          </w:tcPr>
          <w:p w14:paraId="7D3D52EC" w14:textId="208A4882"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(1.90%)</w:t>
            </w:r>
          </w:p>
        </w:tc>
        <w:tc>
          <w:tcPr>
            <w:tcW w:w="576" w:type="dxa"/>
            <w:gridSpan w:val="2"/>
            <w:tcBorders>
              <w:top w:val="nil"/>
              <w:bottom w:val="nil"/>
            </w:tcBorders>
          </w:tcPr>
          <w:p w14:paraId="712B8287" w14:textId="5C22DE04"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34A3174E" w14:textId="165665CA"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4D457AC4"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w:t>
            </w:r>
          </w:p>
        </w:tc>
        <w:tc>
          <w:tcPr>
            <w:tcW w:w="1033" w:type="dxa"/>
            <w:gridSpan w:val="2"/>
            <w:tcBorders>
              <w:top w:val="nil"/>
              <w:bottom w:val="nil"/>
            </w:tcBorders>
          </w:tcPr>
          <w:p w14:paraId="6FC1D0A4" w14:textId="29FE12EB"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(2.29%)</w:t>
            </w:r>
          </w:p>
        </w:tc>
      </w:tr>
      <w:tr w:rsidR="000D3033" w:rsidRPr="007700C1" w14:paraId="2B8FCC6F"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86B05FE" w14:textId="229CF1BB" w:rsidR="000D3033" w:rsidRPr="002B0A6A" w:rsidRDefault="000D3033" w:rsidP="001E66E8">
            <w:pPr>
              <w:rPr>
                <w:b w:val="0"/>
                <w:sz w:val="16"/>
                <w:szCs w:val="18"/>
                <w:lang w:val="en-US"/>
              </w:rPr>
            </w:pPr>
            <w:r>
              <w:rPr>
                <w:sz w:val="18"/>
                <w:szCs w:val="18"/>
              </w:rPr>
              <w:t xml:space="preserve">Superior Parietal Lobule </w:t>
            </w:r>
            <w:r>
              <w:rPr>
                <w:b w:val="0"/>
                <w:sz w:val="16"/>
                <w:szCs w:val="18"/>
              </w:rPr>
              <w:t>(SPL)</w:t>
            </w:r>
          </w:p>
        </w:tc>
        <w:tc>
          <w:tcPr>
            <w:tcW w:w="508" w:type="dxa"/>
            <w:tcBorders>
              <w:top w:val="nil"/>
              <w:bottom w:val="nil"/>
            </w:tcBorders>
            <w:shd w:val="clear" w:color="auto" w:fill="F2F2F2" w:themeFill="background1" w:themeFillShade="F2"/>
          </w:tcPr>
          <w:p w14:paraId="78111119" w14:textId="77777777"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151</w:t>
            </w:r>
          </w:p>
        </w:tc>
        <w:tc>
          <w:tcPr>
            <w:tcW w:w="1378" w:type="dxa"/>
            <w:tcBorders>
              <w:top w:val="nil"/>
              <w:bottom w:val="nil"/>
            </w:tcBorders>
            <w:shd w:val="clear" w:color="auto" w:fill="F2F2F2" w:themeFill="background1" w:themeFillShade="F2"/>
          </w:tcPr>
          <w:p w14:paraId="3CD1E034" w14:textId="1956C8A3"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(16.91%)</w:t>
            </w:r>
          </w:p>
        </w:tc>
        <w:tc>
          <w:tcPr>
            <w:tcW w:w="576" w:type="dxa"/>
            <w:gridSpan w:val="2"/>
            <w:tcBorders>
              <w:top w:val="nil"/>
              <w:bottom w:val="nil"/>
            </w:tcBorders>
          </w:tcPr>
          <w:p w14:paraId="26294B41"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35</w:t>
            </w:r>
          </w:p>
        </w:tc>
        <w:tc>
          <w:tcPr>
            <w:tcW w:w="1240" w:type="dxa"/>
            <w:gridSpan w:val="2"/>
            <w:tcBorders>
              <w:top w:val="nil"/>
              <w:bottom w:val="nil"/>
            </w:tcBorders>
          </w:tcPr>
          <w:p w14:paraId="5A92F957" w14:textId="5A53D3A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(17.07%)</w:t>
            </w:r>
          </w:p>
        </w:tc>
        <w:tc>
          <w:tcPr>
            <w:tcW w:w="756" w:type="dxa"/>
            <w:gridSpan w:val="2"/>
            <w:tcBorders>
              <w:top w:val="nil"/>
              <w:bottom w:val="nil"/>
            </w:tcBorders>
          </w:tcPr>
          <w:p w14:paraId="3B4C4436"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91</w:t>
            </w:r>
          </w:p>
        </w:tc>
        <w:tc>
          <w:tcPr>
            <w:tcW w:w="1033" w:type="dxa"/>
            <w:gridSpan w:val="2"/>
            <w:tcBorders>
              <w:top w:val="nil"/>
              <w:bottom w:val="nil"/>
            </w:tcBorders>
          </w:tcPr>
          <w:p w14:paraId="53745F43" w14:textId="17F730E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(14.89%)</w:t>
            </w:r>
          </w:p>
        </w:tc>
      </w:tr>
      <w:tr w:rsidR="000D3033" w:rsidRPr="007700C1" w14:paraId="4B7E43B9"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6A28847" w14:textId="25F98D2D" w:rsidR="000D3033" w:rsidRPr="0032272E" w:rsidRDefault="000D3033" w:rsidP="001E66E8">
            <w:pPr>
              <w:rPr>
                <w:b w:val="0"/>
                <w:bCs w:val="0"/>
                <w:i/>
                <w:iCs/>
                <w:sz w:val="18"/>
                <w:szCs w:val="18"/>
                <w:lang w:val="en-US"/>
              </w:rPr>
            </w:pPr>
            <w:r w:rsidRPr="0032272E">
              <w:rPr>
                <w:sz w:val="18"/>
                <w:szCs w:val="18"/>
              </w:rPr>
              <w:t>S</w:t>
            </w:r>
            <w:r>
              <w:rPr>
                <w:sz w:val="18"/>
                <w:szCs w:val="18"/>
              </w:rPr>
              <w:t xml:space="preserve">uperior </w:t>
            </w:r>
            <w:r w:rsidRPr="0032272E">
              <w:rPr>
                <w:sz w:val="18"/>
                <w:szCs w:val="18"/>
              </w:rPr>
              <w:t>T</w:t>
            </w:r>
            <w:r>
              <w:rPr>
                <w:sz w:val="18"/>
                <w:szCs w:val="18"/>
              </w:rPr>
              <w:t xml:space="preserve">emporal </w:t>
            </w:r>
            <w:r w:rsidRPr="0032272E">
              <w:rPr>
                <w:sz w:val="18"/>
                <w:szCs w:val="18"/>
              </w:rPr>
              <w:t>G</w:t>
            </w:r>
            <w:r>
              <w:rPr>
                <w:sz w:val="18"/>
                <w:szCs w:val="18"/>
              </w:rPr>
              <w:t xml:space="preserve">yrus </w:t>
            </w:r>
            <w:r w:rsidRPr="002B0A6A">
              <w:rPr>
                <w:b w:val="0"/>
                <w:sz w:val="16"/>
                <w:szCs w:val="18"/>
              </w:rPr>
              <w:t>(STG)</w:t>
            </w:r>
          </w:p>
        </w:tc>
        <w:tc>
          <w:tcPr>
            <w:tcW w:w="508" w:type="dxa"/>
            <w:tcBorders>
              <w:top w:val="nil"/>
              <w:bottom w:val="nil"/>
            </w:tcBorders>
            <w:shd w:val="clear" w:color="auto" w:fill="F2F2F2" w:themeFill="background1" w:themeFillShade="F2"/>
          </w:tcPr>
          <w:p w14:paraId="4CAAD918" w14:textId="77777777"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156</w:t>
            </w:r>
          </w:p>
        </w:tc>
        <w:tc>
          <w:tcPr>
            <w:tcW w:w="1378" w:type="dxa"/>
            <w:tcBorders>
              <w:top w:val="nil"/>
              <w:bottom w:val="nil"/>
            </w:tcBorders>
            <w:shd w:val="clear" w:color="auto" w:fill="F2F2F2" w:themeFill="background1" w:themeFillShade="F2"/>
          </w:tcPr>
          <w:p w14:paraId="6452F058" w14:textId="019DD6C9"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(17.47%)</w:t>
            </w:r>
          </w:p>
        </w:tc>
        <w:tc>
          <w:tcPr>
            <w:tcW w:w="576" w:type="dxa"/>
            <w:gridSpan w:val="2"/>
            <w:tcBorders>
              <w:top w:val="nil"/>
              <w:bottom w:val="nil"/>
            </w:tcBorders>
          </w:tcPr>
          <w:p w14:paraId="2990270D"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18</w:t>
            </w:r>
          </w:p>
        </w:tc>
        <w:tc>
          <w:tcPr>
            <w:tcW w:w="1240" w:type="dxa"/>
            <w:gridSpan w:val="2"/>
            <w:tcBorders>
              <w:top w:val="nil"/>
              <w:bottom w:val="nil"/>
            </w:tcBorders>
          </w:tcPr>
          <w:p w14:paraId="5CDB5707" w14:textId="42E0924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(8.78%)</w:t>
            </w:r>
          </w:p>
        </w:tc>
        <w:tc>
          <w:tcPr>
            <w:tcW w:w="756" w:type="dxa"/>
            <w:gridSpan w:val="2"/>
            <w:tcBorders>
              <w:top w:val="nil"/>
              <w:bottom w:val="nil"/>
            </w:tcBorders>
          </w:tcPr>
          <w:p w14:paraId="2F13D4B1"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118</w:t>
            </w:r>
          </w:p>
        </w:tc>
        <w:tc>
          <w:tcPr>
            <w:tcW w:w="1033" w:type="dxa"/>
            <w:gridSpan w:val="2"/>
            <w:tcBorders>
              <w:top w:val="nil"/>
              <w:bottom w:val="nil"/>
            </w:tcBorders>
          </w:tcPr>
          <w:p w14:paraId="65A6996F" w14:textId="2CC887D2"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(19.31%)</w:t>
            </w:r>
          </w:p>
        </w:tc>
      </w:tr>
      <w:tr w:rsidR="000D3033" w:rsidRPr="007700C1" w14:paraId="2CC1620D" w14:textId="77777777" w:rsidTr="00930AD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single" w:sz="12" w:space="0" w:color="auto"/>
            </w:tcBorders>
          </w:tcPr>
          <w:p w14:paraId="45F8E39A" w14:textId="1A74C4A3" w:rsidR="000D3033" w:rsidRPr="002B0A6A" w:rsidRDefault="000D3033" w:rsidP="001E66E8">
            <w:pPr>
              <w:rPr>
                <w:b w:val="0"/>
                <w:sz w:val="18"/>
                <w:szCs w:val="18"/>
              </w:rPr>
            </w:pPr>
            <w:r w:rsidRPr="0032272E">
              <w:rPr>
                <w:sz w:val="18"/>
                <w:szCs w:val="18"/>
              </w:rPr>
              <w:t>Tha</w:t>
            </w:r>
            <w:r>
              <w:rPr>
                <w:sz w:val="18"/>
                <w:szCs w:val="18"/>
              </w:rPr>
              <w:t xml:space="preserve">lamus </w:t>
            </w:r>
            <w:r w:rsidRPr="002B0A6A">
              <w:rPr>
                <w:b w:val="0"/>
                <w:sz w:val="16"/>
                <w:szCs w:val="18"/>
              </w:rPr>
              <w:t>(Tha)</w:t>
            </w:r>
          </w:p>
        </w:tc>
        <w:tc>
          <w:tcPr>
            <w:tcW w:w="508" w:type="dxa"/>
            <w:tcBorders>
              <w:top w:val="nil"/>
              <w:bottom w:val="single" w:sz="12" w:space="0" w:color="auto"/>
            </w:tcBorders>
            <w:shd w:val="clear" w:color="auto" w:fill="F2F2F2" w:themeFill="background1" w:themeFillShade="F2"/>
          </w:tcPr>
          <w:p w14:paraId="5191413D" w14:textId="77777777"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rPr>
            </w:pPr>
            <w:r w:rsidRPr="0032272E">
              <w:rPr>
                <w:sz w:val="18"/>
                <w:szCs w:val="18"/>
              </w:rPr>
              <w:t>155</w:t>
            </w:r>
          </w:p>
        </w:tc>
        <w:tc>
          <w:tcPr>
            <w:tcW w:w="1378" w:type="dxa"/>
            <w:tcBorders>
              <w:top w:val="nil"/>
              <w:bottom w:val="single" w:sz="12" w:space="0" w:color="auto"/>
            </w:tcBorders>
            <w:shd w:val="clear" w:color="auto" w:fill="F2F2F2" w:themeFill="background1" w:themeFillShade="F2"/>
          </w:tcPr>
          <w:p w14:paraId="78406B26" w14:textId="59F1E25E"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(17.36%)</w:t>
            </w:r>
          </w:p>
        </w:tc>
        <w:tc>
          <w:tcPr>
            <w:tcW w:w="576" w:type="dxa"/>
            <w:gridSpan w:val="2"/>
            <w:tcBorders>
              <w:top w:val="nil"/>
              <w:bottom w:val="single" w:sz="12" w:space="0" w:color="auto"/>
            </w:tcBorders>
          </w:tcPr>
          <w:p w14:paraId="33F7FCC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51</w:t>
            </w:r>
          </w:p>
        </w:tc>
        <w:tc>
          <w:tcPr>
            <w:tcW w:w="1240" w:type="dxa"/>
            <w:gridSpan w:val="2"/>
            <w:tcBorders>
              <w:top w:val="nil"/>
              <w:bottom w:val="single" w:sz="12" w:space="0" w:color="auto"/>
            </w:tcBorders>
          </w:tcPr>
          <w:p w14:paraId="5A5B99B3" w14:textId="6BCB5B05"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(24.88%)</w:t>
            </w:r>
          </w:p>
        </w:tc>
        <w:tc>
          <w:tcPr>
            <w:tcW w:w="756" w:type="dxa"/>
            <w:gridSpan w:val="2"/>
            <w:tcBorders>
              <w:top w:val="nil"/>
              <w:bottom w:val="single" w:sz="12" w:space="0" w:color="auto"/>
            </w:tcBorders>
          </w:tcPr>
          <w:p w14:paraId="36A9C306"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61</w:t>
            </w:r>
          </w:p>
        </w:tc>
        <w:tc>
          <w:tcPr>
            <w:tcW w:w="1033" w:type="dxa"/>
            <w:gridSpan w:val="2"/>
            <w:tcBorders>
              <w:top w:val="nil"/>
              <w:bottom w:val="single" w:sz="12" w:space="0" w:color="auto"/>
            </w:tcBorders>
          </w:tcPr>
          <w:p w14:paraId="07243C7A" w14:textId="4B004A2E"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(9.98%)</w:t>
            </w:r>
          </w:p>
        </w:tc>
      </w:tr>
    </w:tbl>
    <w:p w14:paraId="1AAB40BD" w14:textId="51FBCE74" w:rsidR="00705244" w:rsidRPr="000D3033" w:rsidRDefault="000D3033" w:rsidP="0089785B">
      <w:pPr>
        <w:rPr>
          <w:sz w:val="18"/>
        </w:rPr>
      </w:pPr>
      <w:r>
        <w:br/>
      </w:r>
      <w:r w:rsidR="00EC203E">
        <w:rPr>
          <w:sz w:val="18"/>
        </w:rPr>
        <w:t xml:space="preserve">Results are given as number of significant disconnections associated with this region (percentage relative to total number of disconnections). </w:t>
      </w:r>
      <w:r w:rsidR="002B0A6A">
        <w:rPr>
          <w:sz w:val="18"/>
        </w:rPr>
        <w:t>Regions are based on the BN-246 (</w:t>
      </w:r>
      <w:r w:rsidR="002B0A6A" w:rsidRPr="00747EBA">
        <w:rPr>
          <w:sz w:val="18"/>
        </w:rPr>
        <w:t>Fan et al., 2016</w:t>
      </w:r>
      <w:r w:rsidR="002B0A6A">
        <w:rPr>
          <w:sz w:val="18"/>
        </w:rPr>
        <w:t>) atlas.</w:t>
      </w:r>
      <w:r w:rsidR="002A4CD5">
        <w:rPr>
          <w:sz w:val="18"/>
        </w:rPr>
        <w:t xml:space="preserve"> It is important to note that these percentages add up to 200% – this is because there are always 2 nodes/regions involved in a disconnection. Thus, there are twice as many disconnected nodes as there are disconnections. </w:t>
      </w:r>
    </w:p>
    <w:p w14:paraId="6BB22538" w14:textId="4A03DAE8" w:rsidR="00EC203E" w:rsidRDefault="00EC203E" w:rsidP="0089785B"/>
    <w:p w14:paraId="269F1463" w14:textId="77777777" w:rsidR="007B0B61" w:rsidRDefault="007B0B61">
      <w:pPr>
        <w:rPr>
          <w:b/>
          <w:highlight w:val="yellow"/>
        </w:rPr>
      </w:pPr>
      <w:r>
        <w:rPr>
          <w:b/>
          <w:highlight w:val="yellow"/>
        </w:rPr>
        <w:br w:type="page"/>
      </w:r>
    </w:p>
    <w:p w14:paraId="3B10EE26" w14:textId="77777777" w:rsidR="007B0B61" w:rsidRPr="007B0B61" w:rsidRDefault="007B0B61" w:rsidP="007B0B61">
      <w:pPr>
        <w:jc w:val="center"/>
        <w:rPr>
          <w:rFonts w:eastAsia="Times New Roman" w:cs="Arial"/>
        </w:rPr>
      </w:pPr>
      <w:bookmarkStart w:id="58" w:name="_Appendix_C:_Supplementary"/>
      <w:bookmarkEnd w:id="58"/>
      <w:r w:rsidRPr="007B0B61">
        <w:rPr>
          <w:rFonts w:eastAsia="Times New Roman" w:cs="Arial"/>
        </w:rPr>
        <w:lastRenderedPageBreak/>
        <w:t>All Neglect:</w:t>
      </w:r>
    </w:p>
    <w:p w14:paraId="138CF8CE"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3F907658" wp14:editId="2418E530">
            <wp:extent cx="5084445" cy="1115060"/>
            <wp:effectExtent l="0" t="0" r="1905" b="8890"/>
            <wp:docPr id="86" name="Bild 86" descr="Ein Bild, das Text, Keramikwaren, Zahn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in Bild, das Text, Keramikwaren, Zahnrad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4445" cy="1115060"/>
                    </a:xfrm>
                    <a:prstGeom prst="rect">
                      <a:avLst/>
                    </a:prstGeom>
                    <a:noFill/>
                    <a:ln>
                      <a:noFill/>
                    </a:ln>
                  </pic:spPr>
                </pic:pic>
              </a:graphicData>
            </a:graphic>
          </wp:inline>
        </w:drawing>
      </w:r>
    </w:p>
    <w:p w14:paraId="2231B7E0" w14:textId="77777777" w:rsidR="007B0B61" w:rsidRPr="007B0B61" w:rsidRDefault="007B0B61" w:rsidP="007B0B61">
      <w:pPr>
        <w:jc w:val="center"/>
        <w:rPr>
          <w:rFonts w:eastAsia="Times New Roman" w:cs="Arial"/>
        </w:rPr>
      </w:pPr>
      <w:r w:rsidRPr="007B0B61">
        <w:rPr>
          <w:rFonts w:eastAsia="Times New Roman" w:cs="Arial"/>
        </w:rPr>
        <w:t>Female Neglect:</w:t>
      </w:r>
    </w:p>
    <w:p w14:paraId="6867D953"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6A1D2665" wp14:editId="7B56E73A">
            <wp:extent cx="5050155" cy="1115060"/>
            <wp:effectExtent l="0" t="0" r="0" b="8890"/>
            <wp:docPr id="87"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0155" cy="1115060"/>
                    </a:xfrm>
                    <a:prstGeom prst="rect">
                      <a:avLst/>
                    </a:prstGeom>
                    <a:noFill/>
                    <a:ln>
                      <a:noFill/>
                    </a:ln>
                  </pic:spPr>
                </pic:pic>
              </a:graphicData>
            </a:graphic>
          </wp:inline>
        </w:drawing>
      </w:r>
    </w:p>
    <w:p w14:paraId="730933E5" w14:textId="77777777" w:rsidR="007B0B61" w:rsidRPr="007B0B61" w:rsidRDefault="007B0B61" w:rsidP="007B0B61">
      <w:pPr>
        <w:jc w:val="center"/>
        <w:rPr>
          <w:rFonts w:eastAsia="Times New Roman" w:cs="Arial"/>
        </w:rPr>
      </w:pPr>
      <w:r w:rsidRPr="007B0B61">
        <w:rPr>
          <w:rFonts w:eastAsia="Times New Roman" w:cs="Arial"/>
        </w:rPr>
        <w:t>Male Neglect:</w:t>
      </w:r>
    </w:p>
    <w:p w14:paraId="4318C3DD" w14:textId="15350D97" w:rsidR="007B0B61" w:rsidRDefault="007B0B61" w:rsidP="007B0B61">
      <w:pPr>
        <w:jc w:val="center"/>
        <w:rPr>
          <w:rFonts w:eastAsia="Times New Roman" w:cs="Arial"/>
        </w:rPr>
      </w:pPr>
      <w:r w:rsidRPr="007B0B61">
        <w:rPr>
          <w:rFonts w:eastAsia="Times New Roman" w:cs="Arial"/>
          <w:noProof/>
          <w:lang w:val="en-US"/>
        </w:rPr>
        <w:drawing>
          <wp:inline distT="0" distB="0" distL="0" distR="0" wp14:anchorId="4FF1838C" wp14:editId="7F5065DA">
            <wp:extent cx="5015230" cy="1108075"/>
            <wp:effectExtent l="0" t="0" r="0" b="0"/>
            <wp:docPr id="88" name="Bild 88" descr="Ein Bild, das Text, Primat, Säuget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in Bild, das Text, Primat, Säugetier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5230" cy="1108075"/>
                    </a:xfrm>
                    <a:prstGeom prst="rect">
                      <a:avLst/>
                    </a:prstGeom>
                    <a:noFill/>
                    <a:ln>
                      <a:noFill/>
                    </a:ln>
                  </pic:spPr>
                </pic:pic>
              </a:graphicData>
            </a:graphic>
          </wp:inline>
        </w:drawing>
      </w:r>
    </w:p>
    <w:p w14:paraId="2F570A09" w14:textId="464F25BA" w:rsidR="00A036BE" w:rsidRPr="00A036BE" w:rsidRDefault="00A036BE" w:rsidP="00A036BE">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w:t>
      </w:r>
      <w:r w:rsidRPr="00A036BE">
        <w:rPr>
          <w:rFonts w:eastAsia="Times New Roman" w:cs="Arial"/>
          <w:sz w:val="18"/>
        </w:rPr>
        <w:t>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(Rorden &amp; Brett, 2000).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p>
    <w:p w14:paraId="281ECFE0" w14:textId="77777777" w:rsidR="007B0B61" w:rsidRPr="007B0B61" w:rsidRDefault="007B0B61" w:rsidP="007B0B61">
      <w:pPr>
        <w:jc w:val="center"/>
        <w:rPr>
          <w:rFonts w:eastAsia="Times New Roman" w:cs="Arial"/>
        </w:rPr>
      </w:pPr>
    </w:p>
    <w:p w14:paraId="0C8FEFE9" w14:textId="77777777" w:rsidR="007B0B61" w:rsidRPr="007B0B61" w:rsidRDefault="007B0B61" w:rsidP="007B0B61">
      <w:pPr>
        <w:jc w:val="center"/>
        <w:rPr>
          <w:rFonts w:eastAsia="Times New Roman" w:cs="Arial"/>
        </w:rPr>
      </w:pPr>
      <w:r w:rsidRPr="007B0B61">
        <w:rPr>
          <w:rFonts w:eastAsia="Times New Roman" w:cs="Arial"/>
        </w:rPr>
        <w:t>All Control:</w:t>
      </w:r>
    </w:p>
    <w:p w14:paraId="08F36942"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4A604DC9" wp14:editId="6B94FFF1">
            <wp:extent cx="5126355" cy="1129030"/>
            <wp:effectExtent l="0" t="0" r="0" b="0"/>
            <wp:docPr id="89" name="Grafik 4" descr="Ein Bild, das Text, Rad, Zahn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Ein Bild, das Text, Rad, Zahnrad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6355" cy="1129030"/>
                    </a:xfrm>
                    <a:prstGeom prst="rect">
                      <a:avLst/>
                    </a:prstGeom>
                    <a:noFill/>
                    <a:ln>
                      <a:noFill/>
                    </a:ln>
                  </pic:spPr>
                </pic:pic>
              </a:graphicData>
            </a:graphic>
          </wp:inline>
        </w:drawing>
      </w:r>
    </w:p>
    <w:p w14:paraId="7D19B182" w14:textId="77777777" w:rsidR="007B0B61" w:rsidRPr="007B0B61" w:rsidRDefault="007B0B61" w:rsidP="007B0B61">
      <w:pPr>
        <w:jc w:val="center"/>
        <w:rPr>
          <w:rFonts w:eastAsia="Times New Roman" w:cs="Arial"/>
        </w:rPr>
      </w:pPr>
      <w:r w:rsidRPr="007B0B61">
        <w:rPr>
          <w:rFonts w:eastAsia="Times New Roman" w:cs="Arial"/>
        </w:rPr>
        <w:t>Female Control:</w:t>
      </w:r>
    </w:p>
    <w:p w14:paraId="5DBBD2B1" w14:textId="77777777" w:rsidR="007B0B61" w:rsidRPr="007B0B61" w:rsidRDefault="007B0B61" w:rsidP="007B0B61">
      <w:pPr>
        <w:jc w:val="center"/>
        <w:rPr>
          <w:rFonts w:eastAsia="Times New Roman" w:cs="Arial"/>
        </w:rPr>
      </w:pPr>
      <w:r w:rsidRPr="007B0B61">
        <w:rPr>
          <w:rFonts w:eastAsia="Times New Roman" w:cs="Arial"/>
          <w:noProof/>
          <w:lang w:val="en-US"/>
        </w:rPr>
        <w:lastRenderedPageBreak/>
        <w:drawing>
          <wp:inline distT="0" distB="0" distL="0" distR="0" wp14:anchorId="4E2BBE48" wp14:editId="7F2FA233">
            <wp:extent cx="5209540" cy="1143000"/>
            <wp:effectExtent l="0" t="0" r="0" b="0"/>
            <wp:docPr id="90" name="Bild 90" descr="Ein Bild, das Text, Zahn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in Bild, das Text, Zahnrad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9540" cy="1143000"/>
                    </a:xfrm>
                    <a:prstGeom prst="rect">
                      <a:avLst/>
                    </a:prstGeom>
                    <a:noFill/>
                    <a:ln>
                      <a:noFill/>
                    </a:ln>
                  </pic:spPr>
                </pic:pic>
              </a:graphicData>
            </a:graphic>
          </wp:inline>
        </w:drawing>
      </w:r>
    </w:p>
    <w:p w14:paraId="098EC3EB" w14:textId="77777777" w:rsidR="007B0B61" w:rsidRPr="007B0B61" w:rsidRDefault="007B0B61" w:rsidP="007B0B61">
      <w:pPr>
        <w:jc w:val="center"/>
        <w:rPr>
          <w:rFonts w:eastAsia="Times New Roman" w:cs="Arial"/>
        </w:rPr>
      </w:pPr>
    </w:p>
    <w:p w14:paraId="44FECC43" w14:textId="77777777" w:rsidR="007B0B61" w:rsidRPr="007B0B61" w:rsidRDefault="007B0B61" w:rsidP="007B0B61">
      <w:pPr>
        <w:jc w:val="center"/>
        <w:rPr>
          <w:rFonts w:eastAsia="Times New Roman" w:cs="Arial"/>
        </w:rPr>
      </w:pPr>
    </w:p>
    <w:p w14:paraId="7DEF0186" w14:textId="77777777" w:rsidR="007B0B61" w:rsidRPr="007B0B61" w:rsidRDefault="007B0B61" w:rsidP="007B0B61">
      <w:pPr>
        <w:jc w:val="center"/>
        <w:rPr>
          <w:rFonts w:eastAsia="Times New Roman" w:cs="Arial"/>
        </w:rPr>
      </w:pPr>
      <w:r w:rsidRPr="007B0B61">
        <w:rPr>
          <w:rFonts w:eastAsia="Times New Roman" w:cs="Arial"/>
        </w:rPr>
        <w:t>Male Control:</w:t>
      </w:r>
    </w:p>
    <w:p w14:paraId="551A740E"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616E7AC2" wp14:editId="6668449C">
            <wp:extent cx="5257800" cy="1156970"/>
            <wp:effectExtent l="0" t="0" r="0" b="5080"/>
            <wp:docPr id="91" name="Bild 9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156970"/>
                    </a:xfrm>
                    <a:prstGeom prst="rect">
                      <a:avLst/>
                    </a:prstGeom>
                    <a:noFill/>
                    <a:ln>
                      <a:noFill/>
                    </a:ln>
                  </pic:spPr>
                </pic:pic>
              </a:graphicData>
            </a:graphic>
          </wp:inline>
        </w:drawing>
      </w:r>
    </w:p>
    <w:p w14:paraId="70A662F8" w14:textId="05C1C16F" w:rsidR="00087B17" w:rsidRPr="00A036BE" w:rsidRDefault="00087B17" w:rsidP="00087B17">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non-</w:t>
      </w:r>
      <w:r>
        <w:rPr>
          <w:rFonts w:eastAsia="Times New Roman" w:cs="Arial"/>
          <w:sz w:val="18"/>
          <w:szCs w:val="18"/>
        </w:rPr>
        <w:t xml:space="preserve">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w:t>
      </w:r>
      <w:r>
        <w:rPr>
          <w:rFonts w:eastAsia="Times New Roman" w:cs="Arial"/>
          <w:sz w:val="18"/>
          <w:szCs w:val="18"/>
        </w:rPr>
        <w:t>63</w:t>
      </w:r>
      <w:r>
        <w:rPr>
          <w:rFonts w:eastAsia="Times New Roman" w:cs="Arial"/>
          <w:sz w:val="18"/>
          <w:szCs w:val="18"/>
        </w:rPr>
        <w:t xml:space="preserve">)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(Rorden &amp; Brett, 2000).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p>
    <w:p w14:paraId="72E31905" w14:textId="77777777" w:rsidR="007B0B61" w:rsidRPr="007B0B61" w:rsidRDefault="007B0B61" w:rsidP="007B0B61">
      <w:pPr>
        <w:rPr>
          <w:rFonts w:eastAsia="Times New Roman" w:cs="Arial"/>
        </w:rPr>
      </w:pPr>
    </w:p>
    <w:p w14:paraId="1172D5E7" w14:textId="46DF3F52" w:rsidR="007B0B61" w:rsidRDefault="007B0B61" w:rsidP="007F163D">
      <w:pPr>
        <w:rPr>
          <w:rFonts w:ascii="Avenir Next LT Pro Light" w:eastAsiaTheme="majorEastAsia" w:hAnsi="Avenir Next LT Pro Light" w:cstheme="majorBidi"/>
          <w:spacing w:val="4"/>
          <w:sz w:val="24"/>
          <w:szCs w:val="24"/>
        </w:rPr>
      </w:pPr>
    </w:p>
    <w:sectPr w:rsidR="007B0B61"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D8330" w14:textId="77777777" w:rsidR="00E47F07" w:rsidRDefault="00E47F07" w:rsidP="00CB3E93">
      <w:pPr>
        <w:spacing w:after="0" w:line="240" w:lineRule="auto"/>
      </w:pPr>
      <w:r>
        <w:separator/>
      </w:r>
    </w:p>
  </w:endnote>
  <w:endnote w:type="continuationSeparator" w:id="0">
    <w:p w14:paraId="7BA68BC5" w14:textId="77777777" w:rsidR="00E47F07" w:rsidRDefault="00E47F07"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5CB0DC" w14:textId="77777777" w:rsidR="00E47F07" w:rsidRDefault="00E47F07" w:rsidP="00CB3E93">
      <w:pPr>
        <w:spacing w:after="0" w:line="240" w:lineRule="auto"/>
      </w:pPr>
      <w:r>
        <w:separator/>
      </w:r>
    </w:p>
  </w:footnote>
  <w:footnote w:type="continuationSeparator" w:id="0">
    <w:p w14:paraId="5A9A606A" w14:textId="77777777" w:rsidR="00E47F07" w:rsidRDefault="00E47F07"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4"/>
  </w:num>
  <w:num w:numId="4">
    <w:abstractNumId w:val="11"/>
  </w:num>
  <w:num w:numId="5">
    <w:abstractNumId w:val="7"/>
  </w:num>
  <w:num w:numId="6">
    <w:abstractNumId w:val="5"/>
  </w:num>
  <w:num w:numId="7">
    <w:abstractNumId w:val="10"/>
  </w:num>
  <w:num w:numId="8">
    <w:abstractNumId w:val="13"/>
  </w:num>
  <w:num w:numId="9">
    <w:abstractNumId w:val="4"/>
  </w:num>
  <w:num w:numId="10">
    <w:abstractNumId w:val="9"/>
  </w:num>
  <w:num w:numId="11">
    <w:abstractNumId w:val="8"/>
  </w:num>
  <w:num w:numId="12">
    <w:abstractNumId w:val="1"/>
  </w:num>
  <w:num w:numId="13">
    <w:abstractNumId w:val="6"/>
  </w:num>
  <w:num w:numId="14">
    <w:abstractNumId w:val="0"/>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4094"/>
    <w:rsid w:val="000202B2"/>
    <w:rsid w:val="00020544"/>
    <w:rsid w:val="000215D3"/>
    <w:rsid w:val="0002238E"/>
    <w:rsid w:val="0002756A"/>
    <w:rsid w:val="00032720"/>
    <w:rsid w:val="00035C14"/>
    <w:rsid w:val="000401C8"/>
    <w:rsid w:val="00041584"/>
    <w:rsid w:val="000418A0"/>
    <w:rsid w:val="00042C90"/>
    <w:rsid w:val="00042D33"/>
    <w:rsid w:val="00046936"/>
    <w:rsid w:val="000516EB"/>
    <w:rsid w:val="00053AE6"/>
    <w:rsid w:val="0005473C"/>
    <w:rsid w:val="00055D2E"/>
    <w:rsid w:val="000610EC"/>
    <w:rsid w:val="00061276"/>
    <w:rsid w:val="00066034"/>
    <w:rsid w:val="00066CBF"/>
    <w:rsid w:val="0007141D"/>
    <w:rsid w:val="00071492"/>
    <w:rsid w:val="000720EF"/>
    <w:rsid w:val="00073A7D"/>
    <w:rsid w:val="00073B98"/>
    <w:rsid w:val="00086760"/>
    <w:rsid w:val="00087B17"/>
    <w:rsid w:val="00090387"/>
    <w:rsid w:val="0009277F"/>
    <w:rsid w:val="00094336"/>
    <w:rsid w:val="00096099"/>
    <w:rsid w:val="0009646C"/>
    <w:rsid w:val="000A01A2"/>
    <w:rsid w:val="000B5533"/>
    <w:rsid w:val="000C25DA"/>
    <w:rsid w:val="000C2D56"/>
    <w:rsid w:val="000C45C6"/>
    <w:rsid w:val="000C5440"/>
    <w:rsid w:val="000D19C6"/>
    <w:rsid w:val="000D3033"/>
    <w:rsid w:val="000D326F"/>
    <w:rsid w:val="000E18A1"/>
    <w:rsid w:val="000E4F41"/>
    <w:rsid w:val="000E5F13"/>
    <w:rsid w:val="000E6740"/>
    <w:rsid w:val="000E6E5F"/>
    <w:rsid w:val="000F63CF"/>
    <w:rsid w:val="001046FF"/>
    <w:rsid w:val="00104F1E"/>
    <w:rsid w:val="00105A79"/>
    <w:rsid w:val="001075F2"/>
    <w:rsid w:val="00112A19"/>
    <w:rsid w:val="00116C64"/>
    <w:rsid w:val="00120CCF"/>
    <w:rsid w:val="00121A79"/>
    <w:rsid w:val="001224B9"/>
    <w:rsid w:val="00122615"/>
    <w:rsid w:val="00124815"/>
    <w:rsid w:val="00126F2E"/>
    <w:rsid w:val="00131067"/>
    <w:rsid w:val="0013718F"/>
    <w:rsid w:val="0013785F"/>
    <w:rsid w:val="00142796"/>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1988"/>
    <w:rsid w:val="001D4A41"/>
    <w:rsid w:val="001D5A1E"/>
    <w:rsid w:val="001D65E8"/>
    <w:rsid w:val="001E5835"/>
    <w:rsid w:val="001E66E8"/>
    <w:rsid w:val="001F1F21"/>
    <w:rsid w:val="001F2122"/>
    <w:rsid w:val="00201C43"/>
    <w:rsid w:val="00205BF0"/>
    <w:rsid w:val="00206AB3"/>
    <w:rsid w:val="00207421"/>
    <w:rsid w:val="0020779B"/>
    <w:rsid w:val="00211340"/>
    <w:rsid w:val="00211D81"/>
    <w:rsid w:val="00215279"/>
    <w:rsid w:val="0021587A"/>
    <w:rsid w:val="0022454D"/>
    <w:rsid w:val="00230E9A"/>
    <w:rsid w:val="0023210C"/>
    <w:rsid w:val="00232B4F"/>
    <w:rsid w:val="00232F09"/>
    <w:rsid w:val="00233381"/>
    <w:rsid w:val="00234634"/>
    <w:rsid w:val="0023533A"/>
    <w:rsid w:val="00235BF2"/>
    <w:rsid w:val="00241286"/>
    <w:rsid w:val="00242682"/>
    <w:rsid w:val="0024272E"/>
    <w:rsid w:val="00243C12"/>
    <w:rsid w:val="00243EC4"/>
    <w:rsid w:val="00246198"/>
    <w:rsid w:val="002571FF"/>
    <w:rsid w:val="00264207"/>
    <w:rsid w:val="00271097"/>
    <w:rsid w:val="00273371"/>
    <w:rsid w:val="00275F68"/>
    <w:rsid w:val="0027797F"/>
    <w:rsid w:val="0028026F"/>
    <w:rsid w:val="0028051B"/>
    <w:rsid w:val="00282910"/>
    <w:rsid w:val="00282BD5"/>
    <w:rsid w:val="002865F3"/>
    <w:rsid w:val="002944AE"/>
    <w:rsid w:val="00294F36"/>
    <w:rsid w:val="00295540"/>
    <w:rsid w:val="00296FFC"/>
    <w:rsid w:val="002A492C"/>
    <w:rsid w:val="002A4CD5"/>
    <w:rsid w:val="002A50CB"/>
    <w:rsid w:val="002A737C"/>
    <w:rsid w:val="002B07A0"/>
    <w:rsid w:val="002B0A6A"/>
    <w:rsid w:val="002B3A5B"/>
    <w:rsid w:val="002B5F04"/>
    <w:rsid w:val="002C04FD"/>
    <w:rsid w:val="002C341C"/>
    <w:rsid w:val="002C3DC4"/>
    <w:rsid w:val="002C44D8"/>
    <w:rsid w:val="002C590D"/>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30D5"/>
    <w:rsid w:val="003231A3"/>
    <w:rsid w:val="003231E9"/>
    <w:rsid w:val="00323962"/>
    <w:rsid w:val="00326D20"/>
    <w:rsid w:val="00335A09"/>
    <w:rsid w:val="00340DDF"/>
    <w:rsid w:val="003454B0"/>
    <w:rsid w:val="00346AE4"/>
    <w:rsid w:val="00350408"/>
    <w:rsid w:val="00350FC4"/>
    <w:rsid w:val="00353508"/>
    <w:rsid w:val="0035653D"/>
    <w:rsid w:val="00361267"/>
    <w:rsid w:val="00364889"/>
    <w:rsid w:val="00365663"/>
    <w:rsid w:val="00366610"/>
    <w:rsid w:val="0037625B"/>
    <w:rsid w:val="00376416"/>
    <w:rsid w:val="00376FFF"/>
    <w:rsid w:val="0037781E"/>
    <w:rsid w:val="0038224A"/>
    <w:rsid w:val="00391FEC"/>
    <w:rsid w:val="003922D2"/>
    <w:rsid w:val="0039238E"/>
    <w:rsid w:val="0039415E"/>
    <w:rsid w:val="00394882"/>
    <w:rsid w:val="003955C1"/>
    <w:rsid w:val="00396304"/>
    <w:rsid w:val="003A0907"/>
    <w:rsid w:val="003B65EB"/>
    <w:rsid w:val="003C00D2"/>
    <w:rsid w:val="003C4DBA"/>
    <w:rsid w:val="003C513A"/>
    <w:rsid w:val="003C5B59"/>
    <w:rsid w:val="003C7491"/>
    <w:rsid w:val="003C78B0"/>
    <w:rsid w:val="003D0178"/>
    <w:rsid w:val="003D7287"/>
    <w:rsid w:val="003E4337"/>
    <w:rsid w:val="003E6FF7"/>
    <w:rsid w:val="003F633E"/>
    <w:rsid w:val="003F65BA"/>
    <w:rsid w:val="004032CA"/>
    <w:rsid w:val="00405B4B"/>
    <w:rsid w:val="004078EA"/>
    <w:rsid w:val="00411C97"/>
    <w:rsid w:val="00413D4E"/>
    <w:rsid w:val="004148D1"/>
    <w:rsid w:val="00414B1A"/>
    <w:rsid w:val="004175F3"/>
    <w:rsid w:val="004217D9"/>
    <w:rsid w:val="00425789"/>
    <w:rsid w:val="00426A76"/>
    <w:rsid w:val="00427A3C"/>
    <w:rsid w:val="00430144"/>
    <w:rsid w:val="00430B12"/>
    <w:rsid w:val="00431907"/>
    <w:rsid w:val="004331E1"/>
    <w:rsid w:val="004345A1"/>
    <w:rsid w:val="00434928"/>
    <w:rsid w:val="0043713C"/>
    <w:rsid w:val="00437BB3"/>
    <w:rsid w:val="00443230"/>
    <w:rsid w:val="00444296"/>
    <w:rsid w:val="00444BBB"/>
    <w:rsid w:val="0044590A"/>
    <w:rsid w:val="00446869"/>
    <w:rsid w:val="00447FE5"/>
    <w:rsid w:val="00460687"/>
    <w:rsid w:val="00467303"/>
    <w:rsid w:val="00471D19"/>
    <w:rsid w:val="004779C8"/>
    <w:rsid w:val="00477E0E"/>
    <w:rsid w:val="00481268"/>
    <w:rsid w:val="004813BB"/>
    <w:rsid w:val="004817E4"/>
    <w:rsid w:val="00483B4A"/>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4F98"/>
    <w:rsid w:val="004C6CFC"/>
    <w:rsid w:val="004D0CF4"/>
    <w:rsid w:val="004D28F8"/>
    <w:rsid w:val="004D5A5E"/>
    <w:rsid w:val="004E0D26"/>
    <w:rsid w:val="004E3B8F"/>
    <w:rsid w:val="004F09A7"/>
    <w:rsid w:val="004F1D60"/>
    <w:rsid w:val="004F2EBC"/>
    <w:rsid w:val="004F5B90"/>
    <w:rsid w:val="004F614A"/>
    <w:rsid w:val="004F70DB"/>
    <w:rsid w:val="00501973"/>
    <w:rsid w:val="005040E8"/>
    <w:rsid w:val="00510062"/>
    <w:rsid w:val="005123FC"/>
    <w:rsid w:val="00512A5C"/>
    <w:rsid w:val="0051458F"/>
    <w:rsid w:val="005156E8"/>
    <w:rsid w:val="00517C61"/>
    <w:rsid w:val="00517FAB"/>
    <w:rsid w:val="00521D7D"/>
    <w:rsid w:val="00524012"/>
    <w:rsid w:val="005268C1"/>
    <w:rsid w:val="00526DFC"/>
    <w:rsid w:val="0052736D"/>
    <w:rsid w:val="00527768"/>
    <w:rsid w:val="00527808"/>
    <w:rsid w:val="00532E4A"/>
    <w:rsid w:val="00533EFF"/>
    <w:rsid w:val="00542A58"/>
    <w:rsid w:val="005436F9"/>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386"/>
    <w:rsid w:val="005B2D23"/>
    <w:rsid w:val="005B4C29"/>
    <w:rsid w:val="005B5334"/>
    <w:rsid w:val="005B6533"/>
    <w:rsid w:val="005B6EE1"/>
    <w:rsid w:val="005B7F30"/>
    <w:rsid w:val="005C04EA"/>
    <w:rsid w:val="005C0690"/>
    <w:rsid w:val="005C1793"/>
    <w:rsid w:val="005C2706"/>
    <w:rsid w:val="005C54EA"/>
    <w:rsid w:val="005D244C"/>
    <w:rsid w:val="005D462A"/>
    <w:rsid w:val="005D7860"/>
    <w:rsid w:val="005E0A5D"/>
    <w:rsid w:val="005E29DA"/>
    <w:rsid w:val="005E65D8"/>
    <w:rsid w:val="005F2064"/>
    <w:rsid w:val="005F26FC"/>
    <w:rsid w:val="005F38F2"/>
    <w:rsid w:val="005F6410"/>
    <w:rsid w:val="00601AEB"/>
    <w:rsid w:val="00601FFB"/>
    <w:rsid w:val="00605B81"/>
    <w:rsid w:val="00606692"/>
    <w:rsid w:val="00606AF9"/>
    <w:rsid w:val="00610D0A"/>
    <w:rsid w:val="00610E4A"/>
    <w:rsid w:val="006116C1"/>
    <w:rsid w:val="006140BA"/>
    <w:rsid w:val="006229B2"/>
    <w:rsid w:val="00630392"/>
    <w:rsid w:val="00630F57"/>
    <w:rsid w:val="00631595"/>
    <w:rsid w:val="006334C2"/>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6C9C"/>
    <w:rsid w:val="006B6ECA"/>
    <w:rsid w:val="006B7D75"/>
    <w:rsid w:val="006C4739"/>
    <w:rsid w:val="006C6739"/>
    <w:rsid w:val="006D06CE"/>
    <w:rsid w:val="006D5D52"/>
    <w:rsid w:val="006D687B"/>
    <w:rsid w:val="006E7509"/>
    <w:rsid w:val="006F0C6C"/>
    <w:rsid w:val="006F12E2"/>
    <w:rsid w:val="006F1A4D"/>
    <w:rsid w:val="006F4663"/>
    <w:rsid w:val="006F56AF"/>
    <w:rsid w:val="006F58DB"/>
    <w:rsid w:val="006F6431"/>
    <w:rsid w:val="006F79C8"/>
    <w:rsid w:val="00700ECE"/>
    <w:rsid w:val="00702D92"/>
    <w:rsid w:val="00705244"/>
    <w:rsid w:val="0070786F"/>
    <w:rsid w:val="00714546"/>
    <w:rsid w:val="00714E13"/>
    <w:rsid w:val="007160AC"/>
    <w:rsid w:val="00720AA2"/>
    <w:rsid w:val="00723AA8"/>
    <w:rsid w:val="00726A3E"/>
    <w:rsid w:val="00731EAE"/>
    <w:rsid w:val="007328BA"/>
    <w:rsid w:val="00734638"/>
    <w:rsid w:val="00742A0F"/>
    <w:rsid w:val="0074637C"/>
    <w:rsid w:val="007478CA"/>
    <w:rsid w:val="00747EBA"/>
    <w:rsid w:val="0075334E"/>
    <w:rsid w:val="00753D2C"/>
    <w:rsid w:val="007554C4"/>
    <w:rsid w:val="0076190C"/>
    <w:rsid w:val="00761D5C"/>
    <w:rsid w:val="00762A97"/>
    <w:rsid w:val="007678E2"/>
    <w:rsid w:val="007700C1"/>
    <w:rsid w:val="007705D9"/>
    <w:rsid w:val="00770B31"/>
    <w:rsid w:val="00777089"/>
    <w:rsid w:val="00784EDD"/>
    <w:rsid w:val="00791532"/>
    <w:rsid w:val="00791BCC"/>
    <w:rsid w:val="007924C0"/>
    <w:rsid w:val="00793980"/>
    <w:rsid w:val="00794574"/>
    <w:rsid w:val="00795A1D"/>
    <w:rsid w:val="0079758D"/>
    <w:rsid w:val="007A1AB8"/>
    <w:rsid w:val="007A3573"/>
    <w:rsid w:val="007A3B42"/>
    <w:rsid w:val="007A54AB"/>
    <w:rsid w:val="007A78F7"/>
    <w:rsid w:val="007B0B61"/>
    <w:rsid w:val="007B1076"/>
    <w:rsid w:val="007B140E"/>
    <w:rsid w:val="007B1C37"/>
    <w:rsid w:val="007B1CE3"/>
    <w:rsid w:val="007B2C63"/>
    <w:rsid w:val="007B6976"/>
    <w:rsid w:val="007C0498"/>
    <w:rsid w:val="007C1572"/>
    <w:rsid w:val="007C626D"/>
    <w:rsid w:val="007C6958"/>
    <w:rsid w:val="007C6FEB"/>
    <w:rsid w:val="007D182A"/>
    <w:rsid w:val="007D293D"/>
    <w:rsid w:val="007E4D78"/>
    <w:rsid w:val="007E55FE"/>
    <w:rsid w:val="007E629A"/>
    <w:rsid w:val="007F0F26"/>
    <w:rsid w:val="007F118B"/>
    <w:rsid w:val="007F163D"/>
    <w:rsid w:val="007F2BD2"/>
    <w:rsid w:val="007F3C26"/>
    <w:rsid w:val="007F51A1"/>
    <w:rsid w:val="007F6BA8"/>
    <w:rsid w:val="008118FB"/>
    <w:rsid w:val="00813824"/>
    <w:rsid w:val="00813963"/>
    <w:rsid w:val="00817DD2"/>
    <w:rsid w:val="0082154F"/>
    <w:rsid w:val="008223D8"/>
    <w:rsid w:val="00825A01"/>
    <w:rsid w:val="00826EC9"/>
    <w:rsid w:val="00830D58"/>
    <w:rsid w:val="00832BF8"/>
    <w:rsid w:val="00834B09"/>
    <w:rsid w:val="0083658E"/>
    <w:rsid w:val="00836643"/>
    <w:rsid w:val="00840863"/>
    <w:rsid w:val="0084162E"/>
    <w:rsid w:val="00842BA6"/>
    <w:rsid w:val="00843B65"/>
    <w:rsid w:val="00843E20"/>
    <w:rsid w:val="00845A63"/>
    <w:rsid w:val="00846E98"/>
    <w:rsid w:val="008518B9"/>
    <w:rsid w:val="00851F12"/>
    <w:rsid w:val="00853921"/>
    <w:rsid w:val="008555F8"/>
    <w:rsid w:val="00857515"/>
    <w:rsid w:val="00857E0B"/>
    <w:rsid w:val="00860327"/>
    <w:rsid w:val="00860A6D"/>
    <w:rsid w:val="00860E50"/>
    <w:rsid w:val="0086245E"/>
    <w:rsid w:val="00864208"/>
    <w:rsid w:val="008662A1"/>
    <w:rsid w:val="008708D1"/>
    <w:rsid w:val="00871E99"/>
    <w:rsid w:val="00873D8B"/>
    <w:rsid w:val="00875CAE"/>
    <w:rsid w:val="00877E15"/>
    <w:rsid w:val="0088382B"/>
    <w:rsid w:val="008845B1"/>
    <w:rsid w:val="00892B96"/>
    <w:rsid w:val="0089642E"/>
    <w:rsid w:val="0089785B"/>
    <w:rsid w:val="00897CE1"/>
    <w:rsid w:val="008A06EC"/>
    <w:rsid w:val="008A5861"/>
    <w:rsid w:val="008B11C2"/>
    <w:rsid w:val="008B1B9D"/>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682D"/>
    <w:rsid w:val="008F68F1"/>
    <w:rsid w:val="00900EAF"/>
    <w:rsid w:val="00905E81"/>
    <w:rsid w:val="00905EE0"/>
    <w:rsid w:val="00907C33"/>
    <w:rsid w:val="00910CD1"/>
    <w:rsid w:val="00915BD7"/>
    <w:rsid w:val="0091657D"/>
    <w:rsid w:val="0092385C"/>
    <w:rsid w:val="00923C20"/>
    <w:rsid w:val="0092609B"/>
    <w:rsid w:val="0092612E"/>
    <w:rsid w:val="009270A8"/>
    <w:rsid w:val="00930AD5"/>
    <w:rsid w:val="0094184A"/>
    <w:rsid w:val="00944DA2"/>
    <w:rsid w:val="00945924"/>
    <w:rsid w:val="00945FB5"/>
    <w:rsid w:val="00950A3D"/>
    <w:rsid w:val="00960CA1"/>
    <w:rsid w:val="0096163C"/>
    <w:rsid w:val="009679A7"/>
    <w:rsid w:val="009731CF"/>
    <w:rsid w:val="00973648"/>
    <w:rsid w:val="00973CC9"/>
    <w:rsid w:val="00974D86"/>
    <w:rsid w:val="00974E24"/>
    <w:rsid w:val="00980B66"/>
    <w:rsid w:val="00982497"/>
    <w:rsid w:val="009841E4"/>
    <w:rsid w:val="00987FC9"/>
    <w:rsid w:val="00992A89"/>
    <w:rsid w:val="00993EE9"/>
    <w:rsid w:val="009A1244"/>
    <w:rsid w:val="009A2B8D"/>
    <w:rsid w:val="009A2C2E"/>
    <w:rsid w:val="009A2D8F"/>
    <w:rsid w:val="009A3687"/>
    <w:rsid w:val="009A37BC"/>
    <w:rsid w:val="009A670F"/>
    <w:rsid w:val="009B3C4E"/>
    <w:rsid w:val="009B3F88"/>
    <w:rsid w:val="009C0B9C"/>
    <w:rsid w:val="009C3EBB"/>
    <w:rsid w:val="009C731D"/>
    <w:rsid w:val="009D2496"/>
    <w:rsid w:val="009D2605"/>
    <w:rsid w:val="009D351B"/>
    <w:rsid w:val="009D4510"/>
    <w:rsid w:val="009D4C17"/>
    <w:rsid w:val="009D5E89"/>
    <w:rsid w:val="009D6F84"/>
    <w:rsid w:val="009D7691"/>
    <w:rsid w:val="009E6C6E"/>
    <w:rsid w:val="009F17C7"/>
    <w:rsid w:val="009F4233"/>
    <w:rsid w:val="009F4AD7"/>
    <w:rsid w:val="00A0198A"/>
    <w:rsid w:val="00A022ED"/>
    <w:rsid w:val="00A02678"/>
    <w:rsid w:val="00A036BE"/>
    <w:rsid w:val="00A06922"/>
    <w:rsid w:val="00A1362F"/>
    <w:rsid w:val="00A15D29"/>
    <w:rsid w:val="00A161AB"/>
    <w:rsid w:val="00A17362"/>
    <w:rsid w:val="00A21640"/>
    <w:rsid w:val="00A23268"/>
    <w:rsid w:val="00A25249"/>
    <w:rsid w:val="00A27977"/>
    <w:rsid w:val="00A30B44"/>
    <w:rsid w:val="00A32570"/>
    <w:rsid w:val="00A32E1E"/>
    <w:rsid w:val="00A34918"/>
    <w:rsid w:val="00A37E51"/>
    <w:rsid w:val="00A37F9B"/>
    <w:rsid w:val="00A40F89"/>
    <w:rsid w:val="00A4617B"/>
    <w:rsid w:val="00A562FB"/>
    <w:rsid w:val="00A579A3"/>
    <w:rsid w:val="00A607CB"/>
    <w:rsid w:val="00A60F05"/>
    <w:rsid w:val="00A64E83"/>
    <w:rsid w:val="00A7162F"/>
    <w:rsid w:val="00A72E7A"/>
    <w:rsid w:val="00A74B41"/>
    <w:rsid w:val="00A75CFC"/>
    <w:rsid w:val="00A8167B"/>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84F"/>
    <w:rsid w:val="00AA3D9F"/>
    <w:rsid w:val="00AA6C6E"/>
    <w:rsid w:val="00AB1FCF"/>
    <w:rsid w:val="00AB2066"/>
    <w:rsid w:val="00AB3F65"/>
    <w:rsid w:val="00AC673A"/>
    <w:rsid w:val="00AC7987"/>
    <w:rsid w:val="00AD13A3"/>
    <w:rsid w:val="00AD3510"/>
    <w:rsid w:val="00AD7706"/>
    <w:rsid w:val="00AE0009"/>
    <w:rsid w:val="00AE3409"/>
    <w:rsid w:val="00AE4D79"/>
    <w:rsid w:val="00AE6D8F"/>
    <w:rsid w:val="00AF0F10"/>
    <w:rsid w:val="00AF1842"/>
    <w:rsid w:val="00AF4DC0"/>
    <w:rsid w:val="00AF7E97"/>
    <w:rsid w:val="00B01412"/>
    <w:rsid w:val="00B06154"/>
    <w:rsid w:val="00B1066D"/>
    <w:rsid w:val="00B10987"/>
    <w:rsid w:val="00B13999"/>
    <w:rsid w:val="00B207BE"/>
    <w:rsid w:val="00B20FE2"/>
    <w:rsid w:val="00B2219D"/>
    <w:rsid w:val="00B225D5"/>
    <w:rsid w:val="00B30793"/>
    <w:rsid w:val="00B32336"/>
    <w:rsid w:val="00B34BF9"/>
    <w:rsid w:val="00B34F2E"/>
    <w:rsid w:val="00B36A39"/>
    <w:rsid w:val="00B401DA"/>
    <w:rsid w:val="00B419AB"/>
    <w:rsid w:val="00B42FCF"/>
    <w:rsid w:val="00B4546E"/>
    <w:rsid w:val="00B51177"/>
    <w:rsid w:val="00B63116"/>
    <w:rsid w:val="00B635A7"/>
    <w:rsid w:val="00B6419A"/>
    <w:rsid w:val="00B65A64"/>
    <w:rsid w:val="00B6655C"/>
    <w:rsid w:val="00B70E52"/>
    <w:rsid w:val="00B72E11"/>
    <w:rsid w:val="00B73858"/>
    <w:rsid w:val="00B8072B"/>
    <w:rsid w:val="00B83D20"/>
    <w:rsid w:val="00B91B93"/>
    <w:rsid w:val="00B95491"/>
    <w:rsid w:val="00B95806"/>
    <w:rsid w:val="00B969FD"/>
    <w:rsid w:val="00B9706B"/>
    <w:rsid w:val="00B97E24"/>
    <w:rsid w:val="00BA0279"/>
    <w:rsid w:val="00BA3830"/>
    <w:rsid w:val="00BA5463"/>
    <w:rsid w:val="00BA71B9"/>
    <w:rsid w:val="00BB1F66"/>
    <w:rsid w:val="00BB557E"/>
    <w:rsid w:val="00BB6ADA"/>
    <w:rsid w:val="00BC21AB"/>
    <w:rsid w:val="00BC4A5A"/>
    <w:rsid w:val="00BD13E8"/>
    <w:rsid w:val="00BD282F"/>
    <w:rsid w:val="00BD519E"/>
    <w:rsid w:val="00BD7A35"/>
    <w:rsid w:val="00BE0402"/>
    <w:rsid w:val="00BE4A55"/>
    <w:rsid w:val="00BF1812"/>
    <w:rsid w:val="00BF46F4"/>
    <w:rsid w:val="00BF636E"/>
    <w:rsid w:val="00C02C4C"/>
    <w:rsid w:val="00C03D96"/>
    <w:rsid w:val="00C0607F"/>
    <w:rsid w:val="00C11106"/>
    <w:rsid w:val="00C12040"/>
    <w:rsid w:val="00C15325"/>
    <w:rsid w:val="00C15C74"/>
    <w:rsid w:val="00C16AA8"/>
    <w:rsid w:val="00C16B0E"/>
    <w:rsid w:val="00C21BE3"/>
    <w:rsid w:val="00C26AB3"/>
    <w:rsid w:val="00C32D29"/>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B3890"/>
    <w:rsid w:val="00CB3E93"/>
    <w:rsid w:val="00CC4871"/>
    <w:rsid w:val="00CC55CE"/>
    <w:rsid w:val="00CD239D"/>
    <w:rsid w:val="00CD532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2171B"/>
    <w:rsid w:val="00D2266E"/>
    <w:rsid w:val="00D23577"/>
    <w:rsid w:val="00D300CA"/>
    <w:rsid w:val="00D31EC1"/>
    <w:rsid w:val="00D323CF"/>
    <w:rsid w:val="00D32BA7"/>
    <w:rsid w:val="00D33CF3"/>
    <w:rsid w:val="00D33E86"/>
    <w:rsid w:val="00D3582F"/>
    <w:rsid w:val="00D45A6B"/>
    <w:rsid w:val="00D46801"/>
    <w:rsid w:val="00D520D3"/>
    <w:rsid w:val="00D5222F"/>
    <w:rsid w:val="00D55BE9"/>
    <w:rsid w:val="00D55F71"/>
    <w:rsid w:val="00D57829"/>
    <w:rsid w:val="00D62B0E"/>
    <w:rsid w:val="00D67769"/>
    <w:rsid w:val="00D731B7"/>
    <w:rsid w:val="00D734A2"/>
    <w:rsid w:val="00D73BF1"/>
    <w:rsid w:val="00D75E57"/>
    <w:rsid w:val="00D80598"/>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5EBB"/>
    <w:rsid w:val="00DF45C5"/>
    <w:rsid w:val="00DF636C"/>
    <w:rsid w:val="00DF6977"/>
    <w:rsid w:val="00E005B3"/>
    <w:rsid w:val="00E0356F"/>
    <w:rsid w:val="00E07561"/>
    <w:rsid w:val="00E11B80"/>
    <w:rsid w:val="00E11D77"/>
    <w:rsid w:val="00E11D87"/>
    <w:rsid w:val="00E11E29"/>
    <w:rsid w:val="00E13A04"/>
    <w:rsid w:val="00E16000"/>
    <w:rsid w:val="00E203C1"/>
    <w:rsid w:val="00E24B76"/>
    <w:rsid w:val="00E25D0D"/>
    <w:rsid w:val="00E26792"/>
    <w:rsid w:val="00E26B47"/>
    <w:rsid w:val="00E32732"/>
    <w:rsid w:val="00E32F6E"/>
    <w:rsid w:val="00E358A3"/>
    <w:rsid w:val="00E3693F"/>
    <w:rsid w:val="00E43438"/>
    <w:rsid w:val="00E444F0"/>
    <w:rsid w:val="00E45B12"/>
    <w:rsid w:val="00E47F07"/>
    <w:rsid w:val="00E546B0"/>
    <w:rsid w:val="00E56123"/>
    <w:rsid w:val="00E56F30"/>
    <w:rsid w:val="00E64F32"/>
    <w:rsid w:val="00E67C3B"/>
    <w:rsid w:val="00E70EA6"/>
    <w:rsid w:val="00E72797"/>
    <w:rsid w:val="00E728DC"/>
    <w:rsid w:val="00E72DE3"/>
    <w:rsid w:val="00E73160"/>
    <w:rsid w:val="00E74554"/>
    <w:rsid w:val="00E755F0"/>
    <w:rsid w:val="00E8007F"/>
    <w:rsid w:val="00E8036F"/>
    <w:rsid w:val="00E81901"/>
    <w:rsid w:val="00E823AA"/>
    <w:rsid w:val="00E82821"/>
    <w:rsid w:val="00E8457E"/>
    <w:rsid w:val="00E85264"/>
    <w:rsid w:val="00E85E16"/>
    <w:rsid w:val="00E90967"/>
    <w:rsid w:val="00E918BD"/>
    <w:rsid w:val="00E924CB"/>
    <w:rsid w:val="00E92B95"/>
    <w:rsid w:val="00E97078"/>
    <w:rsid w:val="00EA0F10"/>
    <w:rsid w:val="00EA18A1"/>
    <w:rsid w:val="00EA5313"/>
    <w:rsid w:val="00EA6BA6"/>
    <w:rsid w:val="00EA6FE6"/>
    <w:rsid w:val="00EA784A"/>
    <w:rsid w:val="00EB1083"/>
    <w:rsid w:val="00EB2244"/>
    <w:rsid w:val="00EB2D5A"/>
    <w:rsid w:val="00EB6BC9"/>
    <w:rsid w:val="00EB6CD6"/>
    <w:rsid w:val="00EB7AE8"/>
    <w:rsid w:val="00EC1141"/>
    <w:rsid w:val="00EC203E"/>
    <w:rsid w:val="00EC245F"/>
    <w:rsid w:val="00EC4CC3"/>
    <w:rsid w:val="00ED13AD"/>
    <w:rsid w:val="00ED59DD"/>
    <w:rsid w:val="00ED6085"/>
    <w:rsid w:val="00EE167C"/>
    <w:rsid w:val="00EE5298"/>
    <w:rsid w:val="00EE67DD"/>
    <w:rsid w:val="00EE714E"/>
    <w:rsid w:val="00EF05D4"/>
    <w:rsid w:val="00EF3717"/>
    <w:rsid w:val="00EF55DE"/>
    <w:rsid w:val="00EF616A"/>
    <w:rsid w:val="00F0235F"/>
    <w:rsid w:val="00F045E7"/>
    <w:rsid w:val="00F0498E"/>
    <w:rsid w:val="00F05AAE"/>
    <w:rsid w:val="00F05FFD"/>
    <w:rsid w:val="00F11983"/>
    <w:rsid w:val="00F14B94"/>
    <w:rsid w:val="00F17072"/>
    <w:rsid w:val="00F21ABC"/>
    <w:rsid w:val="00F30D60"/>
    <w:rsid w:val="00F35718"/>
    <w:rsid w:val="00F37C63"/>
    <w:rsid w:val="00F420AB"/>
    <w:rsid w:val="00F431E1"/>
    <w:rsid w:val="00F436C3"/>
    <w:rsid w:val="00F45257"/>
    <w:rsid w:val="00F51377"/>
    <w:rsid w:val="00F540D7"/>
    <w:rsid w:val="00F57C6E"/>
    <w:rsid w:val="00F57E29"/>
    <w:rsid w:val="00F61F1F"/>
    <w:rsid w:val="00F71BE7"/>
    <w:rsid w:val="00F71E30"/>
    <w:rsid w:val="00F72DAF"/>
    <w:rsid w:val="00F75626"/>
    <w:rsid w:val="00F76B93"/>
    <w:rsid w:val="00F81109"/>
    <w:rsid w:val="00F8344B"/>
    <w:rsid w:val="00F83F49"/>
    <w:rsid w:val="00F91226"/>
    <w:rsid w:val="00F94A8F"/>
    <w:rsid w:val="00F96A36"/>
    <w:rsid w:val="00F979DD"/>
    <w:rsid w:val="00FA3DE5"/>
    <w:rsid w:val="00FB1656"/>
    <w:rsid w:val="00FB250F"/>
    <w:rsid w:val="00FB2910"/>
    <w:rsid w:val="00FB7F54"/>
    <w:rsid w:val="00FC0A12"/>
    <w:rsid w:val="00FC151A"/>
    <w:rsid w:val="00FC21CD"/>
    <w:rsid w:val="00FC497E"/>
    <w:rsid w:val="00FD2061"/>
    <w:rsid w:val="00FD2721"/>
    <w:rsid w:val="00FD7DFF"/>
    <w:rsid w:val="00FE3453"/>
    <w:rsid w:val="00FE4CAA"/>
    <w:rsid w:val="00FE6FFD"/>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61/strokeaha.108.540781" TargetMode="External"/><Relationship Id="rId18" Type="http://schemas.openxmlformats.org/officeDocument/2006/relationships/hyperlink" Target="https://doi.org/10.1111/cdev.12079"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3390/brainsci912037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37/a0014412"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oi.org/10.1093/braincomms/fcac020" TargetMode="Externa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jstrokecerebrovasdis.2006.11.002" TargetMode="External"/><Relationship Id="rId22" Type="http://schemas.openxmlformats.org/officeDocument/2006/relationships/image" Target="media/image9.png"/></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21773-A134-49A9-827D-E7C242C45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18714</Words>
  <Characters>106676</Characters>
  <Application>Microsoft Office Word</Application>
  <DocSecurity>0</DocSecurity>
  <Lines>888</Lines>
  <Paragraphs>250</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125140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403</cp:revision>
  <dcterms:created xsi:type="dcterms:W3CDTF">2022-04-28T07:58:00Z</dcterms:created>
  <dcterms:modified xsi:type="dcterms:W3CDTF">2022-10-12T15:00:00Z</dcterms:modified>
</cp:coreProperties>
</file>