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88F9" w14:textId="6441054F" w:rsidR="00F25F3A" w:rsidRPr="00E05ED4" w:rsidRDefault="00F25F3A" w:rsidP="00F25F3A">
      <w:pPr>
        <w:rPr>
          <w:b/>
          <w:bCs/>
          <w:sz w:val="44"/>
          <w:szCs w:val="44"/>
          <w:lang w:val="en-US"/>
        </w:rPr>
      </w:pPr>
      <w:r w:rsidRPr="00E05ED4">
        <w:rPr>
          <w:b/>
          <w:bCs/>
          <w:sz w:val="44"/>
          <w:szCs w:val="44"/>
          <w:lang w:val="en-US"/>
        </w:rPr>
        <w:t>Part 1 report:</w:t>
      </w:r>
      <w:r w:rsidRPr="00E05ED4">
        <w:rPr>
          <w:b/>
          <w:bCs/>
          <w:sz w:val="44"/>
          <w:szCs w:val="44"/>
          <w:lang w:val="en-US"/>
        </w:rPr>
        <w:br/>
      </w:r>
    </w:p>
    <w:p w14:paraId="134FF645" w14:textId="575E7B35" w:rsidR="00F25F3A" w:rsidRDefault="00F25F3A" w:rsidP="00F25F3A">
      <w:pPr>
        <w:rPr>
          <w:lang w:val="en-US"/>
        </w:rPr>
      </w:pPr>
      <w:r>
        <w:rPr>
          <w:lang w:val="en-US"/>
        </w:rPr>
        <w:t>Tamar Michelson 323805861</w:t>
      </w:r>
    </w:p>
    <w:p w14:paraId="69286D2D" w14:textId="64B9A957" w:rsidR="00F25F3A" w:rsidRDefault="00F25F3A" w:rsidP="00F25F3A">
      <w:pPr>
        <w:rPr>
          <w:lang w:val="en-US"/>
        </w:rPr>
      </w:pPr>
      <w:r>
        <w:rPr>
          <w:lang w:val="en-US"/>
        </w:rPr>
        <w:t>Shilo Avital 206487407</w:t>
      </w:r>
    </w:p>
    <w:p w14:paraId="0DFADE76" w14:textId="77777777" w:rsidR="00F25F3A" w:rsidRDefault="00F25F3A" w:rsidP="00F25F3A">
      <w:pPr>
        <w:rPr>
          <w:lang w:val="en-US"/>
        </w:rPr>
      </w:pPr>
    </w:p>
    <w:p w14:paraId="2B6317A3" w14:textId="6F30E668" w:rsidR="007A313C" w:rsidRDefault="00AE6253" w:rsidP="007A313C">
      <w:pPr>
        <w:rPr>
          <w:lang w:val="en-US"/>
        </w:rPr>
      </w:pPr>
      <w:r>
        <w:rPr>
          <w:lang w:val="en-US"/>
        </w:rPr>
        <w:t>T</w:t>
      </w:r>
      <w:r w:rsidR="007A313C" w:rsidRPr="007A313C">
        <w:rPr>
          <w:lang w:val="en-US"/>
        </w:rPr>
        <w:t>he parameters of the</w:t>
      </w:r>
      <w:r w:rsidR="007A313C">
        <w:rPr>
          <w:lang w:val="en-US"/>
        </w:rPr>
        <w:t xml:space="preserve"> </w:t>
      </w:r>
      <w:r w:rsidR="007A313C" w:rsidRPr="007A313C">
        <w:rPr>
          <w:lang w:val="en-US"/>
        </w:rPr>
        <w:t xml:space="preserve">best model for </w:t>
      </w:r>
      <w:r w:rsidR="0002210B" w:rsidRPr="007A313C">
        <w:rPr>
          <w:lang w:val="en-US"/>
        </w:rPr>
        <w:t>both tasks</w:t>
      </w:r>
      <w:r w:rsidR="007A313C" w:rsidRPr="007A313C">
        <w:rPr>
          <w:lang w:val="en-US"/>
        </w:rPr>
        <w:t xml:space="preserve"> (NER and POS):</w:t>
      </w:r>
    </w:p>
    <w:p w14:paraId="48552601" w14:textId="29AB1AAE" w:rsidR="007A313C" w:rsidRDefault="00AE6253" w:rsidP="007A313C">
      <w:pPr>
        <w:rPr>
          <w:lang w:val="en-IL"/>
        </w:rPr>
      </w:pPr>
      <w:r>
        <w:rPr>
          <w:lang w:val="en-IL"/>
        </w:rPr>
        <w:t>H</w:t>
      </w:r>
      <w:r w:rsidR="007A313C">
        <w:rPr>
          <w:lang w:val="en-IL"/>
        </w:rPr>
        <w:t>idden</w:t>
      </w:r>
      <w:r>
        <w:rPr>
          <w:lang w:val="en-IL"/>
        </w:rPr>
        <w:t xml:space="preserve"> </w:t>
      </w:r>
      <w:r w:rsidR="007A313C">
        <w:rPr>
          <w:lang w:val="en-IL"/>
        </w:rPr>
        <w:t>dim = 100</w:t>
      </w:r>
      <w:r w:rsidR="007A313C">
        <w:rPr>
          <w:lang w:val="en-IL"/>
        </w:rPr>
        <w:br/>
      </w:r>
      <w:r>
        <w:rPr>
          <w:lang w:val="en-IL"/>
        </w:rPr>
        <w:t>B</w:t>
      </w:r>
      <w:r w:rsidR="007A313C">
        <w:rPr>
          <w:lang w:val="en-IL"/>
        </w:rPr>
        <w:t>atch</w:t>
      </w:r>
      <w:r>
        <w:rPr>
          <w:lang w:val="en-IL"/>
        </w:rPr>
        <w:t xml:space="preserve"> </w:t>
      </w:r>
      <w:r w:rsidR="007A313C">
        <w:rPr>
          <w:lang w:val="en-IL"/>
        </w:rPr>
        <w:t>size = 32</w:t>
      </w:r>
      <w:r w:rsidR="007A313C">
        <w:rPr>
          <w:lang w:val="en-IL"/>
        </w:rPr>
        <w:br/>
      </w:r>
      <w:r>
        <w:rPr>
          <w:lang w:val="en-IL"/>
        </w:rPr>
        <w:t>Num epochs</w:t>
      </w:r>
      <w:r w:rsidR="007A313C">
        <w:rPr>
          <w:lang w:val="en-IL"/>
        </w:rPr>
        <w:t xml:space="preserve"> = 10</w:t>
      </w:r>
      <w:r w:rsidR="007A313C">
        <w:rPr>
          <w:lang w:val="en-IL"/>
        </w:rPr>
        <w:br/>
      </w:r>
      <w:r>
        <w:rPr>
          <w:lang w:val="en-IL"/>
        </w:rPr>
        <w:t>Learning rate</w:t>
      </w:r>
      <w:r w:rsidR="007A313C">
        <w:rPr>
          <w:lang w:val="en-IL"/>
        </w:rPr>
        <w:t xml:space="preserve"> = 1e-3</w:t>
      </w:r>
      <w:r w:rsidR="007A313C">
        <w:rPr>
          <w:lang w:val="en-IL"/>
        </w:rPr>
        <w:br/>
      </w:r>
      <w:r>
        <w:rPr>
          <w:lang w:val="en-IL"/>
        </w:rPr>
        <w:t>Weight decay</w:t>
      </w:r>
      <w:r w:rsidR="007A313C">
        <w:rPr>
          <w:lang w:val="en-IL"/>
        </w:rPr>
        <w:t xml:space="preserve"> = 1e-5</w:t>
      </w:r>
    </w:p>
    <w:p w14:paraId="28297EAF" w14:textId="77777777" w:rsidR="0002210B" w:rsidRDefault="0002210B" w:rsidP="007A313C">
      <w:pPr>
        <w:rPr>
          <w:rtl/>
          <w:lang w:val="en-IL"/>
        </w:rPr>
      </w:pPr>
    </w:p>
    <w:p w14:paraId="53A57F57" w14:textId="55175596" w:rsidR="00E034C6" w:rsidRPr="00E034C6" w:rsidRDefault="0002210B" w:rsidP="0002210B">
      <w:pPr>
        <w:rPr>
          <w:b/>
          <w:bCs/>
        </w:rPr>
      </w:pPr>
      <w:r w:rsidRPr="0002210B">
        <w:rPr>
          <w:b/>
          <w:bCs/>
          <w:lang w:val="en-IL"/>
        </w:rPr>
        <w:t>C</w:t>
      </w:r>
      <w:proofErr w:type="spellStart"/>
      <w:r w:rsidRPr="0002210B">
        <w:rPr>
          <w:b/>
          <w:bCs/>
        </w:rPr>
        <w:t>onsiderations</w:t>
      </w:r>
      <w:proofErr w:type="spellEnd"/>
      <w:r w:rsidRPr="0002210B">
        <w:rPr>
          <w:b/>
          <w:bCs/>
        </w:rPr>
        <w:t>:</w:t>
      </w:r>
      <w:r w:rsidR="00E034C6" w:rsidRPr="00E034C6">
        <w:rPr>
          <w:lang w:val="en-IL"/>
        </w:rPr>
        <w:br/>
        <w:t>Words that appear in the dev sets but not in the training set are assigned the embedding for &lt;UNK&gt;, a special unknown token.</w:t>
      </w:r>
      <w:r w:rsidR="00E034C6" w:rsidRPr="00E034C6">
        <w:rPr>
          <w:lang w:val="en-IL"/>
        </w:rPr>
        <w:br/>
        <w:t xml:space="preserve">At the beginning and end of sentences (to build the sliding window), we pad the sequence with &lt;PAD&gt; tokens. These </w:t>
      </w:r>
      <w:r w:rsidR="00E034C6">
        <w:rPr>
          <w:lang w:val="en-IL"/>
        </w:rPr>
        <w:t>have a fixed</w:t>
      </w:r>
      <w:r w:rsidR="00E034C6" w:rsidRPr="00E034C6">
        <w:rPr>
          <w:lang w:val="en-IL"/>
        </w:rPr>
        <w:t xml:space="preserve"> embedding</w:t>
      </w:r>
      <w:r w:rsidR="00E034C6">
        <w:rPr>
          <w:lang w:val="en-IL"/>
        </w:rPr>
        <w:t xml:space="preserve"> of zeros</w:t>
      </w:r>
      <w:r w:rsidR="00E034C6" w:rsidRPr="00E034C6">
        <w:rPr>
          <w:lang w:val="en-IL"/>
        </w:rPr>
        <w:t>.</w:t>
      </w:r>
      <w:r w:rsidR="00E034C6" w:rsidRPr="00E034C6">
        <w:rPr>
          <w:lang w:val="en-IL"/>
        </w:rPr>
        <w:br/>
      </w:r>
    </w:p>
    <w:p w14:paraId="5C125C69" w14:textId="77777777" w:rsidR="00AE6253" w:rsidRDefault="00AE6253" w:rsidP="007A313C">
      <w:pPr>
        <w:rPr>
          <w:lang w:val="en-IL"/>
        </w:rPr>
      </w:pPr>
    </w:p>
    <w:p w14:paraId="3AFB6EBA" w14:textId="6FE987FF" w:rsidR="007A313C" w:rsidRDefault="00AE6253" w:rsidP="007A313C">
      <w:pPr>
        <w:rPr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59264" behindDoc="1" locked="0" layoutInCell="1" allowOverlap="1" wp14:anchorId="172834A7" wp14:editId="6C3A27FE">
            <wp:simplePos x="0" y="0"/>
            <wp:positionH relativeFrom="margin">
              <wp:posOffset>2818765</wp:posOffset>
            </wp:positionH>
            <wp:positionV relativeFrom="paragraph">
              <wp:posOffset>408305</wp:posOffset>
            </wp:positionV>
            <wp:extent cx="3103245" cy="2324100"/>
            <wp:effectExtent l="0" t="0" r="1905" b="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25244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AF2EB3" wp14:editId="015FE20F">
            <wp:simplePos x="0" y="0"/>
            <wp:positionH relativeFrom="page">
              <wp:posOffset>1114425</wp:posOffset>
            </wp:positionH>
            <wp:positionV relativeFrom="paragraph">
              <wp:posOffset>389255</wp:posOffset>
            </wp:positionV>
            <wp:extent cx="3105150" cy="2326005"/>
            <wp:effectExtent l="0" t="0" r="0" b="0"/>
            <wp:wrapSquare wrapText="bothSides"/>
            <wp:docPr id="28753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4C6">
        <w:rPr>
          <w:lang w:val="en-IL"/>
        </w:rPr>
        <w:t xml:space="preserve">The </w:t>
      </w:r>
      <w:proofErr w:type="spellStart"/>
      <w:r w:rsidR="00E034C6">
        <w:rPr>
          <w:lang w:val="en-IL"/>
        </w:rPr>
        <w:t>ner</w:t>
      </w:r>
      <w:proofErr w:type="spellEnd"/>
      <w:r w:rsidR="00E034C6">
        <w:rPr>
          <w:lang w:val="en-IL"/>
        </w:rPr>
        <w:t xml:space="preserve"> plots:</w:t>
      </w:r>
    </w:p>
    <w:p w14:paraId="122B9C65" w14:textId="7412129D" w:rsidR="00E034C6" w:rsidRDefault="00E034C6" w:rsidP="007A313C">
      <w:pPr>
        <w:rPr>
          <w:lang w:val="en-IL"/>
        </w:rPr>
      </w:pPr>
    </w:p>
    <w:p w14:paraId="4838C16D" w14:textId="77777777" w:rsidR="00E034C6" w:rsidRDefault="00E034C6" w:rsidP="007A313C">
      <w:pPr>
        <w:rPr>
          <w:lang w:val="en-IL"/>
        </w:rPr>
      </w:pPr>
    </w:p>
    <w:p w14:paraId="2FAC7CEC" w14:textId="77777777" w:rsidR="0002210B" w:rsidRDefault="0002210B" w:rsidP="007A313C">
      <w:pPr>
        <w:rPr>
          <w:lang w:val="en-IL"/>
        </w:rPr>
      </w:pPr>
    </w:p>
    <w:p w14:paraId="66C093B3" w14:textId="420407D0" w:rsidR="00E034C6" w:rsidRDefault="00E034C6" w:rsidP="007A313C">
      <w:pPr>
        <w:rPr>
          <w:lang w:val="en-IL"/>
        </w:rPr>
      </w:pPr>
      <w:r>
        <w:rPr>
          <w:lang w:val="en-IL"/>
        </w:rPr>
        <w:t>The pos plots:</w:t>
      </w:r>
      <w:r>
        <w:rPr>
          <w:lang w:val="en-IL"/>
        </w:rPr>
        <w:br/>
      </w:r>
    </w:p>
    <w:p w14:paraId="1F714651" w14:textId="6EB21811" w:rsidR="00E034C6" w:rsidRDefault="0002210B" w:rsidP="007A313C">
      <w:pPr>
        <w:rPr>
          <w:rFonts w:hint="cs"/>
          <w:rtl/>
          <w:lang w:val="en-IL"/>
        </w:rPr>
      </w:pPr>
      <w:r>
        <w:rPr>
          <w:rFonts w:hint="cs"/>
          <w:noProof/>
          <w:lang w:val="en-IL"/>
        </w:rPr>
        <w:drawing>
          <wp:inline distT="0" distB="0" distL="0" distR="0" wp14:anchorId="1570142B" wp14:editId="074132B8">
            <wp:extent cx="2609850" cy="1955033"/>
            <wp:effectExtent l="0" t="0" r="0" b="7620"/>
            <wp:docPr id="524339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35" cy="197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en-IL"/>
        </w:rPr>
        <w:drawing>
          <wp:inline distT="0" distB="0" distL="0" distR="0" wp14:anchorId="57CB510F" wp14:editId="3FA1DDB5">
            <wp:extent cx="2632066" cy="1971675"/>
            <wp:effectExtent l="0" t="0" r="0" b="0"/>
            <wp:docPr id="810604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90" cy="199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EBF1" w14:textId="531A7AB1" w:rsidR="007A313C" w:rsidRPr="007A313C" w:rsidRDefault="007A313C" w:rsidP="007A313C">
      <w:pPr>
        <w:rPr>
          <w:lang w:val="en-IL"/>
        </w:rPr>
      </w:pPr>
    </w:p>
    <w:p w14:paraId="4CEFA2CF" w14:textId="5DBB3813" w:rsidR="007A313C" w:rsidRDefault="007A313C" w:rsidP="00F25F3A">
      <w:pPr>
        <w:rPr>
          <w:lang w:val="en-US"/>
        </w:rPr>
      </w:pPr>
    </w:p>
    <w:p w14:paraId="1DCFE925" w14:textId="77777777" w:rsidR="007A313C" w:rsidRDefault="007A313C" w:rsidP="00F25F3A">
      <w:pPr>
        <w:rPr>
          <w:lang w:val="en-US"/>
        </w:rPr>
      </w:pPr>
    </w:p>
    <w:p w14:paraId="669A8545" w14:textId="6790F7AE" w:rsidR="007A313C" w:rsidRDefault="007A313C" w:rsidP="00F25F3A">
      <w:pPr>
        <w:rPr>
          <w:lang w:val="en-US"/>
        </w:rPr>
      </w:pPr>
    </w:p>
    <w:p w14:paraId="4692212A" w14:textId="425B9BD3" w:rsidR="007A313C" w:rsidRPr="00F25F3A" w:rsidRDefault="007A313C" w:rsidP="00F25F3A">
      <w:pPr>
        <w:rPr>
          <w:lang w:val="en-US"/>
        </w:rPr>
      </w:pPr>
    </w:p>
    <w:sectPr w:rsidR="007A313C" w:rsidRPr="00F25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16A40"/>
    <w:multiLevelType w:val="multilevel"/>
    <w:tmpl w:val="B95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32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79"/>
    <w:rsid w:val="0002210B"/>
    <w:rsid w:val="00062FAF"/>
    <w:rsid w:val="003F20DB"/>
    <w:rsid w:val="004A60BD"/>
    <w:rsid w:val="007A313C"/>
    <w:rsid w:val="00807B79"/>
    <w:rsid w:val="00AE6253"/>
    <w:rsid w:val="00E034C6"/>
    <w:rsid w:val="00E05ED4"/>
    <w:rsid w:val="00F2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A8A0F"/>
  <w15:chartTrackingRefBased/>
  <w15:docId w15:val="{CAA271E1-0F2F-42A4-BF63-7E381803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97</Words>
  <Characters>438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4</cp:revision>
  <dcterms:created xsi:type="dcterms:W3CDTF">2025-04-29T09:13:00Z</dcterms:created>
  <dcterms:modified xsi:type="dcterms:W3CDTF">2025-04-29T11:53:00Z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97b867be776e1a9a5a8fe7586fdf87b393863d6ed778a80edb59eb74b0736226</vt:lpwstr>
  </property>
</Properties>
</file>