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7.png" ContentType="image/png"/>
  <Override PartName="/word/media/rId38.png" ContentType="image/png"/>
  <Override PartName="/word/media/rId39.png" ContentType="image/png"/>
  <Override PartName="/word/media/rId41.png" ContentType="image/png"/>
  <Override PartName="/word/media/rId42.png" ContentType="image/png"/>
  <Override PartName="/word/media/rId43.png" ContentType="image/png"/>
  <Override PartName="/word/media/rId29.png" ContentType="image/png"/>
  <Override PartName="/word/media/rId30.png" ContentType="image/png"/>
  <Override PartName="/word/media/rId31.png" ContentType="image/png"/>
  <Override PartName="/word/media/rId33.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w:t>
      </w:r>
      <w:r>
        <w:t xml:space="preserve"> </w:t>
      </w:r>
      <w:r>
        <w:t xml:space="preserve">Analysis</w:t>
      </w:r>
      <w:r>
        <w:t xml:space="preserve"> </w:t>
      </w:r>
      <w:r>
        <w:t xml:space="preserve">on</w:t>
      </w:r>
      <w:r>
        <w:t xml:space="preserve"> </w:t>
      </w:r>
      <w:r>
        <w:t xml:space="preserve">Rumination</w:t>
      </w:r>
    </w:p>
    <w:p>
      <w:pPr>
        <w:pStyle w:val="Heading2"/>
      </w:pPr>
      <w:bookmarkStart w:id="20" w:name="methods"/>
      <w:r>
        <w:t xml:space="preserve">2. Methods</w:t>
      </w:r>
      <w:bookmarkEnd w:id="20"/>
    </w:p>
    <w:p>
      <w:pPr>
        <w:pStyle w:val="Heading3"/>
      </w:pPr>
      <w:bookmarkStart w:id="21" w:name="network-analysis"/>
      <w:r>
        <w:t xml:space="preserve">2.1 Network analysis</w:t>
      </w:r>
      <w:bookmarkEnd w:id="21"/>
    </w:p>
    <w:p>
      <w:pPr>
        <w:pStyle w:val="Heading4"/>
      </w:pPr>
      <w:bookmarkStart w:id="22" w:name="removing-redundant-items"/>
      <w:r>
        <w:t xml:space="preserve">2.1.1 Removing redundant items</w:t>
      </w:r>
      <w:bookmarkEnd w:id="22"/>
    </w:p>
    <w:p>
      <w:pPr>
        <w:pStyle w:val="FirstParagraph"/>
      </w:pPr>
      <w:r>
        <w:t xml:space="preserve">As a preparation step, we applied the</w:t>
      </w:r>
      <w:r>
        <w:t xml:space="preserve"> </w:t>
      </w:r>
      <w:r>
        <w:rPr>
          <w:i/>
        </w:rPr>
        <w:t xml:space="preserve">goldbricker</w:t>
      </w:r>
      <w:r>
        <w:t xml:space="preserve"> </w:t>
      </w:r>
      <w:r>
        <w:t xml:space="preserve">function from the R package</w:t>
      </w:r>
      <w:r>
        <w:t xml:space="preserve"> </w:t>
      </w:r>
      <w:r>
        <w:rPr>
          <w:i/>
        </w:rPr>
        <w:t xml:space="preserve">networktools</w:t>
      </w:r>
      <w:r>
        <w:t xml:space="preserve"> </w:t>
      </w:r>
      <w:r>
        <w:t xml:space="preserve">to search for pairs of items in the RRS, SCRS and MHS items which were highly correlated (r &gt; 0.50) and showed highly the same pattern with other items. When such</w:t>
      </w:r>
      <w:r>
        <w:t xml:space="preserve"> </w:t>
      </w:r>
      <w:r>
        <w:t xml:space="preserve">“</w:t>
      </w:r>
      <w:r>
        <w:t xml:space="preserve">bad pairs</w:t>
      </w:r>
      <w:r>
        <w:t xml:space="preserve">”</w:t>
      </w:r>
      <w:r>
        <w:t xml:space="preserve"> </w:t>
      </w:r>
      <w:r>
        <w:t xml:space="preserve">were identified, reduction techniques were put into use (with the</w:t>
      </w:r>
      <w:r>
        <w:t xml:space="preserve"> </w:t>
      </w:r>
      <w:r>
        <w:rPr>
          <w:i/>
        </w:rPr>
        <w:t xml:space="preserve">net_reduce</w:t>
      </w:r>
      <w:r>
        <w:t xml:space="preserve"> </w:t>
      </w:r>
      <w:r>
        <w:t xml:space="preserve">function in R): instead of the pair, the first principal component of the two variables were kept in the data as a new, merged variable.</w:t>
      </w:r>
    </w:p>
    <w:p>
      <w:pPr>
        <w:pStyle w:val="BodyText"/>
      </w:pPr>
      <w:r>
        <w:t xml:space="preserve">The RRS items required no reduction steps as the highly correlating items did not extend their pattern to more nodes (their correlations to other nodes did not violate the criteria that &gt; 75% of these correlations did not differ significantly).</w:t>
      </w:r>
    </w:p>
    <w:p>
      <w:pPr>
        <w:pStyle w:val="Heading4"/>
      </w:pPr>
      <w:bookmarkStart w:id="23" w:name="network-analysis-with-lasso"/>
      <w:r>
        <w:t xml:space="preserve">2.1.2 Network Analysis with LASSO</w:t>
      </w:r>
      <w:bookmarkEnd w:id="23"/>
    </w:p>
    <w:p>
      <w:pPr>
        <w:pStyle w:val="FirstParagraph"/>
      </w:pPr>
      <w:r>
        <w:t xml:space="preserve">For the network analysis, the tuning parameter of</w:t>
      </w:r>
      <w:r>
        <w:t xml:space="preserve"> </w:t>
      </w:r>
      <w:r>
        <w:rPr>
          <w:i/>
        </w:rPr>
        <w:t xml:space="preserve">gamma</w:t>
      </w:r>
      <w:r>
        <w:t xml:space="preserve"> </w:t>
      </w:r>
      <w:r>
        <w:t xml:space="preserve">in the grahical LASSO alogrithm has been set to 0.5 value in accordance with</w:t>
      </w:r>
      <w:r>
        <w:t xml:space="preserve"> </w:t>
      </w:r>
      <w:r>
        <w:t xml:space="preserve">(Bernstein, Heeren, and McNally 2019)</w:t>
      </w:r>
      <w:r>
        <w:t xml:space="preserve"> </w:t>
      </w:r>
      <w:r>
        <w:t xml:space="preserve">in order to achieve sparse graphs. The final networks were chosen by the lowest values of the</w:t>
      </w:r>
      <w:r>
        <w:t xml:space="preserve"> </w:t>
      </w:r>
      <w:r>
        <w:rPr>
          <w:i/>
        </w:rPr>
        <w:t xml:space="preserve">extended Bayesian Information Criterion</w:t>
      </w:r>
      <w:r>
        <w:t xml:space="preserve"> </w:t>
      </w:r>
      <w:r>
        <w:t xml:space="preserve">(EBIC).</w:t>
      </w:r>
    </w:p>
    <w:p>
      <w:pPr>
        <w:pStyle w:val="Heading4"/>
      </w:pPr>
      <w:bookmarkStart w:id="24" w:name="community-detection"/>
      <w:r>
        <w:t xml:space="preserve">2.1.3. Community detection</w:t>
      </w:r>
      <w:bookmarkEnd w:id="24"/>
    </w:p>
    <w:p>
      <w:pPr>
        <w:pStyle w:val="FirstParagraph"/>
      </w:pPr>
      <w:r>
        <w:t xml:space="preserve">In order to get an understanding of community of nodes and to see if nodes can be grouped into neighbourhoods, we used the</w:t>
      </w:r>
      <w:r>
        <w:t xml:space="preserve"> </w:t>
      </w:r>
      <w:r>
        <w:rPr>
          <w:i/>
        </w:rPr>
        <w:t xml:space="preserve">igraph</w:t>
      </w:r>
      <w:r>
        <w:t xml:space="preserve"> </w:t>
      </w:r>
      <w:r>
        <w:t xml:space="preserve">R package. When detecting possible communities of nodes, the detection happened with the following parameters in the</w:t>
      </w:r>
      <w:r>
        <w:t xml:space="preserve"> </w:t>
      </w:r>
      <w:r>
        <w:rPr>
          <w:i/>
        </w:rPr>
        <w:t xml:space="preserve">spinglass algorithm</w:t>
      </w:r>
      <w:r>
        <w:t xml:space="preserve">:</w:t>
      </w:r>
      <w:r>
        <w:t xml:space="preserve"> </w:t>
      </w:r>
      <w:r>
        <w:t xml:space="preserve">TODO: try the walktrap algorithm from igraph!</w:t>
      </w:r>
    </w:p>
    <w:p>
      <w:pPr>
        <w:pStyle w:val="Heading4"/>
      </w:pPr>
      <w:bookmarkStart w:id="25" w:name="expected-influence-of-nodes"/>
      <w:r>
        <w:t xml:space="preserve">2.1.4. Expected Influence of nodes</w:t>
      </w:r>
      <w:bookmarkEnd w:id="25"/>
    </w:p>
    <w:p>
      <w:pPr>
        <w:pStyle w:val="FirstParagraph"/>
      </w:pPr>
      <w:r>
        <w:t xml:space="preserve">To understand certain items’ centrality and importance, besides regularly used centrality measures (such as strength, closeness and betweenness of nodes in a network), one can also use the One- and Two-Step Expected Influence (EI) measures (Robinaugh et al, 2016). Traditionally in unweighted networks (where network edges are encoded to 0 or 1) a node’s centrality is the sum of edges, and in weighted nodes it is the sum of the edge weights. In this approach negative edges are treated the same way as positives, as the absolute values are used for centrality estimation. On the other hand, the Expected Influence metrics take into account if a node has positive and negative edges, too.</w:t>
      </w:r>
    </w:p>
    <w:p>
      <w:pPr>
        <w:pStyle w:val="Heading4"/>
      </w:pPr>
      <w:bookmarkStart w:id="26" w:name="identifying-important-nodes"/>
      <w:r>
        <w:t xml:space="preserve">2.1.5. Identifying important nodes</w:t>
      </w:r>
      <w:bookmarkEnd w:id="26"/>
    </w:p>
    <w:p>
      <w:pPr>
        <w:pStyle w:val="FirstParagraph"/>
      </w:pPr>
      <w:r>
        <w:t xml:space="preserve">In order to further elaborate the question of importance within the network, we identified</w:t>
      </w:r>
      <w:r>
        <w:t xml:space="preserve"> </w:t>
      </w:r>
      <w:r>
        <w:rPr>
          <w:i/>
        </w:rPr>
        <w:t xml:space="preserve">bridge nodes</w:t>
      </w:r>
      <w:r>
        <w:t xml:space="preserve"> </w:t>
      </w:r>
      <w:r>
        <w:t xml:space="preserve">using the functions provided by the</w:t>
      </w:r>
      <w:r>
        <w:t xml:space="preserve"> </w:t>
      </w:r>
      <w:r>
        <w:rPr>
          <w:i/>
        </w:rPr>
        <w:t xml:space="preserve">networktools</w:t>
      </w:r>
      <w:r>
        <w:t xml:space="preserve"> </w:t>
      </w:r>
      <w:r>
        <w:t xml:space="preserve">R package</w:t>
      </w:r>
      <w:r>
        <w:t xml:space="preserve"> </w:t>
      </w:r>
      <w:r>
        <w:t xml:space="preserve">(Jones 2017)</w:t>
      </w:r>
      <w:r>
        <w:t xml:space="preserve">. We estimated both one-step and two-step bridge expected influence measures which reflect the sum of edge weights connecting one node to other groups on nodes (or communities of nodes); and also express a node’s secondary influence on the rest of the network, respectively. Higher influence scores indicate that a certain node is more likely to active neighbouring nodes, subgroups of nodes or communities.</w:t>
      </w:r>
    </w:p>
    <w:p>
      <w:pPr>
        <w:pStyle w:val="Heading2"/>
      </w:pPr>
      <w:bookmarkStart w:id="27" w:name="results"/>
      <w:r>
        <w:t xml:space="preserve">3. Results</w:t>
      </w:r>
      <w:bookmarkEnd w:id="27"/>
    </w:p>
    <w:p>
      <w:pPr>
        <w:pStyle w:val="Heading3"/>
      </w:pPr>
      <w:bookmarkStart w:id="28" w:name="network-plots"/>
      <w:r>
        <w:t xml:space="preserve">3.1 Network plots</w:t>
      </w:r>
      <w:bookmarkEnd w:id="28"/>
    </w:p>
    <w:p>
      <w:pPr>
        <w:pStyle w:val="FirstParagraph"/>
      </w:pPr>
      <w:r>
        <w:t xml:space="preserve">RSS network</w:t>
      </w:r>
    </w:p>
    <w:p>
      <w:pPr>
        <w:pStyle w:val="BodyText"/>
      </w:pPr>
      <w:r>
        <w:drawing>
          <wp:inline>
            <wp:extent cx="4620126" cy="3696101"/>
            <wp:effectExtent b="0" l="0" r="0" t="0"/>
            <wp:docPr descr="" title="" id="1" name="Picture"/>
            <a:graphic>
              <a:graphicData uri="http://schemas.openxmlformats.org/drawingml/2006/picture">
                <pic:pic>
                  <pic:nvPicPr>
                    <pic:cNvPr descr="main_files/figure-docx/unnamed-chunk-4-1.png" id="0"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SCRS network</w:t>
      </w:r>
      <w:r>
        <w:t xml:space="preserve"> </w:t>
      </w:r>
      <w:r>
        <w:drawing>
          <wp:inline>
            <wp:extent cx="4620126" cy="3696101"/>
            <wp:effectExtent b="0" l="0" r="0" t="0"/>
            <wp:docPr descr="" title="" id="1" name="Picture"/>
            <a:graphic>
              <a:graphicData uri="http://schemas.openxmlformats.org/drawingml/2006/picture">
                <pic:pic>
                  <pic:nvPicPr>
                    <pic:cNvPr descr="main_files/figure-docx/unnamed-chunk-5-1.png" id="0"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                                                                              |                                                                      |   0%  |                                                                              |====                                                                  |   5%  |                                                                              |=======                                                               |  10%  |                                                                              |==========                                                            |  15%  |                                                                              |==============                                                        |  20%  |                                                                              |==================                                                    |  25%  |                                                                              |=====================                                                 |  30%  |                                                                              |========================                                              |  35%  |                                                                              |============================                                          |  40%  |                                                                              |================================                                      |  45%  |                                                                              |===================================                                   |  50%  |                                                                              |======================================                                |  55%  |                                                                              |==========================================                            |  60%  |                                                                              |==============================================                        |  65%  |                                                                              |=================================================                     |  70%  |                                                                              |====================================================                  |  75%  |                                                                              |========================================================              |  80%  |                                                                              |============================================================          |  85%  |                                                                              |===============================================================       |  90%  |                                                                              |==================================================================    |  95%  |                                                                              |======================================================================| 100%</w:t>
      </w:r>
    </w:p>
    <w:p>
      <w:pPr>
        <w:pStyle w:val="SourceCode"/>
      </w:pPr>
      <w:r>
        <w:rPr>
          <w:rStyle w:val="VerbatimChar"/>
        </w:rPr>
        <w:t xml:space="preserve">## SCRS_4 &amp; SCRS_2 SCRS_8 &amp; SCRS_1 </w:t>
      </w:r>
      <w:r>
        <w:br/>
      </w:r>
      <w:r>
        <w:rPr>
          <w:rStyle w:val="VerbatimChar"/>
        </w:rPr>
        <w:t xml:space="preserve">##       0.1666667       0.2222222</w:t>
      </w:r>
    </w:p>
    <w:p>
      <w:pPr>
        <w:pStyle w:val="FirstParagraph"/>
      </w:pPr>
      <w:r>
        <w:drawing>
          <wp:inline>
            <wp:extent cx="4620126" cy="3696101"/>
            <wp:effectExtent b="0" l="0" r="0" t="0"/>
            <wp:docPr descr="" title="" id="1" name="Picture"/>
            <a:graphic>
              <a:graphicData uri="http://schemas.openxmlformats.org/drawingml/2006/picture">
                <pic:pic>
                  <pic:nvPicPr>
                    <pic:cNvPr descr="main_files/figure-docx/unnamed-chunk-6-1.png" id="0"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bookmarkStart w:id="32" w:name="community-detection-1"/>
      <w:r>
        <w:t xml:space="preserve">3.2 Community detection</w:t>
      </w:r>
      <w:bookmarkEnd w:id="32"/>
    </w:p>
    <w:p>
      <w:pPr>
        <w:pStyle w:val="FirstParagraph"/>
      </w:pPr>
      <w:r>
        <w:t xml:space="preserve">Community mapping of RSS, MHC and SCRS with the</w:t>
      </w:r>
      <w:r>
        <w:t xml:space="preserve"> </w:t>
      </w:r>
      <w:r>
        <w:rPr>
          <w:i/>
        </w:rPr>
        <w:t xml:space="preserve">spinglass algorithm</w:t>
      </w:r>
      <w:r>
        <w:t xml:space="preserve">:</w:t>
      </w:r>
    </w:p>
    <w:p>
      <w:pPr>
        <w:pStyle w:val="BodyText"/>
      </w:pPr>
      <w:r>
        <w:t xml:space="preserve">RSS communities identified with parameters</w:t>
      </w:r>
      <w:r>
        <w:t xml:space="preserve"> </w:t>
      </w:r>
      <w:r>
        <w:rPr>
          <w:i/>
        </w:rPr>
        <w:t xml:space="preserve">gamma = 0.5, spins = 25, starting temperature = 1, ending temperature = 0.01, cooling factor = 0.99</w:t>
      </w:r>
      <w:r>
        <w:t xml:space="preserve">.</w:t>
      </w:r>
    </w:p>
    <w:p>
      <w:pPr>
        <w:pStyle w:val="BodyText"/>
      </w:pPr>
      <w:r>
        <w:drawing>
          <wp:inline>
            <wp:extent cx="4620126" cy="3696101"/>
            <wp:effectExtent b="0" l="0" r="0" t="0"/>
            <wp:docPr descr="" title="" id="1" name="Picture"/>
            <a:graphic>
              <a:graphicData uri="http://schemas.openxmlformats.org/drawingml/2006/picture">
                <pic:pic>
                  <pic:nvPicPr>
                    <pic:cNvPr descr="main_files/figure-docx/unnamed-chunk-7-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SCRS communities identified with parameters</w:t>
      </w:r>
      <w:r>
        <w:t xml:space="preserve"> </w:t>
      </w:r>
      <w:r>
        <w:rPr>
          <w:i/>
        </w:rPr>
        <w:t xml:space="preserve">gamma = 0.5, spins = 25, starting temperature = 1, ending temperature = 0.01, cooling factor = 0.99</w:t>
      </w:r>
      <w:r>
        <w:t xml:space="preserve">.</w:t>
      </w:r>
    </w:p>
    <w:p>
      <w:pPr>
        <w:pStyle w:val="BodyText"/>
      </w:pPr>
      <w:r>
        <w:drawing>
          <wp:inline>
            <wp:extent cx="4620126" cy="3696101"/>
            <wp:effectExtent b="0" l="0" r="0" t="0"/>
            <wp:docPr descr="" title="" id="1" name="Picture"/>
            <a:graphic>
              <a:graphicData uri="http://schemas.openxmlformats.org/drawingml/2006/picture">
                <pic:pic>
                  <pic:nvPicPr>
                    <pic:cNvPr descr="main_files/figure-docx/unnamed-chunk-8-1.png" id="0"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RRS and MHC combined communities identified with parameters</w:t>
      </w:r>
      <w:r>
        <w:t xml:space="preserve"> </w:t>
      </w:r>
      <w:r>
        <w:rPr>
          <w:i/>
        </w:rPr>
        <w:t xml:space="preserve">gamma = 0.5, spins = 25, starting temperature = 1, ending temperature = 0.01, cooling factor = 0.99</w:t>
      </w:r>
      <w:r>
        <w:t xml:space="preserve">.</w:t>
      </w:r>
    </w:p>
    <w:p>
      <w:pPr>
        <w:pStyle w:val="BodyText"/>
      </w:pPr>
      <w:r>
        <w:drawing>
          <wp:inline>
            <wp:extent cx="4620126" cy="3696101"/>
            <wp:effectExtent b="0" l="0" r="0" t="0"/>
            <wp:docPr descr="" title="" id="1" name="Picture"/>
            <a:graphic>
              <a:graphicData uri="http://schemas.openxmlformats.org/drawingml/2006/picture">
                <pic:pic>
                  <pic:nvPicPr>
                    <pic:cNvPr descr="main_files/figure-docx/unnamed-chunk-10-1.png" id="0"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bookmarkStart w:id="36" w:name="expected-influence"/>
      <w:r>
        <w:t xml:space="preserve">3.3 Expected Influence</w:t>
      </w:r>
      <w:bookmarkEnd w:id="36"/>
    </w:p>
    <w:p>
      <w:pPr>
        <w:pStyle w:val="FirstParagraph"/>
      </w:pPr>
      <w:r>
        <w:t xml:space="preserve">In order to estimate the Expected Influence metrics, we used the</w:t>
      </w:r>
      <w:r>
        <w:t xml:space="preserve"> </w:t>
      </w:r>
      <w:r>
        <w:rPr>
          <w:i/>
        </w:rPr>
        <w:t xml:space="preserve">expectedInf</w:t>
      </w:r>
      <w:r>
        <w:t xml:space="preserve"> </w:t>
      </w:r>
      <w:r>
        <w:t xml:space="preserve">function of the</w:t>
      </w:r>
      <w:r>
        <w:t xml:space="preserve"> </w:t>
      </w:r>
      <w:r>
        <w:rPr>
          <w:i/>
        </w:rPr>
        <w:t xml:space="preserve">networktools</w:t>
      </w:r>
      <w:r>
        <w:t xml:space="preserve"> </w:t>
      </w:r>
      <w:r>
        <w:t xml:space="preserve">R package. The influence score are normalized.</w:t>
      </w:r>
    </w:p>
    <w:p>
      <w:pPr>
        <w:pStyle w:val="BodyText"/>
      </w:pPr>
      <w:r>
        <w:t xml:space="preserve">RRS Expected Influence Measures</w:t>
      </w:r>
    </w:p>
    <w:p>
      <w:pPr>
        <w:pStyle w:val="SourceCode"/>
      </w:pP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p>
    <w:p>
      <w:pPr>
        <w:pStyle w:val="FirstParagraph"/>
      </w:pPr>
      <w:r>
        <w:drawing>
          <wp:inline>
            <wp:extent cx="4620126" cy="6468176"/>
            <wp:effectExtent b="0" l="0" r="0" t="0"/>
            <wp:docPr descr="" title="" id="1" name="Picture"/>
            <a:graphic>
              <a:graphicData uri="http://schemas.openxmlformats.org/drawingml/2006/picture">
                <pic:pic>
                  <pic:nvPicPr>
                    <pic:cNvPr descr="main_files/figure-docx/unnamed-chunk-11-1.png" id="0" name="Picture"/>
                    <pic:cNvPicPr>
                      <a:picLocks noChangeArrowheads="1" noChangeAspect="1"/>
                    </pic:cNvPicPr>
                  </pic:nvPicPr>
                  <pic:blipFill>
                    <a:blip r:embed="rId37"/>
                    <a:stretch>
                      <a:fillRect/>
                    </a:stretch>
                  </pic:blipFill>
                  <pic:spPr bwMode="auto">
                    <a:xfrm>
                      <a:off x="0" y="0"/>
                      <a:ext cx="4620126" cy="6468176"/>
                    </a:xfrm>
                    <a:prstGeom prst="rect">
                      <a:avLst/>
                    </a:prstGeom>
                    <a:noFill/>
                    <a:ln w="9525">
                      <a:noFill/>
                      <a:headEnd/>
                      <a:tailEnd/>
                    </a:ln>
                  </pic:spPr>
                </pic:pic>
              </a:graphicData>
            </a:graphic>
          </wp:inline>
        </w:drawing>
      </w:r>
    </w:p>
    <w:p>
      <w:pPr>
        <w:pStyle w:val="BodyText"/>
      </w:pPr>
      <w:r>
        <w:t xml:space="preserve">SCRS Expected Influence Measures</w:t>
      </w:r>
    </w:p>
    <w:p>
      <w:pPr>
        <w:pStyle w:val="SourceCode"/>
      </w:pP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p>
    <w:p>
      <w:pPr>
        <w:pStyle w:val="FirstParagraph"/>
      </w:pPr>
      <w:r>
        <w:drawing>
          <wp:inline>
            <wp:extent cx="4620126" cy="6468176"/>
            <wp:effectExtent b="0" l="0" r="0" t="0"/>
            <wp:docPr descr="" title="" id="1" name="Picture"/>
            <a:graphic>
              <a:graphicData uri="http://schemas.openxmlformats.org/drawingml/2006/picture">
                <pic:pic>
                  <pic:nvPicPr>
                    <pic:cNvPr descr="main_files/figure-docx/unnamed-chunk-13-1.png" id="0" name="Picture"/>
                    <pic:cNvPicPr>
                      <a:picLocks noChangeArrowheads="1" noChangeAspect="1"/>
                    </pic:cNvPicPr>
                  </pic:nvPicPr>
                  <pic:blipFill>
                    <a:blip r:embed="rId38"/>
                    <a:stretch>
                      <a:fillRect/>
                    </a:stretch>
                  </pic:blipFill>
                  <pic:spPr bwMode="auto">
                    <a:xfrm>
                      <a:off x="0" y="0"/>
                      <a:ext cx="4620126" cy="6468176"/>
                    </a:xfrm>
                    <a:prstGeom prst="rect">
                      <a:avLst/>
                    </a:prstGeom>
                    <a:noFill/>
                    <a:ln w="9525">
                      <a:noFill/>
                      <a:headEnd/>
                      <a:tailEnd/>
                    </a:ln>
                  </pic:spPr>
                </pic:pic>
              </a:graphicData>
            </a:graphic>
          </wp:inline>
        </w:drawing>
      </w:r>
    </w:p>
    <w:p>
      <w:pPr>
        <w:pStyle w:val="BodyText"/>
      </w:pPr>
      <w:r>
        <w:t xml:space="preserve">Combined RRS and SCRS Expected Influence Measures</w:t>
      </w:r>
    </w:p>
    <w:p>
      <w:pPr>
        <w:pStyle w:val="SourceCode"/>
      </w:pP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"RRS"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r>
        <w:br/>
      </w:r>
      <w:r>
        <w:rPr>
          <w:rStyle w:val="VerbatimChar"/>
        </w:rPr>
        <w:t xml:space="preserve">## [1] "SCRS"</w:t>
      </w:r>
    </w:p>
    <w:p>
      <w:pPr>
        <w:pStyle w:val="FirstParagraph"/>
      </w:pPr>
      <w:r>
        <w:drawing>
          <wp:inline>
            <wp:extent cx="4620126" cy="6468176"/>
            <wp:effectExtent b="0" l="0" r="0" t="0"/>
            <wp:docPr descr="" title="" id="1" name="Picture"/>
            <a:graphic>
              <a:graphicData uri="http://schemas.openxmlformats.org/drawingml/2006/picture">
                <pic:pic>
                  <pic:nvPicPr>
                    <pic:cNvPr descr="main_files/figure-docx/unnamed-chunk-14-1.png" id="0" name="Picture"/>
                    <pic:cNvPicPr>
                      <a:picLocks noChangeArrowheads="1" noChangeAspect="1"/>
                    </pic:cNvPicPr>
                  </pic:nvPicPr>
                  <pic:blipFill>
                    <a:blip r:embed="rId39"/>
                    <a:stretch>
                      <a:fillRect/>
                    </a:stretch>
                  </pic:blipFill>
                  <pic:spPr bwMode="auto">
                    <a:xfrm>
                      <a:off x="0" y="0"/>
                      <a:ext cx="4620126" cy="6468176"/>
                    </a:xfrm>
                    <a:prstGeom prst="rect">
                      <a:avLst/>
                    </a:prstGeom>
                    <a:noFill/>
                    <a:ln w="9525">
                      <a:noFill/>
                      <a:headEnd/>
                      <a:tailEnd/>
                    </a:ln>
                  </pic:spPr>
                </pic:pic>
              </a:graphicData>
            </a:graphic>
          </wp:inline>
        </w:drawing>
      </w:r>
    </w:p>
    <w:p>
      <w:pPr>
        <w:pStyle w:val="Heading3"/>
      </w:pPr>
      <w:bookmarkStart w:id="40" w:name="bridge-nodes"/>
      <w:r>
        <w:t xml:space="preserve">3.4 Bridge nodes</w:t>
      </w:r>
      <w:bookmarkEnd w:id="40"/>
    </w:p>
    <w:p>
      <w:pPr>
        <w:pStyle w:val="FirstParagraph"/>
      </w:pPr>
      <w:r>
        <w:t xml:space="preserve">Using the</w:t>
      </w:r>
      <w:r>
        <w:t xml:space="preserve"> </w:t>
      </w:r>
      <w:r>
        <w:rPr>
          <w:i/>
        </w:rPr>
        <w:t xml:space="preserve">networktools</w:t>
      </w:r>
      <w:r>
        <w:t xml:space="preserve"> </w:t>
      </w:r>
      <w:r>
        <w:t xml:space="preserve">R library bridge expected influence measure were estimated for the three tools we used in this study. We also added aesthetics to reflect which items belonged to the same community according to our previous clustering steps.</w:t>
      </w:r>
    </w:p>
    <w:p>
      <w:pPr>
        <w:pStyle w:val="BodyText"/>
      </w:pPr>
      <w:r>
        <w:t xml:space="preserve">RRS bridge estimates</w:t>
      </w:r>
    </w:p>
    <w:p>
      <w:pPr>
        <w:pStyle w:val="BodyText"/>
      </w:pPr>
      <w:r>
        <w:drawing>
          <wp:inline>
            <wp:extent cx="5334000" cy="2667000"/>
            <wp:effectExtent b="0" l="0" r="0" t="0"/>
            <wp:docPr descr="" title="" id="1" name="Picture"/>
            <a:graphic>
              <a:graphicData uri="http://schemas.openxmlformats.org/drawingml/2006/picture">
                <pic:pic>
                  <pic:nvPicPr>
                    <pic:cNvPr descr="main_files/figure-docx/unnamed-chunk-15-1.png" id="0"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SCRS bridge estimates</w:t>
      </w:r>
    </w:p>
    <w:p>
      <w:pPr>
        <w:pStyle w:val="BodyText"/>
      </w:pPr>
      <w:r>
        <w:drawing>
          <wp:inline>
            <wp:extent cx="5334000" cy="2667000"/>
            <wp:effectExtent b="0" l="0" r="0" t="0"/>
            <wp:docPr descr="" title="" id="1" name="Picture"/>
            <a:graphic>
              <a:graphicData uri="http://schemas.openxmlformats.org/drawingml/2006/picture">
                <pic:pic>
                  <pic:nvPicPr>
                    <pic:cNvPr descr="main_files/figure-docx/unnamed-chunk-16-1.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Combined RRS and SCRS bridge estimates</w:t>
      </w:r>
    </w:p>
    <w:p>
      <w:pPr>
        <w:pStyle w:val="BodyText"/>
      </w:pPr>
      <w:r>
        <w:drawing>
          <wp:inline>
            <wp:extent cx="5334000" cy="2667000"/>
            <wp:effectExtent b="0" l="0" r="0" t="0"/>
            <wp:docPr descr="" title="" id="1" name="Picture"/>
            <a:graphic>
              <a:graphicData uri="http://schemas.openxmlformats.org/drawingml/2006/picture">
                <pic:pic>
                  <pic:nvPicPr>
                    <pic:cNvPr descr="main_files/figure-docx/unnamed-chunk-18-1.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Heading2"/>
      </w:pPr>
      <w:bookmarkStart w:id="44" w:name="references"/>
      <w:r>
        <w:t xml:space="preserve">References</w:t>
      </w:r>
      <w:bookmarkEnd w:id="44"/>
    </w:p>
    <w:bookmarkStart w:id="48" w:name="refs"/>
    <w:bookmarkStart w:id="46" w:name="ref-Bernstein2019"/>
    <w:p>
      <w:pPr>
        <w:pStyle w:val="Bibliography"/>
      </w:pPr>
      <w:r>
        <w:t xml:space="preserve">Bernstein, Emily E., Alexandre Heeren, and Richard J. McNally. 2019. “Reexamining Trait Rumination as a System of Repetitive Negative Thoughts: A Network Analysis.”</w:t>
      </w:r>
      <w:r>
        <w:t xml:space="preserve"> </w:t>
      </w:r>
      <w:r>
        <w:rPr>
          <w:i/>
        </w:rPr>
        <w:t xml:space="preserve">Journal of Behavior Therapy and Experimental Psychiatry</w:t>
      </w:r>
      <w:r>
        <w:t xml:space="preserve"> </w:t>
      </w:r>
      <w:r>
        <w:t xml:space="preserve">63 (June): 21–27.</w:t>
      </w:r>
      <w:r>
        <w:t xml:space="preserve"> </w:t>
      </w:r>
      <w:hyperlink r:id="rId45">
        <w:r>
          <w:rPr>
            <w:rStyle w:val="Hyperlink"/>
          </w:rPr>
          <w:t xml:space="preserve">https://doi.org/10.1016/j.jbtep.2018.12.005</w:t>
        </w:r>
      </w:hyperlink>
      <w:r>
        <w:t xml:space="preserve">.</w:t>
      </w:r>
    </w:p>
    <w:bookmarkEnd w:id="46"/>
    <w:bookmarkStart w:id="47" w:name="ref-Jones2017"/>
    <w:p>
      <w:pPr>
        <w:pStyle w:val="Bibliography"/>
      </w:pPr>
      <w:r>
        <w:t xml:space="preserve">Jones, Payton. 2017. “Networktools: Assorted and Tools for Identifying and Important Nodes and in Networks.” In.</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hyperlink" Id="rId45" Target="https://doi.org/10.1016/j.jbtep.2018.12.005" TargetMode="External" /></Relationships>
</file>

<file path=word/_rels/footnotes.xml.rels><?xml version="1.0" encoding="UTF-8"?>
<Relationships xmlns="http://schemas.openxmlformats.org/package/2006/relationships"><Relationship Type="http://schemas.openxmlformats.org/officeDocument/2006/relationships/hyperlink" Id="rId45" Target="https://doi.org/10.1016/j.jbtep.2018.12.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Analysis on Rumination</dc:title>
  <dc:creator/>
  <cp:keywords/>
  <dcterms:created xsi:type="dcterms:W3CDTF">2020-07-19T11:09:40Z</dcterms:created>
  <dcterms:modified xsi:type="dcterms:W3CDTF">2020-07-19T11:09:40Z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rumination.bibtex</vt:lpwstr>
  </property>
  <property fmtid="{D5CDD505-2E9C-101B-9397-08002B2CF9AE}" pid="3" name="output">
    <vt:lpwstr>html_document</vt:lpwstr>
  </property>
</Properties>
</file>