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D01FB" w14:textId="77777777" w:rsidR="008D2564" w:rsidRPr="009A345D" w:rsidRDefault="00000000" w:rsidP="009A345D">
      <w:pPr>
        <w:pStyle w:val="Title"/>
        <w:rPr>
          <w:rFonts w:ascii="Garamond" w:hAnsi="Garamond"/>
          <w:b w:val="0"/>
          <w:smallCaps/>
          <w:color w:val="auto"/>
          <w:lang w:val="hu-HU"/>
        </w:rPr>
      </w:pPr>
      <w:r w:rsidRPr="009A345D">
        <w:rPr>
          <w:rFonts w:ascii="Garamond" w:hAnsi="Garamond"/>
          <w:b w:val="0"/>
          <w:smallCaps/>
          <w:color w:val="auto"/>
          <w:lang w:val="hu-HU"/>
        </w:rPr>
        <w:t>“Kincskeresés”: A fiataloknak szóló pénzügyi edukáció mint adaptív előkészítés</w:t>
      </w:r>
    </w:p>
    <w:p w14:paraId="15E1B5FB" w14:textId="77777777" w:rsidR="008D2564" w:rsidRPr="009A345D" w:rsidRDefault="00000000" w:rsidP="009A345D">
      <w:pPr>
        <w:pStyle w:val="Author"/>
        <w:rPr>
          <w:rFonts w:ascii="Garamond" w:hAnsi="Garamond"/>
          <w:lang w:val="hu-HU"/>
        </w:rPr>
      </w:pPr>
      <w:r w:rsidRPr="009A345D">
        <w:rPr>
          <w:rFonts w:ascii="Garamond" w:hAnsi="Garamond"/>
          <w:lang w:val="hu-HU"/>
        </w:rPr>
        <w:t>Tamás Smahajcsik-Szabó</w:t>
      </w:r>
    </w:p>
    <w:p w14:paraId="0F0F0FB7" w14:textId="77777777" w:rsidR="008D2564" w:rsidRPr="009A345D" w:rsidRDefault="00000000" w:rsidP="009A345D">
      <w:pPr>
        <w:pStyle w:val="FirstParagraph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bCs/>
          <w:smallCaps/>
          <w:lang w:val="hu-HU"/>
        </w:rPr>
        <w:t>Bevezetés</w:t>
      </w:r>
      <w:r w:rsidRPr="009A345D">
        <w:rPr>
          <w:rFonts w:ascii="Garamond" w:hAnsi="Garamond"/>
          <w:lang w:val="hu-HU"/>
        </w:rPr>
        <w:t xml:space="preserve"> A pénzügyi oktatás, felelős és adaptív financiális viselkedés kialakításának jelentőségét annak hatásai, hiányának kihatása és hatékonyságának mibenléte alapján tekintem át.</w:t>
      </w:r>
    </w:p>
    <w:p w14:paraId="4FDA956E" w14:textId="467E6E14" w:rsidR="008D2564" w:rsidRPr="009A345D" w:rsidRDefault="00000000" w:rsidP="009A345D">
      <w:pPr>
        <w:pStyle w:val="BodyText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bCs/>
          <w:smallCaps/>
          <w:lang w:val="hu-HU"/>
        </w:rPr>
        <w:t>Elméleti háttér</w:t>
      </w:r>
      <w:r w:rsidRPr="009A345D">
        <w:rPr>
          <w:rFonts w:ascii="Garamond" w:hAnsi="Garamond"/>
          <w:lang w:val="hu-HU"/>
        </w:rPr>
        <w:t xml:space="preserve"> Az intézményes, illetve tantervi keret alapján a legtöbb ország oktatási rendszerében vagy nem elégséges, vagy nem megfelelően illeszkedő a pénzügyi viselkedésre irányuló tudatos nevelés (Wahyuni et al., 2023). A korai, célzott és képességekhez,</w:t>
      </w:r>
      <w:r w:rsidR="009A345D">
        <w:rPr>
          <w:rFonts w:ascii="Garamond" w:hAnsi="Garamond"/>
          <w:lang w:val="hu-HU"/>
        </w:rPr>
        <w:t xml:space="preserve"> valamint</w:t>
      </w:r>
      <w:r w:rsidRPr="009A345D">
        <w:rPr>
          <w:rFonts w:ascii="Garamond" w:hAnsi="Garamond"/>
          <w:lang w:val="hu-HU"/>
        </w:rPr>
        <w:t xml:space="preserve"> korhoz illesztett nevelés fontosságát emeli ki, hogy a gyermekek nyolc éves korukig sajátítják el a jövőben tanúsított kongitív, szociális és érzelmi képességeik, illetve készségeik alapjainak felét (Jorgensen &amp; Savla, 2010). A napi pénzügyi szokások és tevékenységek helyes kialakulása létfontosságú mind az átlagos mindennapokban, mind pedig kritikus</w:t>
      </w:r>
      <w:r w:rsidR="009A345D">
        <w:rPr>
          <w:rFonts w:ascii="Garamond" w:hAnsi="Garamond"/>
          <w:lang w:val="hu-HU"/>
        </w:rPr>
        <w:t xml:space="preserve"> (kr</w:t>
      </w:r>
      <w:r w:rsidR="009A345D" w:rsidRPr="009A345D">
        <w:rPr>
          <w:rFonts w:ascii="Garamond" w:hAnsi="Garamond"/>
          <w:lang w:val="hu-HU"/>
        </w:rPr>
        <w:t>í</w:t>
      </w:r>
      <w:r w:rsidR="009A345D">
        <w:rPr>
          <w:rFonts w:ascii="Garamond" w:hAnsi="Garamond"/>
          <w:lang w:val="hu-HU"/>
        </w:rPr>
        <w:t>zis-)</w:t>
      </w:r>
      <w:r w:rsidRPr="009A345D">
        <w:rPr>
          <w:rFonts w:ascii="Garamond" w:hAnsi="Garamond"/>
          <w:lang w:val="hu-HU"/>
        </w:rPr>
        <w:t xml:space="preserve"> időszakokban egyaránt. A megfelelő pénzügyi nevelésnek magában kell foglalnia a képességet, hogy felelős magatartás alakuljon ki, úgy mint a költségvetés vezetése, a tervezés, a takarékosság, a helyes rizikóviselkedés és az elemzési képességek gyakorlatba ültetése (Wahyuni et al., 2023). Az elégtelen edukáció, a hiányos pénzügyi szocializáció olyan viselkedésjegyekhez vezet mint a státuszszimbólumok vezette költekezés, a rövid távú költések, bármilyen gátlás hiánya, impulz</w:t>
      </w:r>
      <w:r w:rsidR="009A345D" w:rsidRPr="009A345D">
        <w:rPr>
          <w:rFonts w:ascii="Garamond" w:hAnsi="Garamond"/>
          <w:lang w:val="hu-HU"/>
        </w:rPr>
        <w:t>í</w:t>
      </w:r>
      <w:r w:rsidRPr="009A345D">
        <w:rPr>
          <w:rFonts w:ascii="Garamond" w:hAnsi="Garamond"/>
          <w:lang w:val="hu-HU"/>
        </w:rPr>
        <w:t xml:space="preserve">v vásárlás, hirtelen, mindeféle körültekintést vagy információszerzést nélkülöző, vagy külső jegyek, megjelenés vezette költekezés (White, 2019). A megfelelő pénzügyi edukáció végső célja a financiális intelligencia, az informáltság alapján vezetett döntési és mérlegelési képesség kialakulása, </w:t>
      </w:r>
      <w:r w:rsidR="009A345D">
        <w:rPr>
          <w:rFonts w:ascii="Garamond" w:hAnsi="Garamond"/>
          <w:lang w:val="hu-HU"/>
        </w:rPr>
        <w:t>a</w:t>
      </w:r>
      <w:r w:rsidRPr="009A345D">
        <w:rPr>
          <w:rFonts w:ascii="Garamond" w:hAnsi="Garamond"/>
          <w:lang w:val="hu-HU"/>
        </w:rPr>
        <w:t xml:space="preserve">mely annak felismerését is jelenti, mikor </w:t>
      </w:r>
      <w:r w:rsidR="009A345D">
        <w:rPr>
          <w:rFonts w:ascii="Garamond" w:hAnsi="Garamond"/>
          <w:lang w:val="hu-HU"/>
        </w:rPr>
        <w:t xml:space="preserve">lesz </w:t>
      </w:r>
      <w:r w:rsidRPr="009A345D">
        <w:rPr>
          <w:rFonts w:ascii="Garamond" w:hAnsi="Garamond"/>
          <w:lang w:val="hu-HU"/>
        </w:rPr>
        <w:t>szükséges tanács vagy támogatás</w:t>
      </w:r>
      <w:r w:rsidR="009A345D">
        <w:rPr>
          <w:rFonts w:ascii="Garamond" w:hAnsi="Garamond"/>
          <w:lang w:val="hu-HU"/>
        </w:rPr>
        <w:t xml:space="preserve"> </w:t>
      </w:r>
      <w:r w:rsidR="009A345D" w:rsidRPr="009A345D">
        <w:rPr>
          <w:rFonts w:ascii="Garamond" w:hAnsi="Garamond"/>
          <w:lang w:val="hu-HU"/>
        </w:rPr>
        <w:t>kérése</w:t>
      </w:r>
      <w:r w:rsidRPr="009A345D">
        <w:rPr>
          <w:rFonts w:ascii="Garamond" w:hAnsi="Garamond"/>
          <w:lang w:val="hu-HU"/>
        </w:rPr>
        <w:t xml:space="preserve">, és ezáltal hozzájárul a jóllét kialakulásához. A pénzügyi </w:t>
      </w:r>
      <w:r w:rsidR="009A345D">
        <w:rPr>
          <w:rFonts w:ascii="Garamond" w:hAnsi="Garamond"/>
          <w:lang w:val="hu-HU"/>
        </w:rPr>
        <w:t>„</w:t>
      </w:r>
      <w:r w:rsidRPr="009A345D">
        <w:rPr>
          <w:rFonts w:ascii="Garamond" w:hAnsi="Garamond"/>
          <w:lang w:val="hu-HU"/>
        </w:rPr>
        <w:t>olvasottság” azt is jelenti, a megfelelően kiválogatott, a döntés szempontjából releváns információ alapján tud mérlegelni a személy, és felismeri a végkimenetel teljes anyagi vonzatát.</w:t>
      </w:r>
    </w:p>
    <w:p w14:paraId="0FA36E69" w14:textId="407CA350" w:rsidR="008D2564" w:rsidRPr="009A345D" w:rsidRDefault="00000000" w:rsidP="009A345D">
      <w:pPr>
        <w:pStyle w:val="BodyText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lang w:val="hu-HU"/>
        </w:rPr>
        <w:t>5-6 éves gyerekeken végzett kutatásában (Wahyuni et al., 2023) a pénzügyi ismeretek jelentős javulását érték el Simon Nicholson un.</w:t>
      </w:r>
      <w:r w:rsidR="009A345D">
        <w:rPr>
          <w:rFonts w:ascii="Garamond" w:hAnsi="Garamond"/>
          <w:lang w:val="hu-HU"/>
        </w:rPr>
        <w:t xml:space="preserve"> „</w:t>
      </w:r>
      <w:r w:rsidRPr="009A345D">
        <w:rPr>
          <w:rFonts w:ascii="Garamond" w:hAnsi="Garamond"/>
          <w:i/>
          <w:iCs/>
          <w:lang w:val="hu-HU"/>
        </w:rPr>
        <w:t>Loose Parts Play</w:t>
      </w:r>
      <w:r w:rsidRPr="009A345D">
        <w:rPr>
          <w:rFonts w:ascii="Garamond" w:hAnsi="Garamond"/>
          <w:lang w:val="hu-HU"/>
        </w:rPr>
        <w:t xml:space="preserve">” paradigmáját követve, mely a gyermekek tanulásában a játék során kitöltött, </w:t>
      </w:r>
      <w:r w:rsidR="009A345D">
        <w:rPr>
          <w:rFonts w:ascii="Garamond" w:hAnsi="Garamond"/>
          <w:lang w:val="hu-HU"/>
        </w:rPr>
        <w:t>„</w:t>
      </w:r>
      <w:r w:rsidRPr="009A345D">
        <w:rPr>
          <w:rFonts w:ascii="Garamond" w:hAnsi="Garamond"/>
          <w:lang w:val="hu-HU"/>
        </w:rPr>
        <w:t>üres terek” koncepióját használja</w:t>
      </w:r>
      <w:r w:rsidR="009A345D">
        <w:rPr>
          <w:rFonts w:ascii="Garamond" w:hAnsi="Garamond"/>
          <w:lang w:val="hu-HU"/>
        </w:rPr>
        <w:t>, felszabad</w:t>
      </w:r>
      <w:r w:rsidR="009A345D" w:rsidRPr="009A345D">
        <w:rPr>
          <w:rFonts w:ascii="Garamond" w:hAnsi="Garamond"/>
          <w:lang w:val="hu-HU"/>
        </w:rPr>
        <w:t>í</w:t>
      </w:r>
      <w:r w:rsidR="009A345D">
        <w:rPr>
          <w:rFonts w:ascii="Garamond" w:hAnsi="Garamond"/>
          <w:lang w:val="hu-HU"/>
        </w:rPr>
        <w:t>tva az asszociációt és a kreativitást</w:t>
      </w:r>
      <w:r w:rsidRPr="009A345D">
        <w:rPr>
          <w:rFonts w:ascii="Garamond" w:hAnsi="Garamond"/>
          <w:lang w:val="hu-HU"/>
        </w:rPr>
        <w:t>. A korai szokások későbbi életvitelre, életminőségre, és esetünkben a majdani család financiális biztonságára és egészségére gyakorolt hatása miatt a szerzők különösen fontosnak tartják a pénzügyi edukációt, illetve az oktatási rendszer, oktatói személyzet erre vonatkozó felkészültségét és nyitottságát.</w:t>
      </w:r>
    </w:p>
    <w:p w14:paraId="0BCF76A2" w14:textId="0356D3C0" w:rsidR="008D2564" w:rsidRPr="009A345D" w:rsidRDefault="00000000" w:rsidP="009A345D">
      <w:pPr>
        <w:pStyle w:val="BodyText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lang w:val="hu-HU"/>
        </w:rPr>
        <w:t>A pénzügyi oktatás különösen fontos fiatalok körében a</w:t>
      </w:r>
      <w:r w:rsidR="009A345D">
        <w:rPr>
          <w:rFonts w:ascii="Garamond" w:hAnsi="Garamond"/>
          <w:lang w:val="hu-HU"/>
        </w:rPr>
        <w:t xml:space="preserve"> már fentebb </w:t>
      </w:r>
      <w:r w:rsidRPr="009A345D">
        <w:rPr>
          <w:rFonts w:ascii="Garamond" w:hAnsi="Garamond"/>
          <w:lang w:val="hu-HU"/>
        </w:rPr>
        <w:t>érintett pénzügyi biztonság, befektetések, felelős kezelés, előrelátó, tervező viselkedés tekintetében, de ugyanakkor további szempont a korosztályt jelentősen célző kibertámadások és online csalások kivédése, időben történő észlelése is (Hassan et al., 2024). Az eredmények szerint az ilyen fenyegetések ellen nagy szerepet játszik több</w:t>
      </w:r>
      <w:r w:rsidR="009A345D">
        <w:rPr>
          <w:rFonts w:ascii="Garamond" w:hAnsi="Garamond"/>
          <w:lang w:val="hu-HU"/>
        </w:rPr>
        <w:t>,</w:t>
      </w:r>
      <w:r w:rsidRPr="009A345D">
        <w:rPr>
          <w:rFonts w:ascii="Garamond" w:hAnsi="Garamond"/>
          <w:lang w:val="hu-HU"/>
        </w:rPr>
        <w:t xml:space="preserve"> észlelt változó mellett a kiberbiztonság észlelt hatékonysága (</w:t>
      </w:r>
      <w:r w:rsidRPr="009A345D">
        <w:rPr>
          <w:rFonts w:ascii="Garamond" w:hAnsi="Garamond"/>
          <w:i/>
          <w:iCs/>
          <w:lang w:val="hu-HU"/>
        </w:rPr>
        <w:t>cybersecurity efficacy</w:t>
      </w:r>
      <w:r w:rsidRPr="009A345D">
        <w:rPr>
          <w:rFonts w:ascii="Garamond" w:hAnsi="Garamond"/>
          <w:lang w:val="hu-HU"/>
        </w:rPr>
        <w:t>), mely az online csalások és financiális támadások felismerését, illetve a védekezés módjainak pontos ismeretét jelenti, s mint olyan, közvetlen célja a pénzügyi edukációnak.</w:t>
      </w:r>
    </w:p>
    <w:p w14:paraId="3106D914" w14:textId="78AC7A8F" w:rsidR="008D2564" w:rsidRPr="009A345D" w:rsidRDefault="00000000" w:rsidP="009A345D">
      <w:pPr>
        <w:pStyle w:val="BodyText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lang w:val="hu-HU"/>
        </w:rPr>
        <w:t xml:space="preserve">Végezetül a pénzügyi oktatás hatékonyságában jelentős szerepet játszik az un. </w:t>
      </w:r>
      <w:r w:rsidR="009A345D">
        <w:rPr>
          <w:rFonts w:ascii="Garamond" w:hAnsi="Garamond"/>
          <w:lang w:val="hu-HU"/>
        </w:rPr>
        <w:t>„</w:t>
      </w:r>
      <w:r w:rsidRPr="009A345D">
        <w:rPr>
          <w:rFonts w:ascii="Garamond" w:hAnsi="Garamond"/>
          <w:lang w:val="hu-HU"/>
        </w:rPr>
        <w:t>active learning”</w:t>
      </w:r>
      <w:r w:rsidR="009A345D">
        <w:rPr>
          <w:rFonts w:ascii="Garamond" w:hAnsi="Garamond"/>
          <w:lang w:val="hu-HU"/>
        </w:rPr>
        <w:t xml:space="preserve">, </w:t>
      </w:r>
      <w:r w:rsidRPr="009A345D">
        <w:rPr>
          <w:rFonts w:ascii="Garamond" w:hAnsi="Garamond"/>
          <w:lang w:val="hu-HU"/>
        </w:rPr>
        <w:t xml:space="preserve"> </w:t>
      </w:r>
      <w:r w:rsidR="009A345D">
        <w:rPr>
          <w:rFonts w:ascii="Garamond" w:hAnsi="Garamond"/>
          <w:lang w:val="hu-HU"/>
        </w:rPr>
        <w:t>a</w:t>
      </w:r>
      <w:r w:rsidRPr="009A345D">
        <w:rPr>
          <w:rFonts w:ascii="Garamond" w:hAnsi="Garamond"/>
          <w:lang w:val="hu-HU"/>
        </w:rPr>
        <w:t>mely a hagyományos tényanyagon alapuló, lektori oktatás helyett a (nem egyszer fizikailag is) tevőleges, megvitatást, le-, illetve eljátszást is magában foglaló, médiaelemeket, interaktivitást, virtu</w:t>
      </w:r>
      <w:r w:rsidR="009A345D">
        <w:rPr>
          <w:rFonts w:ascii="Garamond" w:hAnsi="Garamond"/>
          <w:lang w:val="hu-HU"/>
        </w:rPr>
        <w:t>á</w:t>
      </w:r>
      <w:r w:rsidRPr="009A345D">
        <w:rPr>
          <w:rFonts w:ascii="Garamond" w:hAnsi="Garamond"/>
          <w:lang w:val="hu-HU"/>
        </w:rPr>
        <w:t xml:space="preserve">lis eszközöket előtérbe helyező oktatást jelenti (Kaiser &amp; Menkhoff, 2022). Jellegéből kifolyólag is ez az </w:t>
      </w:r>
      <w:r w:rsidRPr="009A345D">
        <w:rPr>
          <w:rFonts w:ascii="Garamond" w:hAnsi="Garamond"/>
          <w:lang w:val="hu-HU"/>
        </w:rPr>
        <w:lastRenderedPageBreak/>
        <w:t>oktatási forma könnyen adaptálható fiatalkorúak alkotta célcsoportokban. További előnye az akár 4 évvel az oktatást követően is kimutatható jobb pénzügyi kimeneti változók terén nyújtott teljes</w:t>
      </w:r>
      <w:r w:rsidR="009A345D" w:rsidRPr="009A345D">
        <w:rPr>
          <w:rFonts w:ascii="Garamond" w:hAnsi="Garamond"/>
          <w:lang w:val="hu-HU"/>
        </w:rPr>
        <w:t>í</w:t>
      </w:r>
      <w:r w:rsidRPr="009A345D">
        <w:rPr>
          <w:rFonts w:ascii="Garamond" w:hAnsi="Garamond"/>
          <w:lang w:val="hu-HU"/>
        </w:rPr>
        <w:t>tmény, úgy mint befektetések, takarékosság, előre látó, tervező magatartás. Jobb teszteredmények jellemezték az pénzügyi oktatás online formájában részesülő hallgatókat szemben a hagyományos formával (Agasisti et al., 2023).</w:t>
      </w:r>
    </w:p>
    <w:p w14:paraId="6EC29EE4" w14:textId="77777777" w:rsidR="008D2564" w:rsidRPr="009A345D" w:rsidRDefault="00000000" w:rsidP="009A345D">
      <w:pPr>
        <w:pStyle w:val="BodyText"/>
        <w:jc w:val="both"/>
        <w:rPr>
          <w:rFonts w:ascii="Garamond" w:hAnsi="Garamond"/>
          <w:lang w:val="hu-HU"/>
        </w:rPr>
      </w:pPr>
      <w:r w:rsidRPr="009A345D">
        <w:rPr>
          <w:rFonts w:ascii="Garamond" w:hAnsi="Garamond"/>
          <w:bCs/>
          <w:smallCaps/>
          <w:lang w:val="hu-HU"/>
        </w:rPr>
        <w:t>Összefoglalás</w:t>
      </w:r>
      <w:r w:rsidRPr="009A345D">
        <w:rPr>
          <w:rFonts w:ascii="Garamond" w:hAnsi="Garamond"/>
          <w:lang w:val="hu-HU"/>
        </w:rPr>
        <w:t xml:space="preserve"> A pénzügyi oktatás eredményes egy a fiatalok számára könnyen adaptálható formában (aktivitást magában rejtő, online) módozata lehet eredményes, mely idői vontakozásaiban évekre meghatározó, és a gazdasági biztonság alapját adja meg materiális és kiberértelemben is.</w:t>
      </w:r>
    </w:p>
    <w:p w14:paraId="3B568DBC" w14:textId="77777777" w:rsidR="008D2564" w:rsidRPr="009A345D" w:rsidRDefault="00000000" w:rsidP="009A345D">
      <w:pPr>
        <w:pStyle w:val="BodyText"/>
        <w:jc w:val="both"/>
        <w:rPr>
          <w:rFonts w:ascii="Garamond" w:hAnsi="Garamond"/>
          <w:smallCaps/>
        </w:rPr>
      </w:pPr>
      <w:r w:rsidRPr="009A345D">
        <w:rPr>
          <w:rFonts w:ascii="Garamond" w:hAnsi="Garamond"/>
          <w:bCs/>
          <w:smallCaps/>
        </w:rPr>
        <w:t>Felhasznált irodalom</w:t>
      </w:r>
    </w:p>
    <w:p w14:paraId="02883759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0" w:name="ref-Agasisti2023"/>
      <w:bookmarkStart w:id="1" w:name="refs"/>
      <w:r w:rsidRPr="009A345D">
        <w:rPr>
          <w:rFonts w:ascii="Garamond" w:hAnsi="Garamond"/>
        </w:rPr>
        <w:t xml:space="preserve">Agasisti, T., Barucci, E., Cannistrà, M., Marazzina, D., &amp; Soncin, M. (2023). Online or on-campus? Analysing the effects of financial education on student knowledge gain. </w:t>
      </w:r>
      <w:r w:rsidRPr="009A345D">
        <w:rPr>
          <w:rFonts w:ascii="Garamond" w:hAnsi="Garamond"/>
          <w:i/>
          <w:iCs/>
        </w:rPr>
        <w:t>Evaluation and Program Planning</w:t>
      </w:r>
      <w:r w:rsidRPr="009A345D">
        <w:rPr>
          <w:rFonts w:ascii="Garamond" w:hAnsi="Garamond"/>
        </w:rPr>
        <w:t xml:space="preserve">, </w:t>
      </w:r>
      <w:r w:rsidRPr="009A345D">
        <w:rPr>
          <w:rFonts w:ascii="Garamond" w:hAnsi="Garamond"/>
          <w:i/>
          <w:iCs/>
        </w:rPr>
        <w:t>98</w:t>
      </w:r>
      <w:r w:rsidRPr="009A345D">
        <w:rPr>
          <w:rFonts w:ascii="Garamond" w:hAnsi="Garamond"/>
        </w:rPr>
        <w:t xml:space="preserve">, 102273. </w:t>
      </w:r>
      <w:hyperlink r:id="rId7">
        <w:r w:rsidRPr="009A345D">
          <w:rPr>
            <w:rStyle w:val="Hyperlink"/>
            <w:rFonts w:ascii="Garamond" w:hAnsi="Garamond"/>
          </w:rPr>
          <w:t>https://doi.org/10.1016/j.evalprogplan.2023.102273</w:t>
        </w:r>
      </w:hyperlink>
    </w:p>
    <w:p w14:paraId="3EC000D6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2" w:name="ref-Hassan2024"/>
      <w:bookmarkEnd w:id="0"/>
      <w:r w:rsidRPr="009A345D">
        <w:rPr>
          <w:rFonts w:ascii="Garamond" w:hAnsi="Garamond"/>
        </w:rPr>
        <w:t xml:space="preserve">Hassan, S., Ahmad, R., Katuk, N., Ghazali, N. N., Aripin, J. A., &amp; Ali, F. (2024). Staying one step ahead: Exploring protection motivation theory to combat cyber-fraud among e-services users. </w:t>
      </w:r>
      <w:r w:rsidRPr="009A345D">
        <w:rPr>
          <w:rFonts w:ascii="Garamond" w:hAnsi="Garamond"/>
          <w:i/>
          <w:iCs/>
        </w:rPr>
        <w:t>Procedia Computer Science</w:t>
      </w:r>
      <w:r w:rsidRPr="009A345D">
        <w:rPr>
          <w:rFonts w:ascii="Garamond" w:hAnsi="Garamond"/>
        </w:rPr>
        <w:t xml:space="preserve">, </w:t>
      </w:r>
      <w:r w:rsidRPr="009A345D">
        <w:rPr>
          <w:rFonts w:ascii="Garamond" w:hAnsi="Garamond"/>
          <w:i/>
          <w:iCs/>
        </w:rPr>
        <w:t>234</w:t>
      </w:r>
      <w:r w:rsidRPr="009A345D">
        <w:rPr>
          <w:rFonts w:ascii="Garamond" w:hAnsi="Garamond"/>
        </w:rPr>
        <w:t xml:space="preserve">, 1364–1371. </w:t>
      </w:r>
      <w:hyperlink r:id="rId8">
        <w:r w:rsidRPr="009A345D">
          <w:rPr>
            <w:rStyle w:val="Hyperlink"/>
            <w:rFonts w:ascii="Garamond" w:hAnsi="Garamond"/>
          </w:rPr>
          <w:t>https://doi.org/10.1016/j.procs.2024.04.011</w:t>
        </w:r>
      </w:hyperlink>
    </w:p>
    <w:p w14:paraId="66ECF1BA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3" w:name="ref-Jorgensen2010"/>
      <w:bookmarkEnd w:id="2"/>
      <w:r w:rsidRPr="009A345D">
        <w:rPr>
          <w:rFonts w:ascii="Garamond" w:hAnsi="Garamond"/>
        </w:rPr>
        <w:t xml:space="preserve">Jorgensen, B. L., &amp; Savla, J. (2010). Financial literacy of young adults: The importance of parental socialization. </w:t>
      </w:r>
      <w:r w:rsidRPr="009A345D">
        <w:rPr>
          <w:rFonts w:ascii="Garamond" w:hAnsi="Garamond"/>
          <w:i/>
          <w:iCs/>
        </w:rPr>
        <w:t>Family Relations</w:t>
      </w:r>
      <w:r w:rsidRPr="009A345D">
        <w:rPr>
          <w:rFonts w:ascii="Garamond" w:hAnsi="Garamond"/>
        </w:rPr>
        <w:t xml:space="preserve">, </w:t>
      </w:r>
      <w:r w:rsidRPr="009A345D">
        <w:rPr>
          <w:rFonts w:ascii="Garamond" w:hAnsi="Garamond"/>
          <w:i/>
          <w:iCs/>
        </w:rPr>
        <w:t>59</w:t>
      </w:r>
      <w:r w:rsidRPr="009A345D">
        <w:rPr>
          <w:rFonts w:ascii="Garamond" w:hAnsi="Garamond"/>
        </w:rPr>
        <w:t xml:space="preserve">(4), 465–478. </w:t>
      </w:r>
      <w:hyperlink r:id="rId9">
        <w:r w:rsidRPr="009A345D">
          <w:rPr>
            <w:rStyle w:val="Hyperlink"/>
            <w:rFonts w:ascii="Garamond" w:hAnsi="Garamond"/>
          </w:rPr>
          <w:t>https://doi.org/10.1111/j.1741-3729.2010.00616.x</w:t>
        </w:r>
      </w:hyperlink>
    </w:p>
    <w:p w14:paraId="2B025133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4" w:name="ref-Kaiser2022"/>
      <w:bookmarkEnd w:id="3"/>
      <w:r w:rsidRPr="009A345D">
        <w:rPr>
          <w:rFonts w:ascii="Garamond" w:hAnsi="Garamond"/>
        </w:rPr>
        <w:t xml:space="preserve">Kaiser, T., &amp; Menkhoff, L. (2022). Active learning improves financial education: Experimental evidence from uganda. </w:t>
      </w:r>
      <w:r w:rsidRPr="009A345D">
        <w:rPr>
          <w:rFonts w:ascii="Garamond" w:hAnsi="Garamond"/>
          <w:i/>
          <w:iCs/>
        </w:rPr>
        <w:t>Journal of Development Economics</w:t>
      </w:r>
      <w:r w:rsidRPr="009A345D">
        <w:rPr>
          <w:rFonts w:ascii="Garamond" w:hAnsi="Garamond"/>
        </w:rPr>
        <w:t xml:space="preserve">, </w:t>
      </w:r>
      <w:r w:rsidRPr="009A345D">
        <w:rPr>
          <w:rFonts w:ascii="Garamond" w:hAnsi="Garamond"/>
          <w:i/>
          <w:iCs/>
        </w:rPr>
        <w:t>157</w:t>
      </w:r>
      <w:r w:rsidRPr="009A345D">
        <w:rPr>
          <w:rFonts w:ascii="Garamond" w:hAnsi="Garamond"/>
        </w:rPr>
        <w:t xml:space="preserve">, 102870. </w:t>
      </w:r>
      <w:hyperlink r:id="rId10">
        <w:r w:rsidRPr="009A345D">
          <w:rPr>
            <w:rStyle w:val="Hyperlink"/>
            <w:rFonts w:ascii="Garamond" w:hAnsi="Garamond"/>
          </w:rPr>
          <w:t>https://doi.org/10.1016/j.jdeveco.2022.102870</w:t>
        </w:r>
      </w:hyperlink>
    </w:p>
    <w:p w14:paraId="12F1E932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5" w:name="ref-Wahyuni2023"/>
      <w:bookmarkEnd w:id="4"/>
      <w:r w:rsidRPr="009A345D">
        <w:rPr>
          <w:rFonts w:ascii="Garamond" w:hAnsi="Garamond"/>
        </w:rPr>
        <w:t xml:space="preserve">Wahyuni, S., Liza, L. O., Syahdan, Rusandi, M. A., &amp; Situmorang, D. D. B. (2023). ‘Treasure hunt’: Using loose parts media to develop social financial education model for early children. </w:t>
      </w:r>
      <w:r w:rsidRPr="009A345D">
        <w:rPr>
          <w:rFonts w:ascii="Garamond" w:hAnsi="Garamond"/>
          <w:i/>
          <w:iCs/>
        </w:rPr>
        <w:t>Heliyon</w:t>
      </w:r>
      <w:r w:rsidRPr="009A345D">
        <w:rPr>
          <w:rFonts w:ascii="Garamond" w:hAnsi="Garamond"/>
        </w:rPr>
        <w:t xml:space="preserve">, </w:t>
      </w:r>
      <w:r w:rsidRPr="009A345D">
        <w:rPr>
          <w:rFonts w:ascii="Garamond" w:hAnsi="Garamond"/>
          <w:i/>
          <w:iCs/>
        </w:rPr>
        <w:t>9</w:t>
      </w:r>
      <w:r w:rsidRPr="009A345D">
        <w:rPr>
          <w:rFonts w:ascii="Garamond" w:hAnsi="Garamond"/>
        </w:rPr>
        <w:t xml:space="preserve">(6), e17188. </w:t>
      </w:r>
      <w:hyperlink r:id="rId11">
        <w:r w:rsidRPr="009A345D">
          <w:rPr>
            <w:rStyle w:val="Hyperlink"/>
            <w:rFonts w:ascii="Garamond" w:hAnsi="Garamond"/>
          </w:rPr>
          <w:t>https://doi.org/10.1016/j.heliyon.2023.e17188</w:t>
        </w:r>
      </w:hyperlink>
    </w:p>
    <w:p w14:paraId="658BEA92" w14:textId="77777777" w:rsidR="008D2564" w:rsidRPr="009A345D" w:rsidRDefault="00000000" w:rsidP="009A345D">
      <w:pPr>
        <w:pStyle w:val="Bibliography"/>
        <w:jc w:val="both"/>
        <w:rPr>
          <w:rFonts w:ascii="Garamond" w:hAnsi="Garamond"/>
        </w:rPr>
      </w:pPr>
      <w:bookmarkStart w:id="6" w:name="ref-White2019"/>
      <w:bookmarkEnd w:id="5"/>
      <w:r w:rsidRPr="009A345D">
        <w:rPr>
          <w:rFonts w:ascii="Garamond" w:hAnsi="Garamond"/>
        </w:rPr>
        <w:t xml:space="preserve">White, J. (2019). </w:t>
      </w:r>
      <w:r w:rsidRPr="009A345D">
        <w:rPr>
          <w:rFonts w:ascii="Garamond" w:hAnsi="Garamond"/>
          <w:i/>
          <w:iCs/>
        </w:rPr>
        <w:t>Playing and learning outdoors: The practical guide and sourcebook for excellence in outdoor provision and practice with young children</w:t>
      </w:r>
      <w:r w:rsidRPr="009A345D">
        <w:rPr>
          <w:rFonts w:ascii="Garamond" w:hAnsi="Garamond"/>
        </w:rPr>
        <w:t xml:space="preserve">. Routledge. </w:t>
      </w:r>
      <w:hyperlink r:id="rId12">
        <w:r w:rsidRPr="009A345D">
          <w:rPr>
            <w:rStyle w:val="Hyperlink"/>
            <w:rFonts w:ascii="Garamond" w:hAnsi="Garamond"/>
          </w:rPr>
          <w:t>https://doi.org/10.4324/9780429469435</w:t>
        </w:r>
      </w:hyperlink>
      <w:bookmarkEnd w:id="1"/>
      <w:bookmarkEnd w:id="6"/>
    </w:p>
    <w:sectPr w:rsidR="008D2564" w:rsidRPr="009A345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E1292" w14:textId="77777777" w:rsidR="00E63B3D" w:rsidRDefault="00E63B3D">
      <w:pPr>
        <w:spacing w:after="0"/>
      </w:pPr>
      <w:r>
        <w:separator/>
      </w:r>
    </w:p>
  </w:endnote>
  <w:endnote w:type="continuationSeparator" w:id="0">
    <w:p w14:paraId="63CAAB3F" w14:textId="77777777" w:rsidR="00E63B3D" w:rsidRDefault="00E63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C8E0D" w14:textId="77777777" w:rsidR="00E63B3D" w:rsidRDefault="00E63B3D">
      <w:r>
        <w:separator/>
      </w:r>
    </w:p>
  </w:footnote>
  <w:footnote w:type="continuationSeparator" w:id="0">
    <w:p w14:paraId="176ECF4E" w14:textId="77777777" w:rsidR="00E63B3D" w:rsidRDefault="00E6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232A3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756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564"/>
    <w:rsid w:val="004B0280"/>
    <w:rsid w:val="006A2351"/>
    <w:rsid w:val="008D2564"/>
    <w:rsid w:val="009A345D"/>
    <w:rsid w:val="00E63B3D"/>
    <w:rsid w:val="00F32403"/>
    <w:rsid w:val="00F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D8B0"/>
  <w15:docId w15:val="{0239B5D0-C0C8-4C24-946A-502DACBB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procs.2024.04.01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evalprogplan.2023.102273" TargetMode="External"/><Relationship Id="rId12" Type="http://schemas.openxmlformats.org/officeDocument/2006/relationships/hyperlink" Target="https://doi.org/10.4324/97804294694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heliyon.2023.e1718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16/j.jdeveco.2022.1028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j.1741-3729.2010.00616.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788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“Kincskeresés”: A fiataloknak szóló pénzügyi edukáció mint adaptív előkészítés</dc:title>
  <dc:creator>Tamás Smahajcsik-Szabó</dc:creator>
  <cp:keywords/>
  <cp:lastModifiedBy>Tamás Smahajcsik-Szabó</cp:lastModifiedBy>
  <cp:revision>3</cp:revision>
  <dcterms:created xsi:type="dcterms:W3CDTF">2024-05-21T19:41:00Z</dcterms:created>
  <dcterms:modified xsi:type="dcterms:W3CDTF">2024-05-21T21:31:00Z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-latex-options">
    <vt:lpwstr>style=apa, sorting=nyt, backend=biber, maxcitenames=2, useprefix, doi=true, isbn=false, uniquename=false</vt:lpwstr>
  </property>
  <property fmtid="{D5CDD505-2E9C-101B-9397-08002B2CF9AE}" pid="3" name="bibliography">
    <vt:lpwstr>behav.bib</vt:lpwstr>
  </property>
  <property fmtid="{D5CDD505-2E9C-101B-9397-08002B2CF9AE}" pid="4" name="csl">
    <vt:lpwstr>apa7.csl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