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GSG — PharmaConnect — Cahier de Conception v2.0</w:t>
      </w:r>
    </w:p>
    <w:p>
      <w:pPr>
        <w:pStyle w:val="BodyText"/>
      </w:pPr>
      <w:r>
        <w:rPr>
          <w:bCs/>
          <w:b/>
        </w:rPr>
        <w:t xml:space="preserve">GLOBAL SERVICE GROUPE</w:t>
      </w:r>
    </w:p>
    <w:p>
      <w:pPr>
        <w:pStyle w:val="BodyText"/>
      </w:pPr>
      <w:r>
        <w:rPr>
          <w:bCs/>
          <w:b/>
        </w:rPr>
        <w:t xml:space="preserve">PHARMACONNECT</w:t>
      </w:r>
    </w:p>
    <w:p>
      <w:pPr>
        <w:pStyle w:val="BodyText"/>
      </w:pPr>
      <w:r>
        <w:t xml:space="preserve">Cahier de Conception</w:t>
      </w:r>
    </w:p>
    <w:p>
      <w:pPr>
        <w:pStyle w:val="BodyText"/>
      </w:pPr>
      <w:r>
        <w:rPr>
          <w:iCs/>
          <w:i/>
        </w:rPr>
        <w:t xml:space="preserve">L’infrastructure numérique du circuit pharmaceutique et des soins à domicile en Afrique de l’Ouest</w:t>
      </w:r>
    </w:p>
    <w:p>
      <w:pPr>
        <w:pStyle w:val="BodyText"/>
      </w:pPr>
      <w:r>
        <w:rPr>
          <w:bCs/>
          <w:b/>
        </w:rPr>
        <w:t xml:space="preserve">CONNECT CARE • CONNECT PHARMA • CONNECT SUPPLY</w:t>
      </w:r>
    </w:p>
    <w:p>
      <w:pPr>
        <w:pStyle w:val="BodyText"/>
      </w:pPr>
      <w:r>
        <w:rPr>
          <w:bCs/>
          <w:b/>
        </w:rPr>
        <w:t xml:space="preserve">Version 2.0</w:t>
      </w:r>
    </w:p>
    <w:p>
      <w:pPr>
        <w:pStyle w:val="BodyText"/>
      </w:pPr>
      <w:r>
        <w:t xml:space="preserve">Août 2026</w:t>
      </w:r>
    </w:p>
    <w:p>
      <w:pPr>
        <w:pStyle w:val="BodyText"/>
      </w:pPr>
      <w:r>
        <w:t xml:space="preserve">34 modules • 66 règles de gestion • Architecture GSG Platform Kernel</w:t>
      </w:r>
    </w:p>
    <w:p>
      <w:pPr>
        <w:pStyle w:val="BodyText"/>
      </w:pPr>
      <w:r>
        <w:rPr>
          <w:bCs/>
          <w:b/>
        </w:rPr>
        <w:t xml:space="preserve">Sommaire</w:t>
      </w:r>
    </w:p>
    <w:p>
      <w:pPr>
        <w:pStyle w:val="SourceCode"/>
      </w:pPr>
      <w:r>
        <w:rPr>
          <w:rStyle w:val="VerbatimChar"/>
        </w:rPr>
        <w:t xml:space="preserve">**Sommaire**    2</w:t>
      </w:r>
      <w:r>
        <w:br/>
      </w:r>
      <w:r>
        <w:br/>
      </w:r>
      <w:r>
        <w:rPr>
          <w:rStyle w:val="VerbatimChar"/>
        </w:rPr>
        <w:t xml:space="preserve">**1. Synthèse exécutive**   8</w:t>
      </w:r>
      <w:r>
        <w:br/>
      </w:r>
      <w:r>
        <w:br/>
      </w:r>
      <w:r>
        <w:rPr>
          <w:rStyle w:val="VerbatimChar"/>
        </w:rPr>
        <w:t xml:space="preserve">**2. Vision et positionnement** 9</w:t>
      </w:r>
      <w:r>
        <w:br/>
      </w:r>
      <w:r>
        <w:br/>
      </w:r>
      <w:r>
        <w:rPr>
          <w:rStyle w:val="VerbatimChar"/>
        </w:rPr>
        <w:t xml:space="preserve">**2.1 Ce que PharmaConnect n'est pas**  9</w:t>
      </w:r>
      <w:r>
        <w:br/>
      </w:r>
      <w:r>
        <w:br/>
      </w:r>
      <w:r>
        <w:rPr>
          <w:rStyle w:val="VerbatimChar"/>
        </w:rPr>
        <w:t xml:space="preserve">**2.2 La formule de valeur**    9</w:t>
      </w:r>
      <w:r>
        <w:br/>
      </w:r>
      <w:r>
        <w:br/>
      </w:r>
      <w:r>
        <w:rPr>
          <w:rStyle w:val="VerbatimChar"/>
        </w:rPr>
        <w:t xml:space="preserve">**2.3 Le principe fondateur : l'IA informe, le professionnel décide**   9</w:t>
      </w:r>
      <w:r>
        <w:br/>
      </w:r>
      <w:r>
        <w:br/>
      </w:r>
      <w:r>
        <w:rPr>
          <w:rStyle w:val="VerbatimChar"/>
        </w:rPr>
        <w:t xml:space="preserve">**2.4 Contexte réglementaire guinéen**  9</w:t>
      </w:r>
      <w:r>
        <w:br/>
      </w:r>
      <w:r>
        <w:br/>
      </w:r>
      <w:r>
        <w:rPr>
          <w:rStyle w:val="VerbatimChar"/>
        </w:rPr>
        <w:t xml:space="preserve">**2.5 Architecture de marque : trois branches, une infrastructure** 10</w:t>
      </w:r>
      <w:r>
        <w:br/>
      </w:r>
      <w:r>
        <w:br/>
      </w:r>
      <w:r>
        <w:rPr>
          <w:rStyle w:val="VerbatimChar"/>
        </w:rPr>
        <w:t xml:space="preserve">**2.6 Les quatre rôles encadrés de l'intelligence artificielle**    10</w:t>
      </w:r>
      <w:r>
        <w:br/>
      </w:r>
      <w:r>
        <w:br/>
      </w:r>
      <w:r>
        <w:rPr>
          <w:rStyle w:val="VerbatimChar"/>
        </w:rPr>
        <w:t xml:space="preserve">**2.7 Le marché diaspora**  10</w:t>
      </w:r>
      <w:r>
        <w:br/>
      </w:r>
      <w:r>
        <w:br/>
      </w:r>
      <w:r>
        <w:rPr>
          <w:rStyle w:val="VerbatimChar"/>
        </w:rPr>
        <w:t xml:space="preserve">**2.8 Vérification et activation d'une officine ou d'un professionnel** 10</w:t>
      </w:r>
      <w:r>
        <w:br/>
      </w:r>
      <w:r>
        <w:br/>
      </w:r>
      <w:r>
        <w:rPr>
          <w:rStyle w:val="VerbatimChar"/>
        </w:rPr>
        <w:t xml:space="preserve">**3. Étude de la concurrence et positionnement différenciant**  12</w:t>
      </w:r>
      <w:r>
        <w:br/>
      </w:r>
      <w:r>
        <w:br/>
      </w:r>
      <w:r>
        <w:rPr>
          <w:rStyle w:val="VerbatimChar"/>
        </w:rPr>
        <w:t xml:space="preserve">**3.1 Fonctionnalités phares additionnelles retenues après recherche**  12</w:t>
      </w:r>
      <w:r>
        <w:br/>
      </w:r>
      <w:r>
        <w:br/>
      </w:r>
      <w:r>
        <w:rPr>
          <w:rStyle w:val="VerbatimChar"/>
        </w:rPr>
        <w:t xml:space="preserve">**4. Personas et parties prenantes**    14</w:t>
      </w:r>
      <w:r>
        <w:br/>
      </w:r>
      <w:r>
        <w:br/>
      </w:r>
      <w:r>
        <w:rPr>
          <w:rStyle w:val="VerbatimChar"/>
        </w:rPr>
        <w:t xml:space="preserve">**5. Architecture fonctionnelle d'ensemble**    15</w:t>
      </w:r>
      <w:r>
        <w:br/>
      </w:r>
      <w:r>
        <w:br/>
      </w:r>
      <w:r>
        <w:rPr>
          <w:rStyle w:val="VerbatimChar"/>
        </w:rPr>
        <w:t xml:space="preserve">**6. Modules fonctionnels détaillés**   16</w:t>
      </w:r>
      <w:r>
        <w:br/>
      </w:r>
      <w:r>
        <w:br/>
      </w:r>
      <w:r>
        <w:rPr>
          <w:rStyle w:val="VerbatimChar"/>
        </w:rPr>
        <w:t xml:space="preserve">**Module 1 — Authentification ****&amp;**** Comptes multi-profils** 18</w:t>
      </w:r>
      <w:r>
        <w:br/>
      </w:r>
      <w:r>
        <w:br/>
      </w:r>
      <w:r>
        <w:rPr>
          <w:rStyle w:val="VerbatimChar"/>
        </w:rPr>
        <w:t xml:space="preserve">**Objectif**    18</w:t>
      </w:r>
      <w:r>
        <w:br/>
      </w:r>
      <w:r>
        <w:br/>
      </w:r>
      <w:r>
        <w:rPr>
          <w:rStyle w:val="VerbatimChar"/>
        </w:rPr>
        <w:t xml:space="preserve">**Fonctionnalités clés**    18</w:t>
      </w:r>
      <w:r>
        <w:br/>
      </w:r>
      <w:r>
        <w:br/>
      </w:r>
      <w:r>
        <w:rPr>
          <w:rStyle w:val="VerbatimChar"/>
        </w:rPr>
        <w:t xml:space="preserve">**Écrans principaux**   18</w:t>
      </w:r>
      <w:r>
        <w:br/>
      </w:r>
      <w:r>
        <w:br/>
      </w:r>
      <w:r>
        <w:rPr>
          <w:rStyle w:val="VerbatimChar"/>
        </w:rPr>
        <w:t xml:space="preserve">**Règles de gestion**   18</w:t>
      </w:r>
      <w:r>
        <w:br/>
      </w:r>
      <w:r>
        <w:br/>
      </w:r>
      <w:r>
        <w:rPr>
          <w:rStyle w:val="VerbatimChar"/>
        </w:rPr>
        <w:t xml:space="preserve">**Module 2 — Recherche ****&amp;**** Disponibilité en temps réel**  19</w:t>
      </w:r>
      <w:r>
        <w:br/>
      </w:r>
      <w:r>
        <w:br/>
      </w:r>
      <w:r>
        <w:rPr>
          <w:rStyle w:val="VerbatimChar"/>
        </w:rPr>
        <w:t xml:space="preserve">**Objectif**    19</w:t>
      </w:r>
      <w:r>
        <w:br/>
      </w:r>
      <w:r>
        <w:br/>
      </w:r>
      <w:r>
        <w:rPr>
          <w:rStyle w:val="VerbatimChar"/>
        </w:rPr>
        <w:t xml:space="preserve">**Fonctionnalités clés**    19</w:t>
      </w:r>
      <w:r>
        <w:br/>
      </w:r>
      <w:r>
        <w:br/>
      </w:r>
      <w:r>
        <w:rPr>
          <w:rStyle w:val="VerbatimChar"/>
        </w:rPr>
        <w:t xml:space="preserve">**Écrans principaux**   19</w:t>
      </w:r>
      <w:r>
        <w:br/>
      </w:r>
      <w:r>
        <w:br/>
      </w:r>
      <w:r>
        <w:rPr>
          <w:rStyle w:val="VerbatimChar"/>
        </w:rPr>
        <w:t xml:space="preserve">**Règles de gestion**   19</w:t>
      </w:r>
      <w:r>
        <w:br/>
      </w:r>
      <w:r>
        <w:br/>
      </w:r>
      <w:r>
        <w:rPr>
          <w:rStyle w:val="VerbatimChar"/>
        </w:rPr>
        <w:t xml:space="preserve">**Module 3 — Catalogue Produits ****&amp;**** Référentiel Médicaments** 20</w:t>
      </w:r>
      <w:r>
        <w:br/>
      </w:r>
      <w:r>
        <w:br/>
      </w:r>
      <w:r>
        <w:rPr>
          <w:rStyle w:val="VerbatimChar"/>
        </w:rPr>
        <w:t xml:space="preserve">**Objectif**    20</w:t>
      </w:r>
      <w:r>
        <w:br/>
      </w:r>
      <w:r>
        <w:br/>
      </w:r>
      <w:r>
        <w:rPr>
          <w:rStyle w:val="VerbatimChar"/>
        </w:rPr>
        <w:t xml:space="preserve">**Fonctionnalités clés**    20</w:t>
      </w:r>
      <w:r>
        <w:br/>
      </w:r>
      <w:r>
        <w:br/>
      </w:r>
      <w:r>
        <w:rPr>
          <w:rStyle w:val="VerbatimChar"/>
        </w:rPr>
        <w:t xml:space="preserve">**Écrans principaux**   20</w:t>
      </w:r>
      <w:r>
        <w:br/>
      </w:r>
      <w:r>
        <w:br/>
      </w:r>
      <w:r>
        <w:rPr>
          <w:rStyle w:val="VerbatimChar"/>
        </w:rPr>
        <w:t xml:space="preserve">**Règles de gestion**   20</w:t>
      </w:r>
      <w:r>
        <w:br/>
      </w:r>
      <w:r>
        <w:br/>
      </w:r>
      <w:r>
        <w:rPr>
          <w:rStyle w:val="VerbatimChar"/>
        </w:rPr>
        <w:t xml:space="preserve">**Module 4 — Gestion des Stocks, Lots ****&amp;**** FEFO**  21</w:t>
      </w:r>
      <w:r>
        <w:br/>
      </w:r>
      <w:r>
        <w:br/>
      </w:r>
      <w:r>
        <w:rPr>
          <w:rStyle w:val="VerbatimChar"/>
        </w:rPr>
        <w:t xml:space="preserve">**Objectif**    21</w:t>
      </w:r>
      <w:r>
        <w:br/>
      </w:r>
      <w:r>
        <w:br/>
      </w:r>
      <w:r>
        <w:rPr>
          <w:rStyle w:val="VerbatimChar"/>
        </w:rPr>
        <w:t xml:space="preserve">**Fonctionnalités clés**    21</w:t>
      </w:r>
      <w:r>
        <w:br/>
      </w:r>
      <w:r>
        <w:br/>
      </w:r>
      <w:r>
        <w:rPr>
          <w:rStyle w:val="VerbatimChar"/>
        </w:rPr>
        <w:t xml:space="preserve">**Écrans principaux**   21</w:t>
      </w:r>
      <w:r>
        <w:br/>
      </w:r>
      <w:r>
        <w:br/>
      </w:r>
      <w:r>
        <w:rPr>
          <w:rStyle w:val="VerbatimChar"/>
        </w:rPr>
        <w:t xml:space="preserve">**Règles de gestion**   21</w:t>
      </w:r>
      <w:r>
        <w:br/>
      </w:r>
      <w:r>
        <w:br/>
      </w:r>
      <w:r>
        <w:rPr>
          <w:rStyle w:val="VerbatimChar"/>
        </w:rPr>
        <w:t xml:space="preserve">**Module 5 — Ordonnances numériques ****&amp;**** Lecture assistée**    22</w:t>
      </w:r>
      <w:r>
        <w:br/>
      </w:r>
      <w:r>
        <w:br/>
      </w:r>
      <w:r>
        <w:rPr>
          <w:rStyle w:val="VerbatimChar"/>
        </w:rPr>
        <w:t xml:space="preserve">**Objectif**    22</w:t>
      </w:r>
      <w:r>
        <w:br/>
      </w:r>
      <w:r>
        <w:br/>
      </w:r>
      <w:r>
        <w:rPr>
          <w:rStyle w:val="VerbatimChar"/>
        </w:rPr>
        <w:t xml:space="preserve">**Fonctionnalités clés**    22</w:t>
      </w:r>
      <w:r>
        <w:br/>
      </w:r>
      <w:r>
        <w:br/>
      </w:r>
      <w:r>
        <w:rPr>
          <w:rStyle w:val="VerbatimChar"/>
        </w:rPr>
        <w:t xml:space="preserve">**Écrans principaux**   22</w:t>
      </w:r>
      <w:r>
        <w:br/>
      </w:r>
      <w:r>
        <w:br/>
      </w:r>
      <w:r>
        <w:rPr>
          <w:rStyle w:val="VerbatimChar"/>
        </w:rPr>
        <w:t xml:space="preserve">**Règles de gestion**   22</w:t>
      </w:r>
      <w:r>
        <w:br/>
      </w:r>
      <w:r>
        <w:br/>
      </w:r>
      <w:r>
        <w:rPr>
          <w:rStyle w:val="VerbatimChar"/>
        </w:rPr>
        <w:t xml:space="preserve">**Module 6 — Réservation ****&amp;**** Retrait en officine (Click ****&amp;**** Collect)**  23</w:t>
      </w:r>
      <w:r>
        <w:br/>
      </w:r>
      <w:r>
        <w:br/>
      </w:r>
      <w:r>
        <w:rPr>
          <w:rStyle w:val="VerbatimChar"/>
        </w:rPr>
        <w:t xml:space="preserve">**Objectif**    23</w:t>
      </w:r>
      <w:r>
        <w:br/>
      </w:r>
      <w:r>
        <w:br/>
      </w:r>
      <w:r>
        <w:rPr>
          <w:rStyle w:val="VerbatimChar"/>
        </w:rPr>
        <w:t xml:space="preserve">**Fonctionnalités clés**    23</w:t>
      </w:r>
      <w:r>
        <w:br/>
      </w:r>
      <w:r>
        <w:br/>
      </w:r>
      <w:r>
        <w:rPr>
          <w:rStyle w:val="VerbatimChar"/>
        </w:rPr>
        <w:t xml:space="preserve">**Écrans principaux**   23</w:t>
      </w:r>
      <w:r>
        <w:br/>
      </w:r>
      <w:r>
        <w:br/>
      </w:r>
      <w:r>
        <w:rPr>
          <w:rStyle w:val="VerbatimChar"/>
        </w:rPr>
        <w:t xml:space="preserve">**Règles de gestion**   23</w:t>
      </w:r>
      <w:r>
        <w:br/>
      </w:r>
      <w:r>
        <w:br/>
      </w:r>
      <w:r>
        <w:rPr>
          <w:rStyle w:val="VerbatimChar"/>
        </w:rPr>
        <w:t xml:space="preserve">**Module 7 — Livraison ****&amp;**** Logistique du dernier kilomètre**  24</w:t>
      </w:r>
      <w:r>
        <w:br/>
      </w:r>
      <w:r>
        <w:br/>
      </w:r>
      <w:r>
        <w:rPr>
          <w:rStyle w:val="VerbatimChar"/>
        </w:rPr>
        <w:t xml:space="preserve">**Objectif**    24</w:t>
      </w:r>
      <w:r>
        <w:br/>
      </w:r>
      <w:r>
        <w:br/>
      </w:r>
      <w:r>
        <w:rPr>
          <w:rStyle w:val="VerbatimChar"/>
        </w:rPr>
        <w:t xml:space="preserve">**Fonctionnalités clés**    24</w:t>
      </w:r>
      <w:r>
        <w:br/>
      </w:r>
      <w:r>
        <w:br/>
      </w:r>
      <w:r>
        <w:rPr>
          <w:rStyle w:val="VerbatimChar"/>
        </w:rPr>
        <w:t xml:space="preserve">**Écrans principaux**   24</w:t>
      </w:r>
      <w:r>
        <w:br/>
      </w:r>
      <w:r>
        <w:br/>
      </w:r>
      <w:r>
        <w:rPr>
          <w:rStyle w:val="VerbatimChar"/>
        </w:rPr>
        <w:t xml:space="preserve">**Règles de gestion**   24</w:t>
      </w:r>
      <w:r>
        <w:br/>
      </w:r>
      <w:r>
        <w:br/>
      </w:r>
      <w:r>
        <w:rPr>
          <w:rStyle w:val="VerbatimChar"/>
        </w:rPr>
        <w:t xml:space="preserve">**Module 8 — Paiement, Mobile Money ****&amp;**** Portefeuille**    25</w:t>
      </w:r>
      <w:r>
        <w:br/>
      </w:r>
      <w:r>
        <w:br/>
      </w:r>
      <w:r>
        <w:rPr>
          <w:rStyle w:val="VerbatimChar"/>
        </w:rPr>
        <w:t xml:space="preserve">**Objectif**    25</w:t>
      </w:r>
      <w:r>
        <w:br/>
      </w:r>
      <w:r>
        <w:br/>
      </w:r>
      <w:r>
        <w:rPr>
          <w:rStyle w:val="VerbatimChar"/>
        </w:rPr>
        <w:t xml:space="preserve">**Fonctionnalités clés**    25</w:t>
      </w:r>
      <w:r>
        <w:br/>
      </w:r>
      <w:r>
        <w:br/>
      </w:r>
      <w:r>
        <w:rPr>
          <w:rStyle w:val="VerbatimChar"/>
        </w:rPr>
        <w:t xml:space="preserve">**Écrans principaux**   25</w:t>
      </w:r>
      <w:r>
        <w:br/>
      </w:r>
      <w:r>
        <w:br/>
      </w:r>
      <w:r>
        <w:rPr>
          <w:rStyle w:val="VerbatimChar"/>
        </w:rPr>
        <w:t xml:space="preserve">**Règles de gestion**   25</w:t>
      </w:r>
      <w:r>
        <w:br/>
      </w:r>
      <w:r>
        <w:br/>
      </w:r>
      <w:r>
        <w:rPr>
          <w:rStyle w:val="VerbatimChar"/>
        </w:rPr>
        <w:t xml:space="preserve">**Module 9 — PharmaConnect Business — Tableau de bord Officine**    26</w:t>
      </w:r>
      <w:r>
        <w:br/>
      </w:r>
      <w:r>
        <w:br/>
      </w:r>
      <w:r>
        <w:rPr>
          <w:rStyle w:val="VerbatimChar"/>
        </w:rPr>
        <w:t xml:space="preserve">**Objectif**    26</w:t>
      </w:r>
      <w:r>
        <w:br/>
      </w:r>
      <w:r>
        <w:br/>
      </w:r>
      <w:r>
        <w:rPr>
          <w:rStyle w:val="VerbatimChar"/>
        </w:rPr>
        <w:t xml:space="preserve">**Fonctionnalités clés**    26</w:t>
      </w:r>
      <w:r>
        <w:br/>
      </w:r>
      <w:r>
        <w:br/>
      </w:r>
      <w:r>
        <w:rPr>
          <w:rStyle w:val="VerbatimChar"/>
        </w:rPr>
        <w:t xml:space="preserve">**Écrans principaux**   26</w:t>
      </w:r>
      <w:r>
        <w:br/>
      </w:r>
      <w:r>
        <w:br/>
      </w:r>
      <w:r>
        <w:rPr>
          <w:rStyle w:val="VerbatimChar"/>
        </w:rPr>
        <w:t xml:space="preserve">**Règles de gestion**   26</w:t>
      </w:r>
      <w:r>
        <w:br/>
      </w:r>
      <w:r>
        <w:br/>
      </w:r>
      <w:r>
        <w:rPr>
          <w:rStyle w:val="VerbatimChar"/>
        </w:rPr>
        <w:t xml:space="preserve">**Module 10 — Alertes intelligentes**   27</w:t>
      </w:r>
      <w:r>
        <w:br/>
      </w:r>
      <w:r>
        <w:br/>
      </w:r>
      <w:r>
        <w:rPr>
          <w:rStyle w:val="VerbatimChar"/>
        </w:rPr>
        <w:t xml:space="preserve">**Objectif**    27</w:t>
      </w:r>
      <w:r>
        <w:br/>
      </w:r>
      <w:r>
        <w:br/>
      </w:r>
      <w:r>
        <w:rPr>
          <w:rStyle w:val="VerbatimChar"/>
        </w:rPr>
        <w:t xml:space="preserve">**Fonctionnalités clés**    27</w:t>
      </w:r>
      <w:r>
        <w:br/>
      </w:r>
      <w:r>
        <w:br/>
      </w:r>
      <w:r>
        <w:rPr>
          <w:rStyle w:val="VerbatimChar"/>
        </w:rPr>
        <w:t xml:space="preserve">**Écrans principaux**   27</w:t>
      </w:r>
      <w:r>
        <w:br/>
      </w:r>
      <w:r>
        <w:br/>
      </w:r>
      <w:r>
        <w:rPr>
          <w:rStyle w:val="VerbatimChar"/>
        </w:rPr>
        <w:t xml:space="preserve">**Règles de gestion**   27</w:t>
      </w:r>
      <w:r>
        <w:br/>
      </w:r>
      <w:r>
        <w:br/>
      </w:r>
      <w:r>
        <w:rPr>
          <w:rStyle w:val="VerbatimChar"/>
        </w:rPr>
        <w:t xml:space="preserve">**Module 11 — Prévision de la demande ****&amp;**** Réapprovisionnement assisté**   28</w:t>
      </w:r>
      <w:r>
        <w:br/>
      </w:r>
      <w:r>
        <w:br/>
      </w:r>
      <w:r>
        <w:rPr>
          <w:rStyle w:val="VerbatimChar"/>
        </w:rPr>
        <w:t xml:space="preserve">**Objectif**    28</w:t>
      </w:r>
      <w:r>
        <w:br/>
      </w:r>
      <w:r>
        <w:br/>
      </w:r>
      <w:r>
        <w:rPr>
          <w:rStyle w:val="VerbatimChar"/>
        </w:rPr>
        <w:t xml:space="preserve">**Fonctionnalités clés**    28</w:t>
      </w:r>
      <w:r>
        <w:br/>
      </w:r>
      <w:r>
        <w:br/>
      </w:r>
      <w:r>
        <w:rPr>
          <w:rStyle w:val="VerbatimChar"/>
        </w:rPr>
        <w:t xml:space="preserve">**Écrans principaux**   28</w:t>
      </w:r>
      <w:r>
        <w:br/>
      </w:r>
      <w:r>
        <w:br/>
      </w:r>
      <w:r>
        <w:rPr>
          <w:rStyle w:val="VerbatimChar"/>
        </w:rPr>
        <w:t xml:space="preserve">**Règles de gestion**   28</w:t>
      </w:r>
      <w:r>
        <w:br/>
      </w:r>
      <w:r>
        <w:br/>
      </w:r>
      <w:r>
        <w:rPr>
          <w:rStyle w:val="VerbatimChar"/>
        </w:rPr>
        <w:t xml:space="preserve">**Module 12 — Traçabilité ****&amp;**** Lutte contre les médicaments contrefaits**  29</w:t>
      </w:r>
      <w:r>
        <w:br/>
      </w:r>
      <w:r>
        <w:br/>
      </w:r>
      <w:r>
        <w:rPr>
          <w:rStyle w:val="VerbatimChar"/>
        </w:rPr>
        <w:t xml:space="preserve">**Objectif**    29</w:t>
      </w:r>
      <w:r>
        <w:br/>
      </w:r>
      <w:r>
        <w:br/>
      </w:r>
      <w:r>
        <w:rPr>
          <w:rStyle w:val="VerbatimChar"/>
        </w:rPr>
        <w:t xml:space="preserve">**Fonctionnalités clés**    29</w:t>
      </w:r>
      <w:r>
        <w:br/>
      </w:r>
      <w:r>
        <w:br/>
      </w:r>
      <w:r>
        <w:rPr>
          <w:rStyle w:val="VerbatimChar"/>
        </w:rPr>
        <w:t xml:space="preserve">**Écrans principaux**   29</w:t>
      </w:r>
      <w:r>
        <w:br/>
      </w:r>
      <w:r>
        <w:br/>
      </w:r>
      <w:r>
        <w:rPr>
          <w:rStyle w:val="VerbatimChar"/>
        </w:rPr>
        <w:t xml:space="preserve">**Règles de gestion**   29</w:t>
      </w:r>
      <w:r>
        <w:br/>
      </w:r>
      <w:r>
        <w:br/>
      </w:r>
      <w:r>
        <w:rPr>
          <w:rStyle w:val="VerbatimChar"/>
        </w:rPr>
        <w:t xml:space="preserve">**Module 13 — Marketplace B2B Grossistes ↔ Pharmacies** 30</w:t>
      </w:r>
      <w:r>
        <w:br/>
      </w:r>
      <w:r>
        <w:br/>
      </w:r>
      <w:r>
        <w:rPr>
          <w:rStyle w:val="VerbatimChar"/>
        </w:rPr>
        <w:t xml:space="preserve">**Objectif**    30</w:t>
      </w:r>
      <w:r>
        <w:br/>
      </w:r>
      <w:r>
        <w:br/>
      </w:r>
      <w:r>
        <w:rPr>
          <w:rStyle w:val="VerbatimChar"/>
        </w:rPr>
        <w:t xml:space="preserve">**Fonctionnalités clés**    30</w:t>
      </w:r>
      <w:r>
        <w:br/>
      </w:r>
      <w:r>
        <w:br/>
      </w:r>
      <w:r>
        <w:rPr>
          <w:rStyle w:val="VerbatimChar"/>
        </w:rPr>
        <w:t xml:space="preserve">**Écrans principaux**   30</w:t>
      </w:r>
      <w:r>
        <w:br/>
      </w:r>
      <w:r>
        <w:br/>
      </w:r>
      <w:r>
        <w:rPr>
          <w:rStyle w:val="VerbatimChar"/>
        </w:rPr>
        <w:t xml:space="preserve">**Règles de gestion**   30</w:t>
      </w:r>
      <w:r>
        <w:br/>
      </w:r>
      <w:r>
        <w:br/>
      </w:r>
      <w:r>
        <w:rPr>
          <w:rStyle w:val="VerbatimChar"/>
        </w:rPr>
        <w:t xml:space="preserve">**Module 14 — Financement ****&amp;**** Crédit fournisseur pour officines** 31</w:t>
      </w:r>
      <w:r>
        <w:br/>
      </w:r>
      <w:r>
        <w:br/>
      </w:r>
      <w:r>
        <w:rPr>
          <w:rStyle w:val="VerbatimChar"/>
        </w:rPr>
        <w:t xml:space="preserve">**Objectif**    31</w:t>
      </w:r>
      <w:r>
        <w:br/>
      </w:r>
      <w:r>
        <w:br/>
      </w:r>
      <w:r>
        <w:rPr>
          <w:rStyle w:val="VerbatimChar"/>
        </w:rPr>
        <w:t xml:space="preserve">**Fonctionnalités clés**    31</w:t>
      </w:r>
      <w:r>
        <w:br/>
      </w:r>
      <w:r>
        <w:br/>
      </w:r>
      <w:r>
        <w:rPr>
          <w:rStyle w:val="VerbatimChar"/>
        </w:rPr>
        <w:t xml:space="preserve">**Écrans principaux**   31</w:t>
      </w:r>
      <w:r>
        <w:br/>
      </w:r>
      <w:r>
        <w:br/>
      </w:r>
      <w:r>
        <w:rPr>
          <w:rStyle w:val="VerbatimChar"/>
        </w:rPr>
        <w:t xml:space="preserve">**Règles de gestion**   31</w:t>
      </w:r>
      <w:r>
        <w:br/>
      </w:r>
      <w:r>
        <w:br/>
      </w:r>
      <w:r>
        <w:rPr>
          <w:rStyle w:val="VerbatimChar"/>
        </w:rPr>
        <w:t xml:space="preserve">**Module 15 — Télé-conseil pharmaceutique ****&amp;**** Orientation (non-diagnostic)**  32</w:t>
      </w:r>
      <w:r>
        <w:br/>
      </w:r>
      <w:r>
        <w:br/>
      </w:r>
      <w:r>
        <w:rPr>
          <w:rStyle w:val="VerbatimChar"/>
        </w:rPr>
        <w:t xml:space="preserve">**Objectif**    32</w:t>
      </w:r>
      <w:r>
        <w:br/>
      </w:r>
      <w:r>
        <w:br/>
      </w:r>
      <w:r>
        <w:rPr>
          <w:rStyle w:val="VerbatimChar"/>
        </w:rPr>
        <w:t xml:space="preserve">**Fonctionnalités clés**    32</w:t>
      </w:r>
      <w:r>
        <w:br/>
      </w:r>
      <w:r>
        <w:br/>
      </w:r>
      <w:r>
        <w:rPr>
          <w:rStyle w:val="VerbatimChar"/>
        </w:rPr>
        <w:t xml:space="preserve">**Écrans principaux**   32</w:t>
      </w:r>
      <w:r>
        <w:br/>
      </w:r>
      <w:r>
        <w:br/>
      </w:r>
      <w:r>
        <w:rPr>
          <w:rStyle w:val="VerbatimChar"/>
        </w:rPr>
        <w:t xml:space="preserve">**Règles de gestion**   32</w:t>
      </w:r>
      <w:r>
        <w:br/>
      </w:r>
      <w:r>
        <w:br/>
      </w:r>
      <w:r>
        <w:rPr>
          <w:rStyle w:val="VerbatimChar"/>
        </w:rPr>
        <w:t xml:space="preserve">**Module 16 — Fidélité ****&amp;**** Suivi des traitements chroniques** 33</w:t>
      </w:r>
      <w:r>
        <w:br/>
      </w:r>
      <w:r>
        <w:br/>
      </w:r>
      <w:r>
        <w:rPr>
          <w:rStyle w:val="VerbatimChar"/>
        </w:rPr>
        <w:t xml:space="preserve">**Objectif**    33</w:t>
      </w:r>
      <w:r>
        <w:br/>
      </w:r>
      <w:r>
        <w:br/>
      </w:r>
      <w:r>
        <w:rPr>
          <w:rStyle w:val="VerbatimChar"/>
        </w:rPr>
        <w:t xml:space="preserve">**Fonctionnalités clés**    33</w:t>
      </w:r>
      <w:r>
        <w:br/>
      </w:r>
      <w:r>
        <w:br/>
      </w:r>
      <w:r>
        <w:rPr>
          <w:rStyle w:val="VerbatimChar"/>
        </w:rPr>
        <w:t xml:space="preserve">**Écrans principaux**   33</w:t>
      </w:r>
      <w:r>
        <w:br/>
      </w:r>
      <w:r>
        <w:br/>
      </w:r>
      <w:r>
        <w:rPr>
          <w:rStyle w:val="VerbatimChar"/>
        </w:rPr>
        <w:t xml:space="preserve">**Règles de gestion**   33</w:t>
      </w:r>
      <w:r>
        <w:br/>
      </w:r>
      <w:r>
        <w:br/>
      </w:r>
      <w:r>
        <w:rPr>
          <w:rStyle w:val="VerbatimChar"/>
        </w:rPr>
        <w:t xml:space="preserve">**Module 17 — Triage ****&amp;**** Orientation d'urgence**  34</w:t>
      </w:r>
      <w:r>
        <w:br/>
      </w:r>
      <w:r>
        <w:br/>
      </w:r>
      <w:r>
        <w:rPr>
          <w:rStyle w:val="VerbatimChar"/>
        </w:rPr>
        <w:t xml:space="preserve">**Objectif**    34</w:t>
      </w:r>
      <w:r>
        <w:br/>
      </w:r>
      <w:r>
        <w:br/>
      </w:r>
      <w:r>
        <w:rPr>
          <w:rStyle w:val="VerbatimChar"/>
        </w:rPr>
        <w:t xml:space="preserve">**Fonctionnalités clés**    34</w:t>
      </w:r>
      <w:r>
        <w:br/>
      </w:r>
      <w:r>
        <w:br/>
      </w:r>
      <w:r>
        <w:rPr>
          <w:rStyle w:val="VerbatimChar"/>
        </w:rPr>
        <w:t xml:space="preserve">**Écrans principaux**   34</w:t>
      </w:r>
      <w:r>
        <w:br/>
      </w:r>
      <w:r>
        <w:br/>
      </w:r>
      <w:r>
        <w:rPr>
          <w:rStyle w:val="VerbatimChar"/>
        </w:rPr>
        <w:t xml:space="preserve">**Règles de gestion**   34</w:t>
      </w:r>
      <w:r>
        <w:br/>
      </w:r>
      <w:r>
        <w:br/>
      </w:r>
      <w:r>
        <w:rPr>
          <w:rStyle w:val="VerbatimChar"/>
        </w:rPr>
        <w:t xml:space="preserve">**Module 18 — PharmaConnect HomeCare — Consultation ****&amp;**** Soins à domicile**    35</w:t>
      </w:r>
      <w:r>
        <w:br/>
      </w:r>
      <w:r>
        <w:br/>
      </w:r>
      <w:r>
        <w:rPr>
          <w:rStyle w:val="VerbatimChar"/>
        </w:rPr>
        <w:t xml:space="preserve">**Objectif**    35</w:t>
      </w:r>
      <w:r>
        <w:br/>
      </w:r>
      <w:r>
        <w:br/>
      </w:r>
      <w:r>
        <w:rPr>
          <w:rStyle w:val="VerbatimChar"/>
        </w:rPr>
        <w:t xml:space="preserve">**Fonctionnalités clés**    35</w:t>
      </w:r>
      <w:r>
        <w:br/>
      </w:r>
      <w:r>
        <w:br/>
      </w:r>
      <w:r>
        <w:rPr>
          <w:rStyle w:val="VerbatimChar"/>
        </w:rPr>
        <w:t xml:space="preserve">**Écrans principaux**   35</w:t>
      </w:r>
      <w:r>
        <w:br/>
      </w:r>
      <w:r>
        <w:br/>
      </w:r>
      <w:r>
        <w:rPr>
          <w:rStyle w:val="VerbatimChar"/>
        </w:rPr>
        <w:t xml:space="preserve">**Règles de gestion**   35</w:t>
      </w:r>
      <w:r>
        <w:br/>
      </w:r>
      <w:r>
        <w:br/>
      </w:r>
      <w:r>
        <w:rPr>
          <w:rStyle w:val="VerbatimChar"/>
        </w:rPr>
        <w:t xml:space="preserve">**Module 19 — Réseau de professionnels mobiles (médecins, infirmiers, sages-femmes)**   36</w:t>
      </w:r>
      <w:r>
        <w:br/>
      </w:r>
      <w:r>
        <w:br/>
      </w:r>
      <w:r>
        <w:rPr>
          <w:rStyle w:val="VerbatimChar"/>
        </w:rPr>
        <w:t xml:space="preserve">**Objectif**    36</w:t>
      </w:r>
      <w:r>
        <w:br/>
      </w:r>
      <w:r>
        <w:br/>
      </w:r>
      <w:r>
        <w:rPr>
          <w:rStyle w:val="VerbatimChar"/>
        </w:rPr>
        <w:t xml:space="preserve">**Fonctionnalités clés**    36</w:t>
      </w:r>
      <w:r>
        <w:br/>
      </w:r>
      <w:r>
        <w:br/>
      </w:r>
      <w:r>
        <w:rPr>
          <w:rStyle w:val="VerbatimChar"/>
        </w:rPr>
        <w:t xml:space="preserve">**Écrans principaux**   36</w:t>
      </w:r>
      <w:r>
        <w:br/>
      </w:r>
      <w:r>
        <w:br/>
      </w:r>
      <w:r>
        <w:rPr>
          <w:rStyle w:val="VerbatimChar"/>
        </w:rPr>
        <w:t xml:space="preserve">**Règles de gestion**   36</w:t>
      </w:r>
      <w:r>
        <w:br/>
      </w:r>
      <w:r>
        <w:br/>
      </w:r>
      <w:r>
        <w:rPr>
          <w:rStyle w:val="VerbatimChar"/>
        </w:rPr>
        <w:t xml:space="preserve">**Module 20 — Dossier de Santé Numérique Longitudinal** 37</w:t>
      </w:r>
      <w:r>
        <w:br/>
      </w:r>
      <w:r>
        <w:br/>
      </w:r>
      <w:r>
        <w:rPr>
          <w:rStyle w:val="VerbatimChar"/>
        </w:rPr>
        <w:t xml:space="preserve">**Objectif**    37</w:t>
      </w:r>
      <w:r>
        <w:br/>
      </w:r>
      <w:r>
        <w:br/>
      </w:r>
      <w:r>
        <w:rPr>
          <w:rStyle w:val="VerbatimChar"/>
        </w:rPr>
        <w:t xml:space="preserve">**Fonctionnalités clés**    37</w:t>
      </w:r>
      <w:r>
        <w:br/>
      </w:r>
      <w:r>
        <w:br/>
      </w:r>
      <w:r>
        <w:rPr>
          <w:rStyle w:val="VerbatimChar"/>
        </w:rPr>
        <w:t xml:space="preserve">**Écrans principaux**   37</w:t>
      </w:r>
      <w:r>
        <w:br/>
      </w:r>
      <w:r>
        <w:br/>
      </w:r>
      <w:r>
        <w:rPr>
          <w:rStyle w:val="VerbatimChar"/>
        </w:rPr>
        <w:t xml:space="preserve">**Règles de gestion**   37</w:t>
      </w:r>
      <w:r>
        <w:br/>
      </w:r>
      <w:r>
        <w:br/>
      </w:r>
      <w:r>
        <w:rPr>
          <w:rStyle w:val="VerbatimChar"/>
        </w:rPr>
        <w:t xml:space="preserve">**Module 21 — Télésuivi ****&amp;**** Objets médicaux connectés**   38</w:t>
      </w:r>
      <w:r>
        <w:br/>
      </w:r>
      <w:r>
        <w:br/>
      </w:r>
      <w:r>
        <w:rPr>
          <w:rStyle w:val="VerbatimChar"/>
        </w:rPr>
        <w:t xml:space="preserve">**Objectif**    38</w:t>
      </w:r>
      <w:r>
        <w:br/>
      </w:r>
      <w:r>
        <w:br/>
      </w:r>
      <w:r>
        <w:rPr>
          <w:rStyle w:val="VerbatimChar"/>
        </w:rPr>
        <w:t xml:space="preserve">**Fonctionnalités clés**    38</w:t>
      </w:r>
      <w:r>
        <w:br/>
      </w:r>
      <w:r>
        <w:br/>
      </w:r>
      <w:r>
        <w:rPr>
          <w:rStyle w:val="VerbatimChar"/>
        </w:rPr>
        <w:t xml:space="preserve">**Écrans principaux**   38</w:t>
      </w:r>
      <w:r>
        <w:br/>
      </w:r>
      <w:r>
        <w:br/>
      </w:r>
      <w:r>
        <w:rPr>
          <w:rStyle w:val="VerbatimChar"/>
        </w:rPr>
        <w:t xml:space="preserve">**Règles de gestion**   38</w:t>
      </w:r>
      <w:r>
        <w:br/>
      </w:r>
      <w:r>
        <w:br/>
      </w:r>
      <w:r>
        <w:rPr>
          <w:rStyle w:val="VerbatimChar"/>
        </w:rPr>
        <w:t xml:space="preserve">**Module 22 — PharmaConnect Family ****&amp;**** Diaspora** 39</w:t>
      </w:r>
      <w:r>
        <w:br/>
      </w:r>
      <w:r>
        <w:br/>
      </w:r>
      <w:r>
        <w:rPr>
          <w:rStyle w:val="VerbatimChar"/>
        </w:rPr>
        <w:t xml:space="preserve">**Objectif**    39</w:t>
      </w:r>
      <w:r>
        <w:br/>
      </w:r>
      <w:r>
        <w:br/>
      </w:r>
      <w:r>
        <w:rPr>
          <w:rStyle w:val="VerbatimChar"/>
        </w:rPr>
        <w:t xml:space="preserve">**Fonctionnalités clés**    39</w:t>
      </w:r>
      <w:r>
        <w:br/>
      </w:r>
      <w:r>
        <w:br/>
      </w:r>
      <w:r>
        <w:rPr>
          <w:rStyle w:val="VerbatimChar"/>
        </w:rPr>
        <w:t xml:space="preserve">**Écrans principaux**   39</w:t>
      </w:r>
      <w:r>
        <w:br/>
      </w:r>
      <w:r>
        <w:br/>
      </w:r>
      <w:r>
        <w:rPr>
          <w:rStyle w:val="VerbatimChar"/>
        </w:rPr>
        <w:t xml:space="preserve">**Règles de gestion**   39</w:t>
      </w:r>
      <w:r>
        <w:br/>
      </w:r>
      <w:r>
        <w:br/>
      </w:r>
      <w:r>
        <w:rPr>
          <w:rStyle w:val="VerbatimChar"/>
        </w:rPr>
        <w:t xml:space="preserve">**Module 23 — Intégration Hôpitaux, Laboratoires ****&amp;**** Imagerie**   40</w:t>
      </w:r>
      <w:r>
        <w:br/>
      </w:r>
      <w:r>
        <w:br/>
      </w:r>
      <w:r>
        <w:rPr>
          <w:rStyle w:val="VerbatimChar"/>
        </w:rPr>
        <w:t xml:space="preserve">**Objectif**    40</w:t>
      </w:r>
      <w:r>
        <w:br/>
      </w:r>
      <w:r>
        <w:br/>
      </w:r>
      <w:r>
        <w:rPr>
          <w:rStyle w:val="VerbatimChar"/>
        </w:rPr>
        <w:t xml:space="preserve">**Fonctionnalités clés**    40</w:t>
      </w:r>
      <w:r>
        <w:br/>
      </w:r>
      <w:r>
        <w:br/>
      </w:r>
      <w:r>
        <w:rPr>
          <w:rStyle w:val="VerbatimChar"/>
        </w:rPr>
        <w:t xml:space="preserve">**Écrans principaux**   40</w:t>
      </w:r>
      <w:r>
        <w:br/>
      </w:r>
      <w:r>
        <w:br/>
      </w:r>
      <w:r>
        <w:rPr>
          <w:rStyle w:val="VerbatimChar"/>
        </w:rPr>
        <w:t xml:space="preserve">**Règles de gestion**   40</w:t>
      </w:r>
      <w:r>
        <w:br/>
      </w:r>
      <w:r>
        <w:br/>
      </w:r>
      <w:r>
        <w:rPr>
          <w:rStyle w:val="VerbatimChar"/>
        </w:rPr>
        <w:t xml:space="preserve">**Module 24 — Assurance santé ****&amp;**** Tiers-payant**  41</w:t>
      </w:r>
      <w:r>
        <w:br/>
      </w:r>
      <w:r>
        <w:br/>
      </w:r>
      <w:r>
        <w:rPr>
          <w:rStyle w:val="VerbatimChar"/>
        </w:rPr>
        <w:t xml:space="preserve">**Objectif**    41</w:t>
      </w:r>
      <w:r>
        <w:br/>
      </w:r>
      <w:r>
        <w:br/>
      </w:r>
      <w:r>
        <w:rPr>
          <w:rStyle w:val="VerbatimChar"/>
        </w:rPr>
        <w:t xml:space="preserve">**Fonctionnalités clés**    41</w:t>
      </w:r>
      <w:r>
        <w:br/>
      </w:r>
      <w:r>
        <w:br/>
      </w:r>
      <w:r>
        <w:rPr>
          <w:rStyle w:val="VerbatimChar"/>
        </w:rPr>
        <w:t xml:space="preserve">**Écrans principaux**   41</w:t>
      </w:r>
      <w:r>
        <w:br/>
      </w:r>
      <w:r>
        <w:br/>
      </w:r>
      <w:r>
        <w:rPr>
          <w:rStyle w:val="VerbatimChar"/>
        </w:rPr>
        <w:t xml:space="preserve">**Règles de gestion**   41</w:t>
      </w:r>
      <w:r>
        <w:br/>
      </w:r>
      <w:r>
        <w:br/>
      </w:r>
      <w:r>
        <w:rPr>
          <w:rStyle w:val="VerbatimChar"/>
        </w:rPr>
        <w:t xml:space="preserve">**Module 25 — Réseau de prescripteurs ****&amp;**** e-prescription**    42</w:t>
      </w:r>
      <w:r>
        <w:br/>
      </w:r>
      <w:r>
        <w:br/>
      </w:r>
      <w:r>
        <w:rPr>
          <w:rStyle w:val="VerbatimChar"/>
        </w:rPr>
        <w:t xml:space="preserve">**Objectif**    42</w:t>
      </w:r>
      <w:r>
        <w:br/>
      </w:r>
      <w:r>
        <w:br/>
      </w:r>
      <w:r>
        <w:rPr>
          <w:rStyle w:val="VerbatimChar"/>
        </w:rPr>
        <w:t xml:space="preserve">**Fonctionnalités clés**    42</w:t>
      </w:r>
      <w:r>
        <w:br/>
      </w:r>
      <w:r>
        <w:br/>
      </w:r>
      <w:r>
        <w:rPr>
          <w:rStyle w:val="VerbatimChar"/>
        </w:rPr>
        <w:t xml:space="preserve">**Écrans principaux**   42</w:t>
      </w:r>
      <w:r>
        <w:br/>
      </w:r>
      <w:r>
        <w:br/>
      </w:r>
      <w:r>
        <w:rPr>
          <w:rStyle w:val="VerbatimChar"/>
        </w:rPr>
        <w:t xml:space="preserve">**Règles de gestion**   42</w:t>
      </w:r>
      <w:r>
        <w:br/>
      </w:r>
      <w:r>
        <w:br/>
      </w:r>
      <w:r>
        <w:rPr>
          <w:rStyle w:val="VerbatimChar"/>
        </w:rPr>
        <w:t xml:space="preserve">**Module 26 — Gestion des chaînes ****&amp;**** multi-officines**   43</w:t>
      </w:r>
      <w:r>
        <w:br/>
      </w:r>
      <w:r>
        <w:br/>
      </w:r>
      <w:r>
        <w:rPr>
          <w:rStyle w:val="VerbatimChar"/>
        </w:rPr>
        <w:t xml:space="preserve">**Objectif**    43</w:t>
      </w:r>
      <w:r>
        <w:br/>
      </w:r>
      <w:r>
        <w:br/>
      </w:r>
      <w:r>
        <w:rPr>
          <w:rStyle w:val="VerbatimChar"/>
        </w:rPr>
        <w:t xml:space="preserve">**Fonctionnalités clés**    43</w:t>
      </w:r>
      <w:r>
        <w:br/>
      </w:r>
      <w:r>
        <w:br/>
      </w:r>
      <w:r>
        <w:rPr>
          <w:rStyle w:val="VerbatimChar"/>
        </w:rPr>
        <w:t xml:space="preserve">**Écrans principaux**   43</w:t>
      </w:r>
      <w:r>
        <w:br/>
      </w:r>
      <w:r>
        <w:br/>
      </w:r>
      <w:r>
        <w:rPr>
          <w:rStyle w:val="VerbatimChar"/>
        </w:rPr>
        <w:t xml:space="preserve">**Règles de gestion**   43</w:t>
      </w:r>
      <w:r>
        <w:br/>
      </w:r>
      <w:r>
        <w:br/>
      </w:r>
      <w:r>
        <w:rPr>
          <w:rStyle w:val="VerbatimChar"/>
        </w:rPr>
        <w:t xml:space="preserve">**Module 27 — Module Régulateur ****&amp;**** Reporting Pharmacovigilance** 44</w:t>
      </w:r>
      <w:r>
        <w:br/>
      </w:r>
      <w:r>
        <w:br/>
      </w:r>
      <w:r>
        <w:rPr>
          <w:rStyle w:val="VerbatimChar"/>
        </w:rPr>
        <w:t xml:space="preserve">**Objectif**    44</w:t>
      </w:r>
      <w:r>
        <w:br/>
      </w:r>
      <w:r>
        <w:br/>
      </w:r>
      <w:r>
        <w:rPr>
          <w:rStyle w:val="VerbatimChar"/>
        </w:rPr>
        <w:t xml:space="preserve">**Fonctionnalités clés**    44</w:t>
      </w:r>
      <w:r>
        <w:br/>
      </w:r>
      <w:r>
        <w:br/>
      </w:r>
      <w:r>
        <w:rPr>
          <w:rStyle w:val="VerbatimChar"/>
        </w:rPr>
        <w:t xml:space="preserve">**Écrans principaux**   44</w:t>
      </w:r>
      <w:r>
        <w:br/>
      </w:r>
      <w:r>
        <w:br/>
      </w:r>
      <w:r>
        <w:rPr>
          <w:rStyle w:val="VerbatimChar"/>
        </w:rPr>
        <w:t xml:space="preserve">**Règles de gestion**   44</w:t>
      </w:r>
      <w:r>
        <w:br/>
      </w:r>
      <w:r>
        <w:br/>
      </w:r>
      <w:r>
        <w:rPr>
          <w:rStyle w:val="VerbatimChar"/>
        </w:rPr>
        <w:t xml:space="preserve">**Module 28 — Analytics ****&amp;**** Business Intelligence**   45</w:t>
      </w:r>
      <w:r>
        <w:br/>
      </w:r>
      <w:r>
        <w:br/>
      </w:r>
      <w:r>
        <w:rPr>
          <w:rStyle w:val="VerbatimChar"/>
        </w:rPr>
        <w:t xml:space="preserve">**Objectif**    45</w:t>
      </w:r>
      <w:r>
        <w:br/>
      </w:r>
      <w:r>
        <w:br/>
      </w:r>
      <w:r>
        <w:rPr>
          <w:rStyle w:val="VerbatimChar"/>
        </w:rPr>
        <w:t xml:space="preserve">**Fonctionnalités clés**    45</w:t>
      </w:r>
      <w:r>
        <w:br/>
      </w:r>
      <w:r>
        <w:br/>
      </w:r>
      <w:r>
        <w:rPr>
          <w:rStyle w:val="VerbatimChar"/>
        </w:rPr>
        <w:t xml:space="preserve">**Écrans principaux**   45</w:t>
      </w:r>
      <w:r>
        <w:br/>
      </w:r>
      <w:r>
        <w:br/>
      </w:r>
      <w:r>
        <w:rPr>
          <w:rStyle w:val="VerbatimChar"/>
        </w:rPr>
        <w:t xml:space="preserve">**Module 29 — Accès solidaire ****&amp;**** Programmes d'assistance**   46</w:t>
      </w:r>
      <w:r>
        <w:br/>
      </w:r>
      <w:r>
        <w:br/>
      </w:r>
      <w:r>
        <w:rPr>
          <w:rStyle w:val="VerbatimChar"/>
        </w:rPr>
        <w:t xml:space="preserve">**Objectif**    46</w:t>
      </w:r>
      <w:r>
        <w:br/>
      </w:r>
      <w:r>
        <w:br/>
      </w:r>
      <w:r>
        <w:rPr>
          <w:rStyle w:val="VerbatimChar"/>
        </w:rPr>
        <w:t xml:space="preserve">**Fonctionnalités clés**    46</w:t>
      </w:r>
      <w:r>
        <w:br/>
      </w:r>
      <w:r>
        <w:br/>
      </w:r>
      <w:r>
        <w:rPr>
          <w:rStyle w:val="VerbatimChar"/>
        </w:rPr>
        <w:t xml:space="preserve">**Écrans principaux**   46</w:t>
      </w:r>
      <w:r>
        <w:br/>
      </w:r>
      <w:r>
        <w:br/>
      </w:r>
      <w:r>
        <w:rPr>
          <w:rStyle w:val="VerbatimChar"/>
        </w:rPr>
        <w:t xml:space="preserve">**Règles de gestion**   46</w:t>
      </w:r>
      <w:r>
        <w:br/>
      </w:r>
      <w:r>
        <w:br/>
      </w:r>
      <w:r>
        <w:rPr>
          <w:rStyle w:val="VerbatimChar"/>
        </w:rPr>
        <w:t xml:space="preserve">**Module 30 — Gestion des rappels de lots** 47</w:t>
      </w:r>
      <w:r>
        <w:br/>
      </w:r>
      <w:r>
        <w:br/>
      </w:r>
      <w:r>
        <w:rPr>
          <w:rStyle w:val="VerbatimChar"/>
        </w:rPr>
        <w:t xml:space="preserve">**Objectif**    47</w:t>
      </w:r>
      <w:r>
        <w:br/>
      </w:r>
      <w:r>
        <w:br/>
      </w:r>
      <w:r>
        <w:rPr>
          <w:rStyle w:val="VerbatimChar"/>
        </w:rPr>
        <w:t xml:space="preserve">**Fonctionnalités clés**    47</w:t>
      </w:r>
      <w:r>
        <w:br/>
      </w:r>
      <w:r>
        <w:br/>
      </w:r>
      <w:r>
        <w:rPr>
          <w:rStyle w:val="VerbatimChar"/>
        </w:rPr>
        <w:t xml:space="preserve">**Écrans principaux**   47</w:t>
      </w:r>
      <w:r>
        <w:br/>
      </w:r>
      <w:r>
        <w:br/>
      </w:r>
      <w:r>
        <w:rPr>
          <w:rStyle w:val="VerbatimChar"/>
        </w:rPr>
        <w:t xml:space="preserve">**Règles de gestion**   47</w:t>
      </w:r>
      <w:r>
        <w:br/>
      </w:r>
      <w:r>
        <w:br/>
      </w:r>
      <w:r>
        <w:rPr>
          <w:rStyle w:val="VerbatimChar"/>
        </w:rPr>
        <w:t xml:space="preserve">**Module 31 — Chaîne du froid ****&amp;**** Produits thermosensibles**  48</w:t>
      </w:r>
      <w:r>
        <w:br/>
      </w:r>
      <w:r>
        <w:br/>
      </w:r>
      <w:r>
        <w:rPr>
          <w:rStyle w:val="VerbatimChar"/>
        </w:rPr>
        <w:t xml:space="preserve">**Objectif**    48</w:t>
      </w:r>
      <w:r>
        <w:br/>
      </w:r>
      <w:r>
        <w:br/>
      </w:r>
      <w:r>
        <w:rPr>
          <w:rStyle w:val="VerbatimChar"/>
        </w:rPr>
        <w:t xml:space="preserve">**Fonctionnalités clés**    48</w:t>
      </w:r>
      <w:r>
        <w:br/>
      </w:r>
      <w:r>
        <w:br/>
      </w:r>
      <w:r>
        <w:rPr>
          <w:rStyle w:val="VerbatimChar"/>
        </w:rPr>
        <w:t xml:space="preserve">**Écrans principaux**   48</w:t>
      </w:r>
      <w:r>
        <w:br/>
      </w:r>
      <w:r>
        <w:br/>
      </w:r>
      <w:r>
        <w:rPr>
          <w:rStyle w:val="VerbatimChar"/>
        </w:rPr>
        <w:t xml:space="preserve">**Règles de gestion**   48</w:t>
      </w:r>
      <w:r>
        <w:br/>
      </w:r>
      <w:r>
        <w:br/>
      </w:r>
      <w:r>
        <w:rPr>
          <w:rStyle w:val="VerbatimChar"/>
        </w:rPr>
        <w:t xml:space="preserve">**Module 32 — Support Client ****&amp;**** Service Après-Vente**    49</w:t>
      </w:r>
      <w:r>
        <w:br/>
      </w:r>
      <w:r>
        <w:br/>
      </w:r>
      <w:r>
        <w:rPr>
          <w:rStyle w:val="VerbatimChar"/>
        </w:rPr>
        <w:t xml:space="preserve">**Objectif**    49</w:t>
      </w:r>
      <w:r>
        <w:br/>
      </w:r>
      <w:r>
        <w:br/>
      </w:r>
      <w:r>
        <w:rPr>
          <w:rStyle w:val="VerbatimChar"/>
        </w:rPr>
        <w:t xml:space="preserve">**Fonctionnalités clés**    49</w:t>
      </w:r>
      <w:r>
        <w:br/>
      </w:r>
      <w:r>
        <w:br/>
      </w:r>
      <w:r>
        <w:rPr>
          <w:rStyle w:val="VerbatimChar"/>
        </w:rPr>
        <w:t xml:space="preserve">**Écrans principaux**   49</w:t>
      </w:r>
      <w:r>
        <w:br/>
      </w:r>
      <w:r>
        <w:br/>
      </w:r>
      <w:r>
        <w:rPr>
          <w:rStyle w:val="VerbatimChar"/>
        </w:rPr>
        <w:t xml:space="preserve">**Module 33 — Administration ****&amp;**** Back-office GSG**    50</w:t>
      </w:r>
      <w:r>
        <w:br/>
      </w:r>
      <w:r>
        <w:br/>
      </w:r>
      <w:r>
        <w:rPr>
          <w:rStyle w:val="VerbatimChar"/>
        </w:rPr>
        <w:t xml:space="preserve">**Objectif**    50</w:t>
      </w:r>
      <w:r>
        <w:br/>
      </w:r>
      <w:r>
        <w:br/>
      </w:r>
      <w:r>
        <w:rPr>
          <w:rStyle w:val="VerbatimChar"/>
        </w:rPr>
        <w:t xml:space="preserve">**Fonctionnalités clés**    50</w:t>
      </w:r>
      <w:r>
        <w:br/>
      </w:r>
      <w:r>
        <w:br/>
      </w:r>
      <w:r>
        <w:rPr>
          <w:rStyle w:val="VerbatimChar"/>
        </w:rPr>
        <w:t xml:space="preserve">**Écrans principaux**   50</w:t>
      </w:r>
      <w:r>
        <w:br/>
      </w:r>
      <w:r>
        <w:br/>
      </w:r>
      <w:r>
        <w:rPr>
          <w:rStyle w:val="VerbatimChar"/>
        </w:rPr>
        <w:t xml:space="preserve">**Règles de gestion**   50</w:t>
      </w:r>
      <w:r>
        <w:br/>
      </w:r>
      <w:r>
        <w:br/>
      </w:r>
      <w:r>
        <w:rPr>
          <w:rStyle w:val="VerbatimChar"/>
        </w:rPr>
        <w:t xml:space="preserve">**Module 34 — Sécurité, Conformité ****&amp;**** Protection des données de santé**  51</w:t>
      </w:r>
      <w:r>
        <w:br/>
      </w:r>
      <w:r>
        <w:br/>
      </w:r>
      <w:r>
        <w:rPr>
          <w:rStyle w:val="VerbatimChar"/>
        </w:rPr>
        <w:t xml:space="preserve">**Objectif**    51</w:t>
      </w:r>
      <w:r>
        <w:br/>
      </w:r>
      <w:r>
        <w:br/>
      </w:r>
      <w:r>
        <w:rPr>
          <w:rStyle w:val="VerbatimChar"/>
        </w:rPr>
        <w:t xml:space="preserve">**Fonctionnalités clés**    51</w:t>
      </w:r>
      <w:r>
        <w:br/>
      </w:r>
      <w:r>
        <w:br/>
      </w:r>
      <w:r>
        <w:rPr>
          <w:rStyle w:val="VerbatimChar"/>
        </w:rPr>
        <w:t xml:space="preserve">**Écrans principaux**   51</w:t>
      </w:r>
      <w:r>
        <w:br/>
      </w:r>
      <w:r>
        <w:br/>
      </w:r>
      <w:r>
        <w:rPr>
          <w:rStyle w:val="VerbatimChar"/>
        </w:rPr>
        <w:t xml:space="preserve">**Règles de gestion**   51</w:t>
      </w:r>
      <w:r>
        <w:br/>
      </w:r>
      <w:r>
        <w:br/>
      </w:r>
      <w:r>
        <w:rPr>
          <w:rStyle w:val="VerbatimChar"/>
        </w:rPr>
        <w:t xml:space="preserve">**7. Récapitulatif des règles de gestion**  52</w:t>
      </w:r>
      <w:r>
        <w:br/>
      </w:r>
      <w:r>
        <w:br/>
      </w:r>
      <w:r>
        <w:rPr>
          <w:rStyle w:val="VerbatimChar"/>
        </w:rPr>
        <w:t xml:space="preserve">**8. Modèle de données et relations principales**   57</w:t>
      </w:r>
      <w:r>
        <w:br/>
      </w:r>
      <w:r>
        <w:br/>
      </w:r>
      <w:r>
        <w:rPr>
          <w:rStyle w:val="VerbatimChar"/>
        </w:rPr>
        <w:t xml:space="preserve">**8.1 Entités principales** 57</w:t>
      </w:r>
      <w:r>
        <w:br/>
      </w:r>
      <w:r>
        <w:br/>
      </w:r>
      <w:r>
        <w:rPr>
          <w:rStyle w:val="VerbatimChar"/>
        </w:rPr>
        <w:t xml:space="preserve">**8.2 Relations structurantes** 57</w:t>
      </w:r>
      <w:r>
        <w:br/>
      </w:r>
      <w:r>
        <w:br/>
      </w:r>
      <w:r>
        <w:rPr>
          <w:rStyle w:val="VerbatimChar"/>
        </w:rPr>
        <w:t xml:space="preserve">**9. Architecture technique recommandée**   59</w:t>
      </w:r>
      <w:r>
        <w:br/>
      </w:r>
      <w:r>
        <w:br/>
      </w:r>
      <w:r>
        <w:rPr>
          <w:rStyle w:val="VerbatimChar"/>
        </w:rPr>
        <w:t xml:space="preserve">**9.1 Stack applicative**   59</w:t>
      </w:r>
      <w:r>
        <w:br/>
      </w:r>
      <w:r>
        <w:br/>
      </w:r>
      <w:r>
        <w:rPr>
          <w:rStyle w:val="VerbatimChar"/>
        </w:rPr>
        <w:t xml:space="preserve">**9.2 Interconnexion au GSG Platform Kernel**   59</w:t>
      </w:r>
      <w:r>
        <w:br/>
      </w:r>
      <w:r>
        <w:br/>
      </w:r>
      <w:r>
        <w:rPr>
          <w:rStyle w:val="VerbatimChar"/>
        </w:rPr>
        <w:t xml:space="preserve">**Briques du noyau consommées** 59</w:t>
      </w:r>
      <w:r>
        <w:br/>
      </w:r>
      <w:r>
        <w:br/>
      </w:r>
      <w:r>
        <w:rPr>
          <w:rStyle w:val="VerbatimChar"/>
        </w:rPr>
        <w:t xml:space="preserve">**Cartographie des champs hérités du référentiel**  60</w:t>
      </w:r>
      <w:r>
        <w:br/>
      </w:r>
      <w:r>
        <w:br/>
      </w:r>
      <w:r>
        <w:rPr>
          <w:rStyle w:val="VerbatimChar"/>
        </w:rPr>
        <w:t xml:space="preserve">**Instanciation du Referential Engine** 60</w:t>
      </w:r>
      <w:r>
        <w:br/>
      </w:r>
      <w:r>
        <w:br/>
      </w:r>
      <w:r>
        <w:rPr>
          <w:rStyle w:val="VerbatimChar"/>
        </w:rPr>
        <w:t xml:space="preserve">**Événements publiés et consommés** 60</w:t>
      </w:r>
      <w:r>
        <w:br/>
      </w:r>
      <w:r>
        <w:br/>
      </w:r>
      <w:r>
        <w:rPr>
          <w:rStyle w:val="VerbatimChar"/>
        </w:rPr>
        <w:t xml:space="preserve">**Correction apportée à la section 8.1 — élimination d'une duplication avec le noyau**  60</w:t>
      </w:r>
      <w:r>
        <w:br/>
      </w:r>
      <w:r>
        <w:br/>
      </w:r>
      <w:r>
        <w:rPr>
          <w:rStyle w:val="VerbatimChar"/>
        </w:rPr>
        <w:t xml:space="preserve">**État au moment de la rédaction**  60</w:t>
      </w:r>
      <w:r>
        <w:br/>
      </w:r>
      <w:r>
        <w:br/>
      </w:r>
      <w:r>
        <w:rPr>
          <w:rStyle w:val="VerbatimChar"/>
        </w:rPr>
        <w:t xml:space="preserve">**9.3 Sécurité et résilience**  60</w:t>
      </w:r>
      <w:r>
        <w:br/>
      </w:r>
      <w:r>
        <w:br/>
      </w:r>
      <w:r>
        <w:rPr>
          <w:rStyle w:val="VerbatimChar"/>
        </w:rPr>
        <w:t xml:space="preserve">**10. Modèle économique**   62</w:t>
      </w:r>
      <w:r>
        <w:br/>
      </w:r>
      <w:r>
        <w:br/>
      </w:r>
      <w:r>
        <w:rPr>
          <w:rStyle w:val="VerbatimChar"/>
        </w:rPr>
        <w:t xml:space="preserve">**11. Feuille de route de déploiement** 63</w:t>
      </w:r>
      <w:r>
        <w:br/>
      </w:r>
      <w:r>
        <w:br/>
      </w:r>
      <w:r>
        <w:rPr>
          <w:rStyle w:val="VerbatimChar"/>
        </w:rPr>
        <w:t xml:space="preserve">**11.1 Quatre phases stratégiques** 63</w:t>
      </w:r>
      <w:r>
        <w:br/>
      </w:r>
      <w:r>
        <w:br/>
      </w:r>
      <w:r>
        <w:rPr>
          <w:rStyle w:val="VerbatimChar"/>
        </w:rPr>
        <w:t xml:space="preserve">**11.2 Jalons produit (V1 à V9)**   63</w:t>
      </w:r>
      <w:r>
        <w:br/>
      </w:r>
      <w:r>
        <w:br/>
      </w:r>
      <w:r>
        <w:rPr>
          <w:rStyle w:val="VerbatimChar"/>
        </w:rPr>
        <w:t xml:space="preserve">**12. Risques et mitigation**   64</w:t>
      </w:r>
      <w:r>
        <w:br/>
      </w:r>
      <w:r>
        <w:br/>
      </w:r>
      <w:r>
        <w:rPr>
          <w:rStyle w:val="VerbatimChar"/>
        </w:rPr>
        <w:t xml:space="preserve">**13. Conclusion**  65</w:t>
      </w:r>
    </w:p>
    <w:p>
      <w:pPr>
        <w:pStyle w:val="FirstParagraph"/>
      </w:pPr>
      <w:r>
        <w:rPr>
          <w:bCs/>
          <w:b/>
        </w:rPr>
        <w:t xml:space="preserve">1. Synthèse exécutive</w:t>
      </w:r>
    </w:p>
    <w:p>
      <w:pPr>
        <w:pStyle w:val="BodyText"/>
      </w:pPr>
      <w:r>
        <w:t xml:space="preserve">PharmaConnect est conçu comme une infrastructure numérique d’interconnexion entre patients, pharmacies, grossistes-répartiteurs, professionnels de santé, structures hospitalières et services de livraison — et non comme une simple application de recherche de médicaments. La version 2.0 de ce cahier élargit délibérément l’ambition initiale : au périmètre pharmaceutique (recherche, stock, traçabilité) s’ajoute désormais un pilier de soins à domicile et de télémédecine encadrée, formant avec la pharmacie et l’approvisionnement les trois grandes branches du projet.</w:t>
      </w:r>
    </w:p>
    <w:p>
      <w:pPr>
        <w:pStyle w:val="BodyText"/>
      </w:pPr>
      <w:r>
        <w:t xml:space="preserve">PharmaConnect répond ainsi simultanément à quatre enjeux du marché guinéen et ouest-africain : la difficulté pour un patient à localiser rapidement un produit de santé disponible et fiable ; la fragilité de gestion de stock des officines indépendantes ; le déficit de traçabilité qui alimente la circulation de médicaments contrefaits ; et l’accès limité aux soins pour les personnes âgées, immobilisées ou éloignées des centres urbains, pour lesquelles un déplacement vers une structure de santé constitue en soi une barrière.</w:t>
      </w:r>
    </w:p>
    <w:p>
      <w:pPr>
        <w:pStyle w:val="BodyText"/>
      </w:pPr>
      <w:r>
        <w:t xml:space="preserve">Le positionnement retenu se distingue des catégories d’acteurs déjà présents sur le continent : les plateformes de gestion de stock B2B pures (DrugStoc), les franchises d’accès et de financement de pharmacies (mPharma), les e-pharmacies orientées patient (MyDawa) et les plateformes de télémédecine et de prise de rendez-vous (Vezeeta). PharmaConnect vise à combiner ces dimensions sur un socle unique — recherche patient, gestion de stock, télémédecine et soins à domicile, marketplace B2B — tout en s’appuyant sur l’infrastructure partagée du GSG Platform Kernel déjà prévue pour interconnecter l’ensemble du portefeuille GSG (Ecclesias 360, EduRéussite, GlobalStock ERP, AssoShop, TradeLink Africa).</w:t>
      </w:r>
    </w:p>
    <w:p>
      <w:pPr>
        <w:pStyle w:val="BodyText"/>
      </w:pPr>
      <w:r>
        <w:t xml:space="preserve">Le présent cahier de conception détaille 34 modules fonctionnels, structurés en six axes — expérience patient, télémédecine et soins à domicile (CARE), opérations d’officine, intelligence et approvisionnement, écosystème santé élargi, gouvernance et conformité — ainsi que les règles de gestion, le modèle de données, l’architecture technique recommandée et une feuille de route de déploiement par phases, de la Guinée vers l’Afrique de l’Ouest.</w:t>
      </w:r>
    </w:p>
    <w:p>
      <w:pPr>
        <w:pStyle w:val="BodyText"/>
      </w:pPr>
      <w:r>
        <w:rPr>
          <w:bCs/>
          <w:b/>
        </w:rPr>
        <w:t xml:space="preserve">2. Vision et positionnement</w:t>
      </w:r>
    </w:p>
    <w:p>
      <w:pPr>
        <w:pStyle w:val="BodyText"/>
      </w:pPr>
      <w:r>
        <w:rPr>
          <w:bCs/>
          <w:b/>
        </w:rPr>
        <w:t xml:space="preserve">2.1 Ce que PharmaConnect n’est pas</w:t>
      </w:r>
    </w:p>
    <w:p>
      <w:pPr>
        <w:pStyle w:val="BodyText"/>
      </w:pPr>
      <w:r>
        <w:t xml:space="preserve">La conception initiale du projet pose un principe de délimitation clair, repris et renforcé dans ce cahier : PharmaConnect n’est ni une pharmacie en ligne se substituant à l’officine physique, ni une simple application de livraison, ni un outil de diagnostic médical, ni un logiciel de caisse isolé, ni une marketplace généraliste. C’est une plateforme d’interconnexion entre les acteurs existants de la chaîne pharmaceutique.</w:t>
      </w:r>
    </w:p>
    <w:p>
      <w:pPr>
        <w:pStyle w:val="BodyText"/>
      </w:pPr>
      <w:r>
        <w:rPr>
          <w:bCs/>
          <w:b/>
        </w:rPr>
        <w:t xml:space="preserve">2.2 La formule de valeur</w:t>
      </w:r>
    </w:p>
    <w:p>
      <w:pPr>
        <w:pStyle w:val="BodyText"/>
      </w:pPr>
      <w:r>
        <w:rPr>
          <w:iCs/>
          <w:i/>
        </w:rPr>
        <w:t xml:space="preserve">PharmaConnect = trouver le bon produit de santé, auprès du bon professionnel, au bon endroit, au bon prix, avec une traçabilité maximale.</w:t>
      </w:r>
    </w:p>
    <w:p>
      <w:pPr>
        <w:pStyle w:val="BodyText"/>
      </w:pPr>
      <w:r>
        <w:rPr>
          <w:bCs/>
          <w:b/>
        </w:rPr>
        <w:t xml:space="preserve">2.3 Le principe fondateur : l’IA informe, le professionnel décide</w:t>
      </w:r>
    </w:p>
    <w:p>
      <w:pPr>
        <w:pStyle w:val="BodyText"/>
      </w:pPr>
      <w:r>
        <w:t xml:space="preserve">Un choix de conception structurant traverse l’ensemble des modules impliquant de l’intelligence artificielle (recherche, télé-conseil, prévision de la demande) : l’IA n’émet jamais de recommandation thérapeutique individualisée. Elle informe, oriente, prédit des tendances de stock et assiste la lecture d’ordonnance, mais chaque décision à portée médicale ou d’approvisionnement reste validée par un professionnel habilité. Ce principe est décliné en règles de gestion contraignantes dans les modules concernés (RG-ORD-01, RG-CNS-01, RG-IA-01).</w:t>
      </w:r>
    </w:p>
    <w:p>
      <w:pPr>
        <w:pStyle w:val="BodyText"/>
      </w:pPr>
      <w:r>
        <w:rPr>
          <w:bCs/>
          <w:b/>
        </w:rPr>
        <w:t xml:space="preserve">2.4 Contexte réglementaire guinéen</w:t>
      </w:r>
    </w:p>
    <w:p>
      <w:pPr>
        <w:pStyle w:val="BodyText"/>
      </w:pPr>
      <w:r>
        <w:t xml:space="preserve">La loi L/2018/024/AN relative aux médicaments, produits de santé et à l’exercice de la profession de pharmacien encadre la création des officines, soumises à autorisation du Ministre en charge de la Santé après avis de la commission des agréments, ainsi que le régime de promotion et de distribution des médicaments. Cette révision de 2018, la première depuis 24 ans, a confié à la Direction Nationale de la Pharmacie et du Médicament (DNPM) la responsabilité de la qualité des médicaments et de leur surveillance de marché — un mandat renforcé par les leçons de l’épidémie d’Ebola de 2014-2016 sur l’importance de la traçabilité.</w:t>
      </w:r>
    </w:p>
    <w:p>
      <w:pPr>
        <w:pStyle w:val="BodyText"/>
      </w:pPr>
      <w:r>
        <w:t xml:space="preserve">Plus récemment, le Ministère de la Santé et de l’Hygiène Publique a lancé en mai 2026 des ateliers régionaux consacrés à une refonte de la loi pharmaceutique, pilotée par la DNPM avec l’appui de l’Union Européenne et d’Expertise France, dans l’objectif explicite de renforcer l’accès à des médicaments sûrs et la Couverture Santé Universelle. Ce mouvement réglementaire constitue à la fois une fenêtre d’opportunité — les autorités cherchent des partenaires technologiques capables de digitaliser la traçabilité — et une contrainte de conception : PharmaConnect doit être architecturé pour s’adapter à un cadre légal encore mouvant, notamment sur la protection des données de santé.</w:t>
      </w:r>
    </w:p>
    <w:p>
      <w:pPr>
        <w:pStyle w:val="BodyText"/>
      </w:pPr>
      <w:r>
        <w:t xml:space="preserve">La Guinée a par ailleurs diffusé une nouvelle Liste nationale des médicaments essentiels, pilotée par la DNPM, qui doit être traitée par PharmaConnect comme une source officielle du référentiel produit (Module CAT) plutôt que reconstruite arbitrairement. Le pays s’inscrit en outre dans une dynamique de souveraineté sanitaire et de production locale, illustrée par l’inauguration en avril 2026 d’une unité industrielle pharmaceutique visant les marchés guinéen et sous-régional : à terme, PharmaConnect peut devenir le pont numérique entre la production locale, les grossistes, les officines et les patients.</w:t>
      </w:r>
    </w:p>
    <w:p>
      <w:pPr>
        <w:pStyle w:val="BodyText"/>
      </w:pPr>
      <w:r>
        <w:t xml:space="preserve">Pour le volet télémédecine et soins à domicile (branche CARE), la conception s’appuie sur le cadre de référence de l’Organisation Mondiale de la Santé, qui reconnaît la télémédecine comme un moyen d’étendre l’accès aux soins lorsque la distance constitue une barrière, distingue la téléconsultation interactive, le suivi à distance et les soins coordonnés entre professionnels, et recommande qu’un service de télémédecine soit planifié autour de la gouvernance, de la réglementation, de la sécurité, des ressources humaines et de l’infrastructure — et non limité au développement d’une application. En conséquence, la commercialisation de la consultation et des soins à domicile devra être validée avec les autorités sanitaires et les ordres professionnels compétents avant tout déploiement, en cohérence avec la stratégie nationale de santé numérique guinéenne.</w:t>
      </w:r>
    </w:p>
    <w:p>
      <w:pPr>
        <w:pStyle w:val="BodyText"/>
      </w:pPr>
      <w:r>
        <w:rPr>
          <w:bCs/>
          <w:b/>
        </w:rPr>
        <w:t xml:space="preserve">2.5 Architecture de marque : trois branches, une infrastructure</w:t>
      </w:r>
    </w:p>
    <w:p>
      <w:pPr>
        <w:pStyle w:val="BodyText"/>
      </w:pPr>
      <w:r>
        <w:t xml:space="preserve">PharmaConnect ne se présente pas comme « une application pour acheter des médicaments », positionnement jugé trop restrictif, mais comme l’infrastructure numérique du circuit pharmaceutique et des soins de proximité en Afrique de l’Ouest, organisée en trois branches produit assises sur un socle commun :</w:t>
      </w:r>
    </w:p>
    <w:p>
      <w:pPr>
        <w:numPr>
          <w:ilvl w:val="0"/>
          <w:numId w:val="1001"/>
        </w:numPr>
      </w:pPr>
      <w:r>
        <w:rPr>
          <w:bCs/>
          <w:b/>
        </w:rPr>
        <w:t xml:space="preserve">CONNECT CARE —</w:t>
      </w:r>
      <w:r>
        <w:rPr>
          <w:bCs/>
          <w:b/>
        </w:rPr>
        <w:t xml:space="preserve"> </w:t>
      </w:r>
      <w:r>
        <w:t xml:space="preserve">patients, professionnels de santé mobiles, téléconsultation, triage, soins et médecin à domicile, suivi chronique et dossier de santé numérique.</w:t>
      </w:r>
    </w:p>
    <w:p>
      <w:pPr>
        <w:numPr>
          <w:ilvl w:val="0"/>
          <w:numId w:val="1001"/>
        </w:numPr>
      </w:pPr>
      <w:r>
        <w:rPr>
          <w:bCs/>
          <w:b/>
        </w:rPr>
        <w:t xml:space="preserve">CONNECT PHARMA —</w:t>
      </w:r>
      <w:r>
        <w:rPr>
          <w:bCs/>
          <w:b/>
        </w:rPr>
        <w:t xml:space="preserve"> </w:t>
      </w:r>
      <w:r>
        <w:t xml:space="preserve">officines, stock par lot, disponibilité en temps réel, ordonnances, traçabilité anti-contrefaçon.</w:t>
      </w:r>
    </w:p>
    <w:p>
      <w:pPr>
        <w:numPr>
          <w:ilvl w:val="0"/>
          <w:numId w:val="1001"/>
        </w:numPr>
      </w:pPr>
      <w:r>
        <w:rPr>
          <w:bCs/>
          <w:b/>
        </w:rPr>
        <w:t xml:space="preserve">CONNECT SUPPLY —</w:t>
      </w:r>
      <w:r>
        <w:rPr>
          <w:bCs/>
          <w:b/>
        </w:rPr>
        <w:t xml:space="preserve"> </w:t>
      </w:r>
      <w:r>
        <w:t xml:space="preserve">grossistes, fournisseurs, marketplace B2B, financement de la chaîne d’approvisionnement.</w:t>
      </w:r>
    </w:p>
    <w:p>
      <w:pPr>
        <w:pStyle w:val="FirstParagraph"/>
      </w:pPr>
      <w:r>
        <w:t xml:space="preserve">Une couche transversale, PharmaConnect Intelligence, irrigue les trois branches : recherche et orientation, prévision de la demande, aide à la lecture d’ordonnance, triage encadré et détection d’anomalies de traçabilité. À plus long terme, cette couche est appelée à s’enrichir d’un registre de traçabilité partagé (PharmaTrace) et d’une couche de données de santé agrégées (Health Data), dans le respect strict des règles de consentement du Module SEC.</w:t>
      </w:r>
    </w:p>
    <w:p>
      <w:pPr>
        <w:pStyle w:val="BodyText"/>
      </w:pPr>
      <w:r>
        <w:rPr>
          <w:bCs/>
          <w:b/>
        </w:rPr>
        <w:t xml:space="preserve">2.6 Les quatre rôles encadrés de l’intelligence artificielle</w:t>
      </w:r>
    </w:p>
    <w:p>
      <w:pPr>
        <w:pStyle w:val="BodyText"/>
      </w:pPr>
      <w:r>
        <w:t xml:space="preserve">Un principe fondateur, décliné en règles de gestion contraignantes dans les modules concernés (RG-ORD-01, RG-CNS-01, RG-IA-01, RG-TRI-01, RG-HOM-02), traverse l’ensemble de la plateforme : l’IA informe, oriente et assiste ; le professionnel de santé décide. Ce principe se décline en quatre rôles strictement délimités :</w:t>
      </w:r>
    </w:p>
    <w:p>
      <w:pPr>
        <w:numPr>
          <w:ilvl w:val="0"/>
          <w:numId w:val="1002"/>
        </w:numPr>
      </w:pPr>
      <w:r>
        <w:rPr>
          <w:bCs/>
          <w:b/>
        </w:rPr>
        <w:t xml:space="preserve">Assistant administratif —</w:t>
      </w:r>
      <w:r>
        <w:rPr>
          <w:bCs/>
          <w:b/>
        </w:rPr>
        <w:t xml:space="preserve"> </w:t>
      </w:r>
      <w:r>
        <w:t xml:space="preserve">recueille les informations utiles avant une consultation ou une dispensation.</w:t>
      </w:r>
    </w:p>
    <w:p>
      <w:pPr>
        <w:numPr>
          <w:ilvl w:val="0"/>
          <w:numId w:val="1002"/>
        </w:numPr>
      </w:pPr>
      <w:r>
        <w:rPr>
          <w:bCs/>
          <w:b/>
        </w:rPr>
        <w:t xml:space="preserve">Assistant de triage —</w:t>
      </w:r>
      <w:r>
        <w:rPr>
          <w:bCs/>
          <w:b/>
        </w:rPr>
        <w:t xml:space="preserve"> </w:t>
      </w:r>
      <w:r>
        <w:t xml:space="preserve">identifie, selon des protocoles validés médicalement, les signaux nécessitant une orientation urgente (Module TRI).</w:t>
      </w:r>
    </w:p>
    <w:p>
      <w:pPr>
        <w:numPr>
          <w:ilvl w:val="0"/>
          <w:numId w:val="1002"/>
        </w:numPr>
      </w:pPr>
      <w:r>
        <w:rPr>
          <w:bCs/>
          <w:b/>
        </w:rPr>
        <w:t xml:space="preserve">Assistant du professionnel —</w:t>
      </w:r>
      <w:r>
        <w:rPr>
          <w:bCs/>
          <w:b/>
        </w:rPr>
        <w:t xml:space="preserve"> </w:t>
      </w:r>
      <w:r>
        <w:t xml:space="preserve">organise les informations du dossier et assiste la lecture d’ordonnance, sans jamais se substituer à la décision clinique.</w:t>
      </w:r>
    </w:p>
    <w:p>
      <w:pPr>
        <w:numPr>
          <w:ilvl w:val="0"/>
          <w:numId w:val="1002"/>
        </w:numPr>
      </w:pPr>
      <w:r>
        <w:rPr>
          <w:bCs/>
          <w:b/>
        </w:rPr>
        <w:t xml:space="preserve">Assistant de suivi —</w:t>
      </w:r>
      <w:r>
        <w:rPr>
          <w:bCs/>
          <w:b/>
        </w:rPr>
        <w:t xml:space="preserve"> </w:t>
      </w:r>
      <w:r>
        <w:t xml:space="preserve">adresse des rappels de traitement, de rendez-vous ou d’auto-évaluation entre deux interventions.</w:t>
      </w:r>
    </w:p>
    <w:p>
      <w:pPr>
        <w:pStyle w:val="FirstParagraph"/>
      </w:pPr>
      <w:r>
        <w:t xml:space="preserve">*IA ≠ médecin. En aucun cas l’intelligence artificielle ne pose de diagnostic, ne prescrit une posologie individualisée ou ne r**emplace l’évaluation clinique d’un professionnel habilité.*</w:t>
      </w:r>
    </w:p>
    <w:p>
      <w:pPr>
        <w:pStyle w:val="BodyText"/>
      </w:pPr>
      <w:r>
        <w:rPr>
          <w:bCs/>
          <w:b/>
        </w:rPr>
        <w:t xml:space="preserve">2.7 Le marché diaspora</w:t>
      </w:r>
    </w:p>
    <w:p>
      <w:pPr>
        <w:pStyle w:val="BodyText"/>
      </w:pPr>
      <w:r>
        <w:t xml:space="preserve">Le modèle « diaspora » constitue une opportunité économique distincte, identifiée comme particulièrement prometteuse : un fils ou une fille vivant à Paris, Bruxelles, Dakar ou New York peut financer, à distance, une consultation, une visite à domicile ou l’achat de médicaments pour un parent resté en Guinée, avec un suivi transmis selon les autorisations du bénéficiaire. Ce modèle est porté par le Module FAM (PharmaConnect Family &amp; Diaspora) et repose sur un principe simple : le payeur et le patient peuvent se trouver dans deux pays différents, ce qui ouvre un flux de paiement international distinct des usages locaux.</w:t>
      </w:r>
    </w:p>
    <w:p>
      <w:pPr>
        <w:pStyle w:val="BodyText"/>
      </w:pPr>
      <w:r>
        <w:rPr>
          <w:bCs/>
          <w:b/>
        </w:rPr>
        <w:t xml:space="preserve">2.8 Vérification et activation d’une officine ou d’un professionnel</w:t>
      </w:r>
    </w:p>
    <w:p>
      <w:pPr>
        <w:pStyle w:val="BodyText"/>
      </w:pPr>
      <w:r>
        <w:t xml:space="preserve">L’accès de toute pharmacie ou de tout professionnel de santé à PharmaConnect suit un parcours de vérification à six étapes avant activation, afin de garantir que seules des structures et personnes habilitées apparaissent sur la plateforme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Étape</w:t>
            </w:r>
          </w:p>
        </w:tc>
        <w:tc>
          <w:tcPr/>
          <w:p>
            <w:pPr>
              <w:pStyle w:val="Compact"/>
              <w:jc w:val="left"/>
            </w:pPr>
            <w:r>
              <w:rPr>
                <w:bCs/>
                <w:b/>
              </w:rPr>
              <w:t xml:space="preserve">Nom</w:t>
            </w:r>
          </w:p>
        </w:tc>
        <w:tc>
          <w:tcPr/>
          <w:p>
            <w:pPr>
              <w:pStyle w:val="Compact"/>
              <w:jc w:val="left"/>
            </w:pPr>
            <w:r>
              <w:rPr>
                <w:bCs/>
                <w:b/>
              </w:rPr>
              <w:t xml:space="preserve">Contenu</w:t>
            </w:r>
          </w:p>
        </w:tc>
      </w:tr>
      <w:tr>
        <w:tc>
          <w:tcPr/>
          <w:p>
            <w:pPr>
              <w:pStyle w:val="Compact"/>
              <w:jc w:val="left"/>
            </w:pPr>
            <w:r>
              <w:t xml:space="preserve">1</w:t>
            </w:r>
          </w:p>
        </w:tc>
        <w:tc>
          <w:tcPr/>
          <w:p>
            <w:pPr>
              <w:pStyle w:val="Compact"/>
              <w:jc w:val="left"/>
            </w:pPr>
            <w:r>
              <w:t xml:space="preserve">Création du compte</w:t>
            </w:r>
          </w:p>
        </w:tc>
        <w:tc>
          <w:tcPr/>
          <w:p>
            <w:pPr>
              <w:pStyle w:val="Compact"/>
              <w:jc w:val="left"/>
            </w:pPr>
            <w:r>
              <w:t xml:space="preserve">Saisie des informations d’identité de base</w:t>
            </w:r>
          </w:p>
        </w:tc>
      </w:tr>
      <w:tr>
        <w:tc>
          <w:tcPr/>
          <w:p>
            <w:pPr>
              <w:pStyle w:val="Compact"/>
              <w:jc w:val="left"/>
            </w:pPr>
            <w:r>
              <w:t xml:space="preserve">2</w:t>
            </w:r>
          </w:p>
        </w:tc>
        <w:tc>
          <w:tcPr/>
          <w:p>
            <w:pPr>
              <w:pStyle w:val="Compact"/>
              <w:jc w:val="left"/>
            </w:pPr>
            <w:r>
              <w:t xml:space="preserve">Identification de la structure ou du professionnel</w:t>
            </w:r>
          </w:p>
        </w:tc>
        <w:tc>
          <w:tcPr/>
          <w:p>
            <w:pPr>
              <w:pStyle w:val="Compact"/>
              <w:jc w:val="left"/>
            </w:pPr>
            <w:r>
              <w:t xml:space="preserve">Rattachement à une officine, un ordre professionnel ou une organisation</w:t>
            </w:r>
          </w:p>
        </w:tc>
      </w:tr>
      <w:tr>
        <w:tc>
          <w:tcPr/>
          <w:p>
            <w:pPr>
              <w:pStyle w:val="Compact"/>
              <w:jc w:val="left"/>
            </w:pPr>
            <w:r>
              <w:t xml:space="preserve">3</w:t>
            </w:r>
          </w:p>
        </w:tc>
        <w:tc>
          <w:tcPr/>
          <w:p>
            <w:pPr>
              <w:pStyle w:val="Compact"/>
              <w:jc w:val="left"/>
            </w:pPr>
            <w:r>
              <w:t xml:space="preserve">Documents réglementaires</w:t>
            </w:r>
          </w:p>
        </w:tc>
        <w:tc>
          <w:tcPr/>
          <w:p>
            <w:pPr>
              <w:pStyle w:val="Compact"/>
              <w:jc w:val="left"/>
            </w:pPr>
            <w:r>
              <w:t xml:space="preserve">Téléversement de la licence, de l’autorisation d’ouverture ou de l’inscription à l’ordre</w:t>
            </w:r>
          </w:p>
        </w:tc>
      </w:tr>
      <w:tr>
        <w:tc>
          <w:tcPr/>
          <w:p>
            <w:pPr>
              <w:pStyle w:val="Compact"/>
              <w:jc w:val="left"/>
            </w:pPr>
            <w:r>
              <w:t xml:space="preserve">4</w:t>
            </w:r>
          </w:p>
        </w:tc>
        <w:tc>
          <w:tcPr/>
          <w:p>
            <w:pPr>
              <w:pStyle w:val="Compact"/>
              <w:jc w:val="left"/>
            </w:pPr>
            <w:r>
              <w:t xml:space="preserve">Vérification</w:t>
            </w:r>
          </w:p>
        </w:tc>
        <w:tc>
          <w:tcPr/>
          <w:p>
            <w:pPr>
              <w:pStyle w:val="Compact"/>
              <w:jc w:val="left"/>
            </w:pPr>
            <w:r>
              <w:t xml:space="preserve">Contrôle manuel ou automatisé auprès des référentiels de la DNPM ou de l’ordre compétent</w:t>
            </w:r>
          </w:p>
        </w:tc>
      </w:tr>
      <w:tr>
        <w:tc>
          <w:tcPr/>
          <w:p>
            <w:pPr>
              <w:pStyle w:val="Compact"/>
              <w:jc w:val="left"/>
            </w:pPr>
            <w:r>
              <w:t xml:space="preserve">5</w:t>
            </w:r>
          </w:p>
        </w:tc>
        <w:tc>
          <w:tcPr/>
          <w:p>
            <w:pPr>
              <w:pStyle w:val="Compact"/>
              <w:jc w:val="left"/>
            </w:pPr>
            <w:r>
              <w:t xml:space="preserve">Validation</w:t>
            </w:r>
          </w:p>
        </w:tc>
        <w:tc>
          <w:tcPr/>
          <w:p>
            <w:pPr>
              <w:pStyle w:val="Compact"/>
              <w:jc w:val="left"/>
            </w:pPr>
            <w:r>
              <w:t xml:space="preserve">Décision d’un administrateur pharmaceutique ou médical GSG</w:t>
            </w:r>
          </w:p>
        </w:tc>
      </w:tr>
      <w:tr>
        <w:tc>
          <w:tcPr/>
          <w:p>
            <w:pPr>
              <w:pStyle w:val="Compact"/>
              <w:jc w:val="left"/>
            </w:pPr>
            <w:r>
              <w:t xml:space="preserve">6</w:t>
            </w:r>
          </w:p>
        </w:tc>
        <w:tc>
          <w:tcPr/>
          <w:p>
            <w:pPr>
              <w:pStyle w:val="Compact"/>
              <w:jc w:val="left"/>
            </w:pPr>
            <w:r>
              <w:t xml:space="preserve">Activation</w:t>
            </w:r>
          </w:p>
        </w:tc>
        <w:tc>
          <w:tcPr/>
          <w:p>
            <w:pPr>
              <w:pStyle w:val="Compact"/>
              <w:jc w:val="left"/>
            </w:pPr>
            <w:r>
              <w:t xml:space="preserve">Attribution du statut « vérifié » et ouverture des fonctionnalités correspondantes</w:t>
            </w:r>
          </w:p>
        </w:tc>
      </w:tr>
    </w:tbl>
    <w:p>
      <w:pPr>
        <w:pStyle w:val="BodyText"/>
      </w:pPr>
      <w:r>
        <w:t xml:space="preserve">Un compte suspendu automatiquement dès lors que son autorisation n’est plus valide ou qu’une anomalie est détectée est immédiatement retiré des résultats visibles par les patients (voir règles RG-AUT-01 et RG-AUT-04).</w:t>
      </w:r>
    </w:p>
    <w:p>
      <w:pPr>
        <w:pStyle w:val="BodyText"/>
      </w:pPr>
      <w:r>
        <w:rPr>
          <w:bCs/>
          <w:b/>
        </w:rPr>
        <w:t xml:space="preserve">3. Étude de la concurrence et positionnement différenciant</w:t>
      </w:r>
    </w:p>
    <w:p>
      <w:pPr>
        <w:pStyle w:val="BodyText"/>
      </w:pPr>
      <w:r>
        <w:t xml:space="preserve">Le paysage africain de la santé numérique compte déjà plusieurs acteurs matures dont les choix de conception éclairent utilement le périmètre de PharmaConnect. Trois familles de modèles coexistent : les plateformes B2B de chaîne d’approvisionnement et d’authentification (DrugStoc, RxAll), les franchises de digitalisation et de financement d’officines (mPharma, Remedial Health), et les e-pharmacies orientées patient (MyDawa). Aucun de ces acteurs, à ce jour, ne combine de façon intégrée la recherche patient en temps réel, la gestion de stock FEFO par lot, l’intelligence de réapprovisionnement, la traçabilité anti-contrefaçon et l’interconnexion à un écosystème SaaS plus large.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Acteur</w:t>
            </w:r>
          </w:p>
        </w:tc>
        <w:tc>
          <w:tcPr/>
          <w:p>
            <w:pPr>
              <w:pStyle w:val="Compact"/>
              <w:jc w:val="left"/>
            </w:pPr>
            <w:r>
              <w:rPr>
                <w:bCs/>
                <w:b/>
              </w:rPr>
              <w:t xml:space="preserve">Positionnement observé</w:t>
            </w:r>
          </w:p>
        </w:tc>
        <w:tc>
          <w:tcPr/>
          <w:p>
            <w:pPr>
              <w:pStyle w:val="Compact"/>
              <w:jc w:val="left"/>
            </w:pPr>
            <w:r>
              <w:rPr>
                <w:bCs/>
                <w:b/>
              </w:rPr>
              <w:t xml:space="preserve">Enseignement pour PharmaConnect</w:t>
            </w:r>
          </w:p>
        </w:tc>
      </w:tr>
      <w:tr>
        <w:tc>
          <w:tcPr/>
          <w:p>
            <w:pPr>
              <w:pStyle w:val="Compact"/>
              <w:jc w:val="left"/>
            </w:pPr>
            <w:r>
              <w:t xml:space="preserve">mPharma (Ghana)</w:t>
            </w:r>
          </w:p>
        </w:tc>
        <w:tc>
          <w:tcPr/>
          <w:p>
            <w:pPr>
              <w:pStyle w:val="Compact"/>
              <w:jc w:val="left"/>
            </w:pPr>
            <w:r>
              <w:t xml:space="preserve">Franchise QualityRx, gestion de stock, financement pharmacies, +850 pharmacies, expansion francophone (Togo, Bénin)</w:t>
            </w:r>
          </w:p>
        </w:tc>
        <w:tc>
          <w:tcPr/>
          <w:p>
            <w:pPr>
              <w:pStyle w:val="Compact"/>
              <w:jc w:val="left"/>
            </w:pPr>
            <w:r>
              <w:t xml:space="preserve">Modèle franchise fort ; positionnement accès/qualité plus que anti-contrefaçon</w:t>
            </w:r>
          </w:p>
        </w:tc>
      </w:tr>
      <w:tr>
        <w:tc>
          <w:tcPr/>
          <w:p>
            <w:pPr>
              <w:pStyle w:val="Compact"/>
              <w:jc w:val="left"/>
            </w:pPr>
            <w:r>
              <w:t xml:space="preserve">DrugStoc (Nigeria)</w:t>
            </w:r>
          </w:p>
        </w:tc>
        <w:tc>
          <w:tcPr/>
          <w:p>
            <w:pPr>
              <w:pStyle w:val="Compact"/>
              <w:jc w:val="left"/>
            </w:pPr>
            <w:r>
              <w:t xml:space="preserve">Marketplace B2B grossistes ↔ officines/hôpitaux, garantie anti-contrefaçon, financement de la chaîne d’approvisionnement</w:t>
            </w:r>
          </w:p>
        </w:tc>
        <w:tc>
          <w:tcPr/>
          <w:p>
            <w:pPr>
              <w:pStyle w:val="Compact"/>
              <w:jc w:val="left"/>
            </w:pPr>
            <w:r>
              <w:t xml:space="preserve">Fort volet B2B ; peu orienté patient final</w:t>
            </w:r>
          </w:p>
        </w:tc>
      </w:tr>
      <w:tr>
        <w:tc>
          <w:tcPr/>
          <w:p>
            <w:pPr>
              <w:pStyle w:val="Compact"/>
              <w:jc w:val="left"/>
            </w:pPr>
            <w:r>
              <w:t xml:space="preserve">Remedial Health (Nigeria)</w:t>
            </w:r>
          </w:p>
        </w:tc>
        <w:tc>
          <w:tcPr/>
          <w:p>
            <w:pPr>
              <w:pStyle w:val="Compact"/>
              <w:jc w:val="left"/>
            </w:pPr>
            <w:r>
              <w:t xml:space="preserve">Application mobile pour points de vente pharmaceutiques indépendants, inventaire, dossiers patients, financement</w:t>
            </w:r>
          </w:p>
        </w:tc>
        <w:tc>
          <w:tcPr/>
          <w:p>
            <w:pPr>
              <w:pStyle w:val="Compact"/>
              <w:jc w:val="left"/>
            </w:pPr>
            <w:r>
              <w:t xml:space="preserve">Cible les revendeurs informels (PPMV) autant que les officines formelles</w:t>
            </w:r>
          </w:p>
        </w:tc>
      </w:tr>
      <w:tr>
        <w:tc>
          <w:tcPr/>
          <w:p>
            <w:pPr>
              <w:pStyle w:val="Compact"/>
              <w:jc w:val="left"/>
            </w:pPr>
            <w:r>
              <w:t xml:space="preserve">MyDawa (Kenya)</w:t>
            </w:r>
          </w:p>
        </w:tc>
        <w:tc>
          <w:tcPr/>
          <w:p>
            <w:pPr>
              <w:pStyle w:val="Compact"/>
              <w:jc w:val="left"/>
            </w:pPr>
            <w:r>
              <w:t xml:space="preserve">E-pharmacie orientée patient, livraison directe, large catalogue en ligne</w:t>
            </w:r>
          </w:p>
        </w:tc>
        <w:tc>
          <w:tcPr/>
          <w:p>
            <w:pPr>
              <w:pStyle w:val="Compact"/>
              <w:jc w:val="left"/>
            </w:pPr>
            <w:r>
              <w:t xml:space="preserve">Bon niveau patient-centric mais moins intégré à la gestion d’officine</w:t>
            </w:r>
          </w:p>
        </w:tc>
      </w:tr>
      <w:tr>
        <w:tc>
          <w:tcPr/>
          <w:p>
            <w:pPr>
              <w:pStyle w:val="Compact"/>
              <w:jc w:val="left"/>
            </w:pPr>
            <w:r>
              <w:t xml:space="preserve">RxAll (Nigeria)</w:t>
            </w:r>
          </w:p>
        </w:tc>
        <w:tc>
          <w:tcPr/>
          <w:p>
            <w:pPr>
              <w:pStyle w:val="Compact"/>
              <w:jc w:val="left"/>
            </w:pPr>
            <w:r>
              <w:t xml:space="preserve">Scanner portable d’authentification (spectroscopie + IA), marketplace de médicaments vérifiés, portefeuille de paiement propre</w:t>
            </w:r>
          </w:p>
        </w:tc>
        <w:tc>
          <w:tcPr/>
          <w:p>
            <w:pPr>
              <w:pStyle w:val="Compact"/>
              <w:jc w:val="left"/>
            </w:pPr>
            <w:r>
              <w:t xml:space="preserve">Différenciation forte sur l’anti-contrefaçon matériel</w:t>
            </w:r>
          </w:p>
        </w:tc>
      </w:tr>
      <w:tr>
        <w:tc>
          <w:tcPr/>
          <w:p>
            <w:pPr>
              <w:pStyle w:val="Compact"/>
              <w:jc w:val="left"/>
            </w:pPr>
            <w:r>
              <w:t xml:space="preserve">Vezeeta (Égypte / MENA)</w:t>
            </w:r>
          </w:p>
        </w:tc>
        <w:tc>
          <w:tcPr/>
          <w:p>
            <w:pPr>
              <w:pStyle w:val="Compact"/>
              <w:jc w:val="left"/>
            </w:pPr>
            <w:r>
              <w:t xml:space="preserve">Prise de rendez-vous médical, gestion de cabinet, extension pharmacie</w:t>
            </w:r>
          </w:p>
        </w:tc>
        <w:tc>
          <w:tcPr/>
          <w:p>
            <w:pPr>
              <w:pStyle w:val="Compact"/>
              <w:jc w:val="left"/>
            </w:pPr>
            <w:r>
              <w:t xml:space="preserve">Écosystème santé large, moins centré médicament</w:t>
            </w:r>
          </w:p>
        </w:tc>
      </w:tr>
      <w:tr>
        <w:tc>
          <w:tcPr/>
          <w:p>
            <w:pPr>
              <w:pStyle w:val="Compact"/>
              <w:jc w:val="left"/>
            </w:pPr>
            <w:r>
              <w:t xml:space="preserve">PharmaConnect (GSG)</w:t>
            </w:r>
          </w:p>
        </w:tc>
        <w:tc>
          <w:tcPr/>
          <w:p>
            <w:pPr>
              <w:pStyle w:val="Compact"/>
              <w:jc w:val="left"/>
            </w:pPr>
            <w:r>
              <w:t xml:space="preserve">Combine recherche patient temps réel, gestion de stock FEFO, IA de réapprovisionnement, marketplace B2B, financement, traçabilité anti-contrefaçon, télé-conseil encadré et interconnexion native à l’écosystème GSG (Ecclesias 360, AssoShop, TradeLink Africa, EduRéussite)</w:t>
            </w:r>
          </w:p>
        </w:tc>
        <w:tc>
          <w:tcPr/>
          <w:p>
            <w:pPr>
              <w:pStyle w:val="Compact"/>
              <w:jc w:val="left"/>
            </w:pPr>
            <w:r>
              <w:t xml:space="preserve">Position unique : seul acteur combinant les cinq piliers (patient, officine, grossiste, régulateur, écosystème SaaS) sur un socle technique partagé</w:t>
            </w:r>
          </w:p>
        </w:tc>
      </w:tr>
    </w:tbl>
    <w:p>
      <w:pPr>
        <w:pStyle w:val="BodyText"/>
      </w:pPr>
      <w:r>
        <w:t xml:space="preserve">Un enseignement transversal se dégage de ces benchmarks : les acteurs les plus valorisés sur le continent (mPharma, plus de 95 millions de dollars levés sur onze tours) ont construit leur croissance sur la confiance des officines plus que sur celle des patients — via le financement, la gestion de stock et la garantie d’authenticité. PharmaConnect doit donc traiter le tableau de bord officine (Module BIZ) et la traçabilité (Module TRC) comme des piliers aussi prioritaires que la recherche patient, plutôt que comme des fonctionnalités secondaires greffées à une application grand public.</w:t>
      </w:r>
    </w:p>
    <w:p>
      <w:pPr>
        <w:pStyle w:val="BodyText"/>
      </w:pPr>
      <w:r>
        <w:rPr>
          <w:bCs/>
          <w:b/>
        </w:rPr>
        <w:t xml:space="preserve">3.1 Fonctionnalités phares additionnelles retenues après recherche</w:t>
      </w:r>
    </w:p>
    <w:p>
      <w:pPr>
        <w:pStyle w:val="BodyText"/>
      </w:pPr>
      <w:r>
        <w:t xml:space="preserve">Au-delà du périmètre initial (recherche, stock, FEFO, alertes), l’analyse de la concurrence et des technologies disponibles conduit à intégrer six axes d’ambition supplémentaires, détaillés dans les modules correspondants :</w:t>
      </w:r>
    </w:p>
    <w:p>
      <w:pPr>
        <w:numPr>
          <w:ilvl w:val="0"/>
          <w:numId w:val="1003"/>
        </w:numPr>
      </w:pPr>
      <w:r>
        <w:rPr>
          <w:bCs/>
          <w:b/>
        </w:rPr>
        <w:t xml:space="preserve">Financement des officines (Module FIN) —</w:t>
      </w:r>
      <w:r>
        <w:rPr>
          <w:bCs/>
          <w:b/>
        </w:rPr>
        <w:t xml:space="preserve"> </w:t>
      </w:r>
      <w:r>
        <w:t xml:space="preserve">sur le modèle du crédit fournisseur pionnier de mPharma, pour lever le principal frein structurel à la disponibilité constatée sur le terrain.</w:t>
      </w:r>
    </w:p>
    <w:p>
      <w:pPr>
        <w:numPr>
          <w:ilvl w:val="0"/>
          <w:numId w:val="1003"/>
        </w:numPr>
      </w:pPr>
      <w:r>
        <w:rPr>
          <w:bCs/>
          <w:b/>
        </w:rPr>
        <w:t xml:space="preserve">Traçabilité renforcée et authentification portable (Module TRC) —</w:t>
      </w:r>
      <w:r>
        <w:rPr>
          <w:bCs/>
          <w:b/>
        </w:rPr>
        <w:t xml:space="preserve"> </w:t>
      </w:r>
      <w:r>
        <w:t xml:space="preserve">inspirée des scanners spectroscopiques de RxAll et des expérimentations de sérialisation par datamatrix, avec option d’ancrage sur registre partagé pour les produits à haut risque.</w:t>
      </w:r>
    </w:p>
    <w:p>
      <w:pPr>
        <w:numPr>
          <w:ilvl w:val="0"/>
          <w:numId w:val="1003"/>
        </w:numPr>
      </w:pPr>
      <w:r>
        <w:rPr>
          <w:bCs/>
          <w:b/>
        </w:rPr>
        <w:t xml:space="preserve">Marketplace B2B grossistes (Module B2B) —</w:t>
      </w:r>
      <w:r>
        <w:rPr>
          <w:bCs/>
          <w:b/>
        </w:rPr>
        <w:t xml:space="preserve"> </w:t>
      </w:r>
      <w:r>
        <w:t xml:space="preserve">sur le modèle de DrugStoc, pour fluidifier l’approvisionnement et réduire la dépendance aux circuits informels.</w:t>
      </w:r>
    </w:p>
    <w:p>
      <w:pPr>
        <w:numPr>
          <w:ilvl w:val="0"/>
          <w:numId w:val="1003"/>
        </w:numPr>
      </w:pPr>
      <w:r>
        <w:rPr>
          <w:bCs/>
          <w:b/>
        </w:rPr>
        <w:t xml:space="preserve">Prévision de la demande par intelligence artificielle (Module IA) —</w:t>
      </w:r>
      <w:r>
        <w:rPr>
          <w:bCs/>
          <w:b/>
        </w:rPr>
        <w:t xml:space="preserve"> </w:t>
      </w:r>
      <w:r>
        <w:t xml:space="preserve">au-delà des simples alertes, une recommandation de commande générée automatiquement à partir de l’historique de vente.</w:t>
      </w:r>
    </w:p>
    <w:p>
      <w:pPr>
        <w:numPr>
          <w:ilvl w:val="0"/>
          <w:numId w:val="1003"/>
        </w:numPr>
      </w:pPr>
      <w:r>
        <w:rPr>
          <w:bCs/>
          <w:b/>
        </w:rPr>
        <w:t xml:space="preserve">Réseau de prescripteurs et e-prescription (Module PRE) —</w:t>
      </w:r>
      <w:r>
        <w:rPr>
          <w:bCs/>
          <w:b/>
        </w:rPr>
        <w:t xml:space="preserve"> </w:t>
      </w:r>
      <w:r>
        <w:t xml:space="preserve">pour fermer la boucle entre prescription et dispensation, non couverte par la plupart des e-pharmacies existantes.</w:t>
      </w:r>
    </w:p>
    <w:p>
      <w:pPr>
        <w:numPr>
          <w:ilvl w:val="0"/>
          <w:numId w:val="1003"/>
        </w:numPr>
      </w:pPr>
      <w:r>
        <w:rPr>
          <w:bCs/>
          <w:b/>
        </w:rPr>
        <w:t xml:space="preserve">Module régulateur natif (Module REG) —</w:t>
      </w:r>
      <w:r>
        <w:rPr>
          <w:bCs/>
          <w:b/>
        </w:rPr>
        <w:t xml:space="preserve"> </w:t>
      </w:r>
      <w:r>
        <w:t xml:space="preserve">pour transformer la contrainte réglementaire en avantage concurrentiel via un partenariat institutionnel précoce avec la DNPM.</w:t>
      </w:r>
    </w:p>
    <w:p>
      <w:pPr>
        <w:pStyle w:val="FirstParagraph"/>
      </w:pPr>
      <w:r>
        <w:rPr>
          <w:bCs/>
          <w:b/>
        </w:rPr>
        <w:t xml:space="preserve">4. Personas et parties prenantes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Acteur</w:t>
            </w:r>
          </w:p>
        </w:tc>
        <w:tc>
          <w:tcPr/>
          <w:p>
            <w:pPr>
              <w:pStyle w:val="Compact"/>
              <w:jc w:val="left"/>
            </w:pPr>
            <w:r>
              <w:rPr>
                <w:bCs/>
                <w:b/>
              </w:rPr>
              <w:t xml:space="preserve">Objectifs principaux</w:t>
            </w:r>
          </w:p>
        </w:tc>
        <w:tc>
          <w:tcPr/>
          <w:p>
            <w:pPr>
              <w:pStyle w:val="Compact"/>
              <w:jc w:val="left"/>
            </w:pPr>
            <w:r>
              <w:rPr>
                <w:bCs/>
                <w:b/>
              </w:rPr>
              <w:t xml:space="preserve">Attentes clés</w:t>
            </w:r>
          </w:p>
        </w:tc>
      </w:tr>
      <w:tr>
        <w:tc>
          <w:tcPr/>
          <w:p>
            <w:pPr>
              <w:pStyle w:val="Compact"/>
              <w:jc w:val="left"/>
            </w:pPr>
            <w:r>
              <w:t xml:space="preserve">Patient / Aidant</w:t>
            </w:r>
          </w:p>
        </w:tc>
        <w:tc>
          <w:tcPr/>
          <w:p>
            <w:pPr>
              <w:pStyle w:val="Compact"/>
              <w:jc w:val="left"/>
            </w:pPr>
            <w:r>
              <w:t xml:space="preserve">Rechercher un produit disponible, comparer, réserver ou se faire livrer, suivre un traitement chronique</w:t>
            </w:r>
          </w:p>
        </w:tc>
        <w:tc>
          <w:tcPr/>
          <w:p>
            <w:pPr>
              <w:pStyle w:val="Compact"/>
              <w:jc w:val="left"/>
            </w:pPr>
            <w:r>
              <w:t xml:space="preserve">Fiabilité de la disponibilité affichée, simplicité, prix</w:t>
            </w:r>
          </w:p>
        </w:tc>
      </w:tr>
      <w:tr>
        <w:tc>
          <w:tcPr/>
          <w:p>
            <w:pPr>
              <w:pStyle w:val="Compact"/>
              <w:jc w:val="left"/>
            </w:pPr>
            <w:r>
              <w:t xml:space="preserve">Pharmacien titulaire</w:t>
            </w:r>
          </w:p>
        </w:tc>
        <w:tc>
          <w:tcPr/>
          <w:p>
            <w:pPr>
              <w:pStyle w:val="Compact"/>
              <w:jc w:val="left"/>
            </w:pPr>
            <w:r>
              <w:t xml:space="preserve">Piloter l’officine, sécuriser le stock, réduire les pertes, développer le chiffre d’affaires</w:t>
            </w:r>
          </w:p>
        </w:tc>
        <w:tc>
          <w:tcPr/>
          <w:p>
            <w:pPr>
              <w:pStyle w:val="Compact"/>
              <w:jc w:val="left"/>
            </w:pPr>
            <w:r>
              <w:t xml:space="preserve">Fiabilité, gain de temps, financement, conformité</w:t>
            </w:r>
          </w:p>
        </w:tc>
      </w:tr>
      <w:tr>
        <w:tc>
          <w:tcPr/>
          <w:p>
            <w:pPr>
              <w:pStyle w:val="Compact"/>
              <w:jc w:val="left"/>
            </w:pPr>
            <w:r>
              <w:t xml:space="preserve">Préparateur / Membre d’officine</w:t>
            </w:r>
          </w:p>
        </w:tc>
        <w:tc>
          <w:tcPr/>
          <w:p>
            <w:pPr>
              <w:pStyle w:val="Compact"/>
              <w:jc w:val="left"/>
            </w:pPr>
            <w:r>
              <w:t xml:space="preserve">Exécuter les opérations quotidiennes (vente, réception, inventaire)</w:t>
            </w:r>
          </w:p>
        </w:tc>
        <w:tc>
          <w:tcPr/>
          <w:p>
            <w:pPr>
              <w:pStyle w:val="Compact"/>
              <w:jc w:val="left"/>
            </w:pPr>
            <w:r>
              <w:t xml:space="preserve">Simplicité d’usage, rapidité de saisie</w:t>
            </w:r>
          </w:p>
        </w:tc>
      </w:tr>
      <w:tr>
        <w:tc>
          <w:tcPr/>
          <w:p>
            <w:pPr>
              <w:pStyle w:val="Compact"/>
              <w:jc w:val="left"/>
            </w:pPr>
            <w:r>
              <w:t xml:space="preserve">Grossiste-répartiteur</w:t>
            </w:r>
          </w:p>
        </w:tc>
        <w:tc>
          <w:tcPr/>
          <w:p>
            <w:pPr>
              <w:pStyle w:val="Compact"/>
              <w:jc w:val="left"/>
            </w:pPr>
            <w:r>
              <w:t xml:space="preserve">Vendre son catalogue, sécuriser ses paiements, fidéliser les officines</w:t>
            </w:r>
          </w:p>
        </w:tc>
        <w:tc>
          <w:tcPr/>
          <w:p>
            <w:pPr>
              <w:pStyle w:val="Compact"/>
              <w:jc w:val="left"/>
            </w:pPr>
            <w:r>
              <w:t xml:space="preserve">Visibilité de la demande, paiement garanti</w:t>
            </w:r>
          </w:p>
        </w:tc>
      </w:tr>
      <w:tr>
        <w:tc>
          <w:tcPr/>
          <w:p>
            <w:pPr>
              <w:pStyle w:val="Compact"/>
              <w:jc w:val="left"/>
            </w:pPr>
            <w:r>
              <w:t xml:space="preserve">Livreur</w:t>
            </w:r>
          </w:p>
        </w:tc>
        <w:tc>
          <w:tcPr/>
          <w:p>
            <w:pPr>
              <w:pStyle w:val="Compact"/>
              <w:jc w:val="left"/>
            </w:pPr>
            <w:r>
              <w:t xml:space="preserve">Exécuter les courses, être rémunéré rapidement</w:t>
            </w:r>
          </w:p>
        </w:tc>
        <w:tc>
          <w:tcPr/>
          <w:p>
            <w:pPr>
              <w:pStyle w:val="Compact"/>
              <w:jc w:val="left"/>
            </w:pPr>
            <w:r>
              <w:t xml:space="preserve">Itinéraires clairs, statut de course simple</w:t>
            </w:r>
          </w:p>
        </w:tc>
      </w:tr>
      <w:tr>
        <w:tc>
          <w:tcPr/>
          <w:p>
            <w:pPr>
              <w:pStyle w:val="Compact"/>
              <w:jc w:val="left"/>
            </w:pPr>
            <w:r>
              <w:t xml:space="preserve">Professionnel de santé prescripteur</w:t>
            </w:r>
          </w:p>
        </w:tc>
        <w:tc>
          <w:tcPr/>
          <w:p>
            <w:pPr>
              <w:pStyle w:val="Compact"/>
              <w:jc w:val="left"/>
            </w:pPr>
            <w:r>
              <w:t xml:space="preserve">Prescrire de façon fiable et suivre l’observance</w:t>
            </w:r>
          </w:p>
        </w:tc>
        <w:tc>
          <w:tcPr/>
          <w:p>
            <w:pPr>
              <w:pStyle w:val="Compact"/>
              <w:jc w:val="left"/>
            </w:pPr>
            <w:r>
              <w:t xml:space="preserve">Interopérabilité, gain de temps, sécurité juridique</w:t>
            </w:r>
          </w:p>
        </w:tc>
      </w:tr>
      <w:tr>
        <w:tc>
          <w:tcPr/>
          <w:p>
            <w:pPr>
              <w:pStyle w:val="Compact"/>
              <w:jc w:val="left"/>
            </w:pPr>
            <w:r>
              <w:t xml:space="preserve">Régulateur (DNPM / Ministère / Ordre)</w:t>
            </w:r>
          </w:p>
        </w:tc>
        <w:tc>
          <w:tcPr/>
          <w:p>
            <w:pPr>
              <w:pStyle w:val="Compact"/>
              <w:jc w:val="left"/>
            </w:pPr>
            <w:r>
              <w:t xml:space="preserve">Superviser le marché, diffuser les alertes, améliorer l’accès</w:t>
            </w:r>
          </w:p>
        </w:tc>
        <w:tc>
          <w:tcPr/>
          <w:p>
            <w:pPr>
              <w:pStyle w:val="Compact"/>
              <w:jc w:val="left"/>
            </w:pPr>
            <w:r>
              <w:t xml:space="preserve">Visibilité en temps réel, données agrégées fiables</w:t>
            </w:r>
          </w:p>
        </w:tc>
      </w:tr>
      <w:tr>
        <w:tc>
          <w:tcPr/>
          <w:p>
            <w:pPr>
              <w:pStyle w:val="Compact"/>
              <w:jc w:val="left"/>
            </w:pPr>
            <w:r>
              <w:t xml:space="preserve">Professionnel mobile (médecin, infirmier, sage-femme)</w:t>
            </w:r>
          </w:p>
        </w:tc>
        <w:tc>
          <w:tcPr/>
          <w:p>
            <w:pPr>
              <w:pStyle w:val="Compact"/>
              <w:jc w:val="left"/>
            </w:pPr>
            <w:r>
              <w:t xml:space="preserve">Recevoir des demandes pertinentes, se déplacer efficacement, être rémunéré équitablement</w:t>
            </w:r>
          </w:p>
        </w:tc>
        <w:tc>
          <w:tcPr/>
          <w:p>
            <w:pPr>
              <w:pStyle w:val="Compact"/>
              <w:jc w:val="left"/>
            </w:pPr>
            <w:r>
              <w:t xml:space="preserve">Périmètre d’actes clair, géolocalisation fiable, absence de conflit d’intérêts</w:t>
            </w:r>
          </w:p>
        </w:tc>
      </w:tr>
      <w:tr>
        <w:tc>
          <w:tcPr/>
          <w:p>
            <w:pPr>
              <w:pStyle w:val="Compact"/>
              <w:jc w:val="left"/>
            </w:pPr>
            <w:r>
              <w:t xml:space="preserve">Souscripteur diaspora / aidant familial</w:t>
            </w:r>
          </w:p>
        </w:tc>
        <w:tc>
          <w:tcPr/>
          <w:p>
            <w:pPr>
              <w:pStyle w:val="Compact"/>
              <w:jc w:val="left"/>
            </w:pPr>
            <w:r>
              <w:t xml:space="preserve">Financer et suivre à distance la santé d’un proche en Guinée</w:t>
            </w:r>
          </w:p>
        </w:tc>
        <w:tc>
          <w:tcPr/>
          <w:p>
            <w:pPr>
              <w:pStyle w:val="Compact"/>
              <w:jc w:val="left"/>
            </w:pPr>
            <w:r>
              <w:t xml:space="preserve">Paiement international simple, visibilité respectueuse du consentement du bénéficiaire</w:t>
            </w:r>
          </w:p>
        </w:tc>
      </w:tr>
      <w:tr>
        <w:tc>
          <w:tcPr/>
          <w:p>
            <w:pPr>
              <w:pStyle w:val="Compact"/>
              <w:jc w:val="left"/>
            </w:pPr>
            <w:r>
              <w:t xml:space="preserve">Administrateur GSG</w:t>
            </w:r>
          </w:p>
        </w:tc>
        <w:tc>
          <w:tcPr/>
          <w:p>
            <w:pPr>
              <w:pStyle w:val="Compact"/>
              <w:jc w:val="left"/>
            </w:pPr>
            <w:r>
              <w:t xml:space="preserve">Exploiter, modérer et faire évoluer la plateforme</w:t>
            </w:r>
          </w:p>
        </w:tc>
        <w:tc>
          <w:tcPr/>
          <w:p>
            <w:pPr>
              <w:pStyle w:val="Compact"/>
              <w:jc w:val="left"/>
            </w:pPr>
            <w:r>
              <w:t xml:space="preserve">Outils de pilotage centralisés, cohérence avec l’écosystème GSG</w:t>
            </w:r>
          </w:p>
        </w:tc>
      </w:tr>
    </w:tbl>
    <w:p>
      <w:pPr>
        <w:pStyle w:val="BodyText"/>
      </w:pPr>
      <w:r>
        <w:rPr>
          <w:bCs/>
          <w:b/>
        </w:rPr>
        <w:t xml:space="preserve">5. Architecture fonctionnelle d’ensemble</w:t>
      </w:r>
    </w:p>
    <w:p>
      <w:pPr>
        <w:pStyle w:val="BodyText"/>
      </w:pPr>
      <w:r>
        <w:t xml:space="preserve">Les 34 modules de PharmaConnect sont organisés en six axes fonctionnels, reflétant les trois branches produit (CONNECT PHARMA, CONNECT CARE, CONNECT SUPPLY) présentées en section 2.5, et cohérents avec la méthode déjà appliquée aux autres cahiers de conception du portefeuille GSG (axes fonctionnels d’Ecclesias 360, modules d’EduRéussite et de GlobalStock ERP).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Axe fonctionnel</w:t>
            </w:r>
          </w:p>
        </w:tc>
        <w:tc>
          <w:tcPr/>
          <w:p>
            <w:pPr>
              <w:pStyle w:val="Compact"/>
              <w:jc w:val="left"/>
            </w:pPr>
            <w:r>
              <w:rPr>
                <w:bCs/>
                <w:b/>
              </w:rPr>
              <w:t xml:space="preserve">Modules</w:t>
            </w:r>
          </w:p>
        </w:tc>
        <w:tc>
          <w:tcPr/>
          <w:p>
            <w:pPr>
              <w:pStyle w:val="Compact"/>
              <w:jc w:val="left"/>
            </w:pPr>
            <w:r>
              <w:rPr>
                <w:bCs/>
                <w:b/>
              </w:rPr>
              <w:t xml:space="preserve">Rôle</w:t>
            </w:r>
          </w:p>
        </w:tc>
      </w:tr>
      <w:tr>
        <w:tc>
          <w:tcPr/>
          <w:p>
            <w:pPr>
              <w:pStyle w:val="Compact"/>
              <w:jc w:val="left"/>
            </w:pPr>
            <w:r>
              <w:t xml:space="preserve">Axe 1 — Expérience patient (PHARMA)</w:t>
            </w:r>
          </w:p>
        </w:tc>
        <w:tc>
          <w:tcPr/>
          <w:p>
            <w:pPr>
              <w:pStyle w:val="Compact"/>
              <w:jc w:val="left"/>
            </w:pPr>
            <w:r>
              <w:t xml:space="preserve">AUT, REC, CAT, ORD, RES, LIV, PAY, CNS, FID</w:t>
            </w:r>
          </w:p>
        </w:tc>
        <w:tc>
          <w:tcPr/>
          <w:p>
            <w:pPr>
              <w:pStyle w:val="Compact"/>
              <w:jc w:val="left"/>
            </w:pPr>
            <w:r>
              <w:t xml:space="preserve">Du besoin exprimé à la dispensation, en confiance</w:t>
            </w:r>
          </w:p>
        </w:tc>
      </w:tr>
      <w:tr>
        <w:tc>
          <w:tcPr/>
          <w:p>
            <w:pPr>
              <w:pStyle w:val="Compact"/>
              <w:jc w:val="left"/>
            </w:pPr>
            <w:r>
              <w:t xml:space="preserve">Axe 2 — Opérations d’officine (PHARMA)</w:t>
            </w:r>
          </w:p>
        </w:tc>
        <w:tc>
          <w:tcPr/>
          <w:p>
            <w:pPr>
              <w:pStyle w:val="Compact"/>
              <w:jc w:val="left"/>
            </w:pPr>
            <w:r>
              <w:t xml:space="preserve">STK, BIZ, ALR, TRC, CHN</w:t>
            </w:r>
          </w:p>
        </w:tc>
        <w:tc>
          <w:tcPr/>
          <w:p>
            <w:pPr>
              <w:pStyle w:val="Compact"/>
              <w:jc w:val="left"/>
            </w:pPr>
            <w:r>
              <w:t xml:space="preserve">Piloter le stock, réduire les pertes, sécuriser l’authenticité</w:t>
            </w:r>
          </w:p>
        </w:tc>
      </w:tr>
      <w:tr>
        <w:tc>
          <w:tcPr/>
          <w:p>
            <w:pPr>
              <w:pStyle w:val="Compact"/>
              <w:jc w:val="left"/>
            </w:pPr>
            <w:r>
              <w:t xml:space="preserve">Axe 3 — Télémédecine &amp; soins à domicile (CARE)</w:t>
            </w:r>
          </w:p>
        </w:tc>
        <w:tc>
          <w:tcPr/>
          <w:p>
            <w:pPr>
              <w:pStyle w:val="Compact"/>
              <w:jc w:val="left"/>
            </w:pPr>
            <w:r>
              <w:t xml:space="preserve">TRI, HOM, INF, DSN, IOT, FAM, HOP, ASR</w:t>
            </w:r>
          </w:p>
        </w:tc>
        <w:tc>
          <w:tcPr/>
          <w:p>
            <w:pPr>
              <w:pStyle w:val="Compact"/>
              <w:jc w:val="left"/>
            </w:pPr>
            <w:r>
              <w:t xml:space="preserve">Trier, soigner à domicile, suivre dans la durée, sans se substituer à l’hôpital</w:t>
            </w:r>
          </w:p>
        </w:tc>
      </w:tr>
      <w:tr>
        <w:tc>
          <w:tcPr/>
          <w:p>
            <w:pPr>
              <w:pStyle w:val="Compact"/>
              <w:jc w:val="left"/>
            </w:pPr>
            <w:r>
              <w:t xml:space="preserve">Axe 4 — Intelligence &amp; approvisionnement (SUPPLY)</w:t>
            </w:r>
          </w:p>
        </w:tc>
        <w:tc>
          <w:tcPr/>
          <w:p>
            <w:pPr>
              <w:pStyle w:val="Compact"/>
              <w:jc w:val="left"/>
            </w:pPr>
            <w:r>
              <w:t xml:space="preserve">IA, B2B, FIN</w:t>
            </w:r>
          </w:p>
        </w:tc>
        <w:tc>
          <w:tcPr/>
          <w:p>
            <w:pPr>
              <w:pStyle w:val="Compact"/>
              <w:jc w:val="left"/>
            </w:pPr>
            <w:r>
              <w:t xml:space="preserve">Anticiper, acheter, financer</w:t>
            </w:r>
          </w:p>
        </w:tc>
      </w:tr>
      <w:tr>
        <w:tc>
          <w:tcPr/>
          <w:p>
            <w:pPr>
              <w:pStyle w:val="Compact"/>
              <w:jc w:val="left"/>
            </w:pPr>
            <w:r>
              <w:t xml:space="preserve">Axe 5 — Écosystème santé élargi</w:t>
            </w:r>
          </w:p>
        </w:tc>
        <w:tc>
          <w:tcPr/>
          <w:p>
            <w:pPr>
              <w:pStyle w:val="Compact"/>
              <w:jc w:val="left"/>
            </w:pPr>
            <w:r>
              <w:t xml:space="preserve">PRE, CSR, RCL, CLD</w:t>
            </w:r>
          </w:p>
        </w:tc>
        <w:tc>
          <w:tcPr/>
          <w:p>
            <w:pPr>
              <w:pStyle w:val="Compact"/>
              <w:jc w:val="left"/>
            </w:pPr>
            <w:r>
              <w:t xml:space="preserve">Connecter prescripteurs, solidarité et chaîne du froid</w:t>
            </w:r>
          </w:p>
        </w:tc>
      </w:tr>
      <w:tr>
        <w:tc>
          <w:tcPr/>
          <w:p>
            <w:pPr>
              <w:pStyle w:val="Compact"/>
              <w:jc w:val="left"/>
            </w:pPr>
            <w:r>
              <w:t xml:space="preserve">Axe 6 — Gouvernance, conformité &amp; pilotage</w:t>
            </w:r>
          </w:p>
        </w:tc>
        <w:tc>
          <w:tcPr/>
          <w:p>
            <w:pPr>
              <w:pStyle w:val="Compact"/>
              <w:jc w:val="left"/>
            </w:pPr>
            <w:r>
              <w:t xml:space="preserve">REG, BI, SAV, ADM, SEC</w:t>
            </w:r>
          </w:p>
        </w:tc>
        <w:tc>
          <w:tcPr/>
          <w:p>
            <w:pPr>
              <w:pStyle w:val="Compact"/>
              <w:jc w:val="left"/>
            </w:pPr>
            <w:r>
              <w:t xml:space="preserve">Superviser, mesurer, sécuriser</w:t>
            </w:r>
          </w:p>
        </w:tc>
      </w:tr>
    </w:tbl>
    <w:p>
      <w:pPr>
        <w:pStyle w:val="BodyText"/>
      </w:pPr>
      <w:r>
        <w:rPr>
          <w:bCs/>
          <w:b/>
        </w:rPr>
        <w:t xml:space="preserve">6. Modules fonctionnels détaillés</w:t>
      </w:r>
    </w:p>
    <w:p>
      <w:pPr>
        <w:pStyle w:val="BodyText"/>
      </w:pPr>
      <w:r>
        <w:t xml:space="preserve">Chaque module est décrit selon un format constant : objectif, fonctionnalités clés, écrans principaux et règles de gestion codifiées selon la notation RG-[CODE MODULE]-[NUMÉRO], conformément à la méthodologie retenue pour l’ensemble des cahiers de conception GSG.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N°</w:t>
            </w:r>
          </w:p>
        </w:tc>
        <w:tc>
          <w:tcPr/>
          <w:p>
            <w:pPr>
              <w:pStyle w:val="Compact"/>
              <w:jc w:val="left"/>
            </w:pPr>
            <w:r>
              <w:rPr>
                <w:bCs/>
                <w:b/>
              </w:rPr>
              <w:t xml:space="preserve">Code</w:t>
            </w:r>
          </w:p>
        </w:tc>
        <w:tc>
          <w:tcPr/>
          <w:p>
            <w:pPr>
              <w:pStyle w:val="Compact"/>
              <w:jc w:val="left"/>
            </w:pPr>
            <w:r>
              <w:rPr>
                <w:bCs/>
                <w:b/>
              </w:rPr>
              <w:t xml:space="preserve">Module</w:t>
            </w:r>
          </w:p>
        </w:tc>
        <w:tc>
          <w:tcPr/>
          <w:p>
            <w:pPr>
              <w:pStyle w:val="Compact"/>
              <w:jc w:val="left"/>
            </w:pPr>
            <w:r>
              <w:rPr>
                <w:bCs/>
                <w:b/>
              </w:rPr>
              <w:t xml:space="preserve">Priorité</w:t>
            </w:r>
          </w:p>
        </w:tc>
      </w:tr>
      <w:tr>
        <w:tc>
          <w:tcPr/>
          <w:p>
            <w:pPr>
              <w:pStyle w:val="Compact"/>
              <w:jc w:val="left"/>
            </w:pPr>
            <w:r>
              <w:t xml:space="preserve">1</w:t>
            </w:r>
          </w:p>
        </w:tc>
        <w:tc>
          <w:tcPr/>
          <w:p>
            <w:pPr>
              <w:pStyle w:val="Compact"/>
              <w:jc w:val="left"/>
            </w:pPr>
            <w:r>
              <w:t xml:space="preserve">AUT</w:t>
            </w:r>
          </w:p>
        </w:tc>
        <w:tc>
          <w:tcPr/>
          <w:p>
            <w:pPr>
              <w:pStyle w:val="Compact"/>
              <w:jc w:val="left"/>
            </w:pPr>
            <w:r>
              <w:t xml:space="preserve">Authentification &amp; Comptes multi-profils</w:t>
            </w:r>
          </w:p>
        </w:tc>
        <w:tc>
          <w:tcPr/>
          <w:p>
            <w:pPr>
              <w:pStyle w:val="Compact"/>
              <w:jc w:val="left"/>
            </w:pPr>
            <w:r>
              <w:t xml:space="preserve">Critique — Socle</w:t>
            </w:r>
          </w:p>
        </w:tc>
      </w:tr>
      <w:tr>
        <w:tc>
          <w:tcPr/>
          <w:p>
            <w:pPr>
              <w:pStyle w:val="Compact"/>
              <w:jc w:val="left"/>
            </w:pPr>
            <w:r>
              <w:t xml:space="preserve">2</w:t>
            </w:r>
          </w:p>
        </w:tc>
        <w:tc>
          <w:tcPr/>
          <w:p>
            <w:pPr>
              <w:pStyle w:val="Compact"/>
              <w:jc w:val="left"/>
            </w:pPr>
            <w:r>
              <w:t xml:space="preserve">REC</w:t>
            </w:r>
          </w:p>
        </w:tc>
        <w:tc>
          <w:tcPr/>
          <w:p>
            <w:pPr>
              <w:pStyle w:val="Compact"/>
              <w:jc w:val="left"/>
            </w:pPr>
            <w:r>
              <w:t xml:space="preserve">Recherche &amp; Disponibilité en temps réel</w:t>
            </w:r>
          </w:p>
        </w:tc>
        <w:tc>
          <w:tcPr/>
          <w:p>
            <w:pPr>
              <w:pStyle w:val="Compact"/>
              <w:jc w:val="left"/>
            </w:pPr>
            <w:r>
              <w:t xml:space="preserve">Critique — Cœur de valeur</w:t>
            </w:r>
          </w:p>
        </w:tc>
      </w:tr>
      <w:tr>
        <w:tc>
          <w:tcPr/>
          <w:p>
            <w:pPr>
              <w:pStyle w:val="Compact"/>
              <w:jc w:val="left"/>
            </w:pPr>
            <w:r>
              <w:t xml:space="preserve">3</w:t>
            </w:r>
          </w:p>
        </w:tc>
        <w:tc>
          <w:tcPr/>
          <w:p>
            <w:pPr>
              <w:pStyle w:val="Compact"/>
              <w:jc w:val="left"/>
            </w:pPr>
            <w:r>
              <w:t xml:space="preserve">CAT</w:t>
            </w:r>
          </w:p>
        </w:tc>
        <w:tc>
          <w:tcPr/>
          <w:p>
            <w:pPr>
              <w:pStyle w:val="Compact"/>
              <w:jc w:val="left"/>
            </w:pPr>
            <w:r>
              <w:t xml:space="preserve">Catalogue Produits &amp; Référentiel Médicaments</w:t>
            </w:r>
          </w:p>
        </w:tc>
        <w:tc>
          <w:tcPr/>
          <w:p>
            <w:pPr>
              <w:pStyle w:val="Compact"/>
              <w:jc w:val="left"/>
            </w:pPr>
            <w:r>
              <w:t xml:space="preserve">Critique — Socle</w:t>
            </w:r>
          </w:p>
        </w:tc>
      </w:tr>
      <w:tr>
        <w:tc>
          <w:tcPr/>
          <w:p>
            <w:pPr>
              <w:pStyle w:val="Compact"/>
              <w:jc w:val="left"/>
            </w:pPr>
            <w:r>
              <w:t xml:space="preserve">4</w:t>
            </w:r>
          </w:p>
        </w:tc>
        <w:tc>
          <w:tcPr/>
          <w:p>
            <w:pPr>
              <w:pStyle w:val="Compact"/>
              <w:jc w:val="left"/>
            </w:pPr>
            <w:r>
              <w:t xml:space="preserve">STK</w:t>
            </w:r>
          </w:p>
        </w:tc>
        <w:tc>
          <w:tcPr/>
          <w:p>
            <w:pPr>
              <w:pStyle w:val="Compact"/>
              <w:jc w:val="left"/>
            </w:pPr>
            <w:r>
              <w:t xml:space="preserve">Gestion des Stocks, Lots &amp; FEFO</w:t>
            </w:r>
          </w:p>
        </w:tc>
        <w:tc>
          <w:tcPr/>
          <w:p>
            <w:pPr>
              <w:pStyle w:val="Compact"/>
              <w:jc w:val="left"/>
            </w:pPr>
            <w:r>
              <w:t xml:space="preserve">Critique — Cœur métier</w:t>
            </w:r>
          </w:p>
        </w:tc>
      </w:tr>
      <w:tr>
        <w:tc>
          <w:tcPr/>
          <w:p>
            <w:pPr>
              <w:pStyle w:val="Compact"/>
              <w:jc w:val="left"/>
            </w:pPr>
            <w:r>
              <w:t xml:space="preserve">5</w:t>
            </w:r>
          </w:p>
        </w:tc>
        <w:tc>
          <w:tcPr/>
          <w:p>
            <w:pPr>
              <w:pStyle w:val="Compact"/>
              <w:jc w:val="left"/>
            </w:pPr>
            <w:r>
              <w:t xml:space="preserve">ORD</w:t>
            </w:r>
          </w:p>
        </w:tc>
        <w:tc>
          <w:tcPr/>
          <w:p>
            <w:pPr>
              <w:pStyle w:val="Compact"/>
              <w:jc w:val="left"/>
            </w:pPr>
            <w:r>
              <w:t xml:space="preserve">Ordonnances numériques &amp; Lecture assistée</w:t>
            </w:r>
          </w:p>
        </w:tc>
        <w:tc>
          <w:tcPr/>
          <w:p>
            <w:pPr>
              <w:pStyle w:val="Compact"/>
              <w:jc w:val="left"/>
            </w:pPr>
            <w:r>
              <w:t xml:space="preserve">Haute</w:t>
            </w:r>
          </w:p>
        </w:tc>
      </w:tr>
      <w:tr>
        <w:tc>
          <w:tcPr/>
          <w:p>
            <w:pPr>
              <w:pStyle w:val="Compact"/>
              <w:jc w:val="left"/>
            </w:pPr>
            <w:r>
              <w:t xml:space="preserve">6</w:t>
            </w:r>
          </w:p>
        </w:tc>
        <w:tc>
          <w:tcPr/>
          <w:p>
            <w:pPr>
              <w:pStyle w:val="Compact"/>
              <w:jc w:val="left"/>
            </w:pPr>
            <w:r>
              <w:t xml:space="preserve">RES</w:t>
            </w:r>
          </w:p>
        </w:tc>
        <w:tc>
          <w:tcPr/>
          <w:p>
            <w:pPr>
              <w:pStyle w:val="Compact"/>
              <w:jc w:val="left"/>
            </w:pPr>
            <w:r>
              <w:t xml:space="preserve">Réservation &amp; Retrait en officine (Click &amp; Collect)</w:t>
            </w:r>
          </w:p>
        </w:tc>
        <w:tc>
          <w:tcPr/>
          <w:p>
            <w:pPr>
              <w:pStyle w:val="Compact"/>
              <w:jc w:val="left"/>
            </w:pPr>
            <w:r>
              <w:t xml:space="preserve">Haute</w:t>
            </w:r>
          </w:p>
        </w:tc>
      </w:tr>
      <w:tr>
        <w:tc>
          <w:tcPr/>
          <w:p>
            <w:pPr>
              <w:pStyle w:val="Compact"/>
              <w:jc w:val="left"/>
            </w:pPr>
            <w:r>
              <w:t xml:space="preserve">7</w:t>
            </w:r>
          </w:p>
        </w:tc>
        <w:tc>
          <w:tcPr/>
          <w:p>
            <w:pPr>
              <w:pStyle w:val="Compact"/>
              <w:jc w:val="left"/>
            </w:pPr>
            <w:r>
              <w:t xml:space="preserve">LIV</w:t>
            </w:r>
          </w:p>
        </w:tc>
        <w:tc>
          <w:tcPr/>
          <w:p>
            <w:pPr>
              <w:pStyle w:val="Compact"/>
              <w:jc w:val="left"/>
            </w:pPr>
            <w:r>
              <w:t xml:space="preserve">Livraison &amp; Logistique du dernier kilomètre</w:t>
            </w:r>
          </w:p>
        </w:tc>
        <w:tc>
          <w:tcPr/>
          <w:p>
            <w:pPr>
              <w:pStyle w:val="Compact"/>
              <w:jc w:val="left"/>
            </w:pPr>
            <w:r>
              <w:t xml:space="preserve">Haute</w:t>
            </w:r>
          </w:p>
        </w:tc>
      </w:tr>
      <w:tr>
        <w:tc>
          <w:tcPr/>
          <w:p>
            <w:pPr>
              <w:pStyle w:val="Compact"/>
              <w:jc w:val="left"/>
            </w:pPr>
            <w:r>
              <w:t xml:space="preserve">8</w:t>
            </w:r>
          </w:p>
        </w:tc>
        <w:tc>
          <w:tcPr/>
          <w:p>
            <w:pPr>
              <w:pStyle w:val="Compact"/>
              <w:jc w:val="left"/>
            </w:pPr>
            <w:r>
              <w:t xml:space="preserve">PAY</w:t>
            </w:r>
          </w:p>
        </w:tc>
        <w:tc>
          <w:tcPr/>
          <w:p>
            <w:pPr>
              <w:pStyle w:val="Compact"/>
              <w:jc w:val="left"/>
            </w:pPr>
            <w:r>
              <w:t xml:space="preserve">Paiement, Mobile Money &amp; Portefeuille</w:t>
            </w:r>
          </w:p>
        </w:tc>
        <w:tc>
          <w:tcPr/>
          <w:p>
            <w:pPr>
              <w:pStyle w:val="Compact"/>
              <w:jc w:val="left"/>
            </w:pPr>
            <w:r>
              <w:t xml:space="preserve">Critique</w:t>
            </w:r>
          </w:p>
        </w:tc>
      </w:tr>
      <w:tr>
        <w:tc>
          <w:tcPr/>
          <w:p>
            <w:pPr>
              <w:pStyle w:val="Compact"/>
              <w:jc w:val="left"/>
            </w:pPr>
            <w:r>
              <w:t xml:space="preserve">9</w:t>
            </w:r>
          </w:p>
        </w:tc>
        <w:tc>
          <w:tcPr/>
          <w:p>
            <w:pPr>
              <w:pStyle w:val="Compact"/>
              <w:jc w:val="left"/>
            </w:pPr>
            <w:r>
              <w:t xml:space="preserve">BIZ</w:t>
            </w:r>
          </w:p>
        </w:tc>
        <w:tc>
          <w:tcPr/>
          <w:p>
            <w:pPr>
              <w:pStyle w:val="Compact"/>
              <w:jc w:val="left"/>
            </w:pPr>
            <w:r>
              <w:t xml:space="preserve">PharmaConnect Business — Tableau de bord Officine</w:t>
            </w:r>
          </w:p>
        </w:tc>
        <w:tc>
          <w:tcPr/>
          <w:p>
            <w:pPr>
              <w:pStyle w:val="Compact"/>
              <w:jc w:val="left"/>
            </w:pPr>
            <w:r>
              <w:t xml:space="preserve">Critique</w:t>
            </w:r>
          </w:p>
        </w:tc>
      </w:tr>
      <w:tr>
        <w:tc>
          <w:tcPr/>
          <w:p>
            <w:pPr>
              <w:pStyle w:val="Compact"/>
              <w:jc w:val="left"/>
            </w:pPr>
            <w:r>
              <w:t xml:space="preserve">10</w:t>
            </w:r>
          </w:p>
        </w:tc>
        <w:tc>
          <w:tcPr/>
          <w:p>
            <w:pPr>
              <w:pStyle w:val="Compact"/>
              <w:jc w:val="left"/>
            </w:pPr>
            <w:r>
              <w:t xml:space="preserve">ALR</w:t>
            </w:r>
          </w:p>
        </w:tc>
        <w:tc>
          <w:tcPr/>
          <w:p>
            <w:pPr>
              <w:pStyle w:val="Compact"/>
              <w:jc w:val="left"/>
            </w:pPr>
            <w:r>
              <w:t xml:space="preserve">Alertes intelligentes</w:t>
            </w:r>
          </w:p>
        </w:tc>
        <w:tc>
          <w:tcPr/>
          <w:p>
            <w:pPr>
              <w:pStyle w:val="Compact"/>
              <w:jc w:val="left"/>
            </w:pPr>
            <w:r>
              <w:t xml:space="preserve">Haute</w:t>
            </w:r>
          </w:p>
        </w:tc>
      </w:tr>
      <w:tr>
        <w:tc>
          <w:tcPr/>
          <w:p>
            <w:pPr>
              <w:pStyle w:val="Compact"/>
              <w:jc w:val="left"/>
            </w:pPr>
            <w:r>
              <w:t xml:space="preserve">11</w:t>
            </w:r>
          </w:p>
        </w:tc>
        <w:tc>
          <w:tcPr/>
          <w:p>
            <w:pPr>
              <w:pStyle w:val="Compact"/>
              <w:jc w:val="left"/>
            </w:pPr>
            <w:r>
              <w:t xml:space="preserve">IA</w:t>
            </w:r>
          </w:p>
        </w:tc>
        <w:tc>
          <w:tcPr/>
          <w:p>
            <w:pPr>
              <w:pStyle w:val="Compact"/>
              <w:jc w:val="left"/>
            </w:pPr>
            <w:r>
              <w:t xml:space="preserve">Prévision de la demande &amp; Réapprovisionnement assisté</w:t>
            </w:r>
          </w:p>
        </w:tc>
        <w:tc>
          <w:tcPr/>
          <w:p>
            <w:pPr>
              <w:pStyle w:val="Compact"/>
              <w:jc w:val="left"/>
            </w:pPr>
            <w:r>
              <w:t xml:space="preserve">Différenciant</w:t>
            </w:r>
          </w:p>
        </w:tc>
      </w:tr>
      <w:tr>
        <w:tc>
          <w:tcPr/>
          <w:p>
            <w:pPr>
              <w:pStyle w:val="Compact"/>
              <w:jc w:val="left"/>
            </w:pPr>
            <w:r>
              <w:t xml:space="preserve">12</w:t>
            </w:r>
          </w:p>
        </w:tc>
        <w:tc>
          <w:tcPr/>
          <w:p>
            <w:pPr>
              <w:pStyle w:val="Compact"/>
              <w:jc w:val="left"/>
            </w:pPr>
            <w:r>
              <w:t xml:space="preserve">TRC</w:t>
            </w:r>
          </w:p>
        </w:tc>
        <w:tc>
          <w:tcPr/>
          <w:p>
            <w:pPr>
              <w:pStyle w:val="Compact"/>
              <w:jc w:val="left"/>
            </w:pPr>
            <w:r>
              <w:t xml:space="preserve">Traçabilité &amp; Lutte contre les médicaments contrefaits</w:t>
            </w:r>
          </w:p>
        </w:tc>
        <w:tc>
          <w:tcPr/>
          <w:p>
            <w:pPr>
              <w:pStyle w:val="Compact"/>
              <w:jc w:val="left"/>
            </w:pPr>
            <w:r>
              <w:t xml:space="preserve">Différenciant — Critique confiance</w:t>
            </w:r>
          </w:p>
        </w:tc>
      </w:tr>
      <w:tr>
        <w:tc>
          <w:tcPr/>
          <w:p>
            <w:pPr>
              <w:pStyle w:val="Compact"/>
              <w:jc w:val="left"/>
            </w:pPr>
            <w:r>
              <w:t xml:space="preserve">13</w:t>
            </w:r>
          </w:p>
        </w:tc>
        <w:tc>
          <w:tcPr/>
          <w:p>
            <w:pPr>
              <w:pStyle w:val="Compact"/>
              <w:jc w:val="left"/>
            </w:pPr>
            <w:r>
              <w:t xml:space="preserve">B2B</w:t>
            </w:r>
          </w:p>
        </w:tc>
        <w:tc>
          <w:tcPr/>
          <w:p>
            <w:pPr>
              <w:pStyle w:val="Compact"/>
              <w:jc w:val="left"/>
            </w:pPr>
            <w:r>
              <w:t xml:space="preserve">Marketplace B2B Grossistes ↔ Pharmacies</w:t>
            </w:r>
          </w:p>
        </w:tc>
        <w:tc>
          <w:tcPr/>
          <w:p>
            <w:pPr>
              <w:pStyle w:val="Compact"/>
              <w:jc w:val="left"/>
            </w:pPr>
            <w:r>
              <w:t xml:space="preserve">Différenciant</w:t>
            </w:r>
          </w:p>
        </w:tc>
      </w:tr>
      <w:tr>
        <w:tc>
          <w:tcPr/>
          <w:p>
            <w:pPr>
              <w:pStyle w:val="Compact"/>
              <w:jc w:val="left"/>
            </w:pPr>
            <w:r>
              <w:t xml:space="preserve">14</w:t>
            </w:r>
          </w:p>
        </w:tc>
        <w:tc>
          <w:tcPr/>
          <w:p>
            <w:pPr>
              <w:pStyle w:val="Compact"/>
              <w:jc w:val="left"/>
            </w:pPr>
            <w:r>
              <w:t xml:space="preserve">FIN</w:t>
            </w:r>
          </w:p>
        </w:tc>
        <w:tc>
          <w:tcPr/>
          <w:p>
            <w:pPr>
              <w:pStyle w:val="Compact"/>
              <w:jc w:val="left"/>
            </w:pPr>
            <w:r>
              <w:t xml:space="preserve">Financement &amp; Crédit fournisseur pour officines</w:t>
            </w:r>
          </w:p>
        </w:tc>
        <w:tc>
          <w:tcPr/>
          <w:p>
            <w:pPr>
              <w:pStyle w:val="Compact"/>
              <w:jc w:val="left"/>
            </w:pPr>
            <w:r>
              <w:t xml:space="preserve">Différenciant</w:t>
            </w:r>
          </w:p>
        </w:tc>
      </w:tr>
      <w:tr>
        <w:tc>
          <w:tcPr/>
          <w:p>
            <w:pPr>
              <w:pStyle w:val="Compact"/>
              <w:jc w:val="left"/>
            </w:pPr>
            <w:r>
              <w:t xml:space="preserve">15</w:t>
            </w:r>
          </w:p>
        </w:tc>
        <w:tc>
          <w:tcPr/>
          <w:p>
            <w:pPr>
              <w:pStyle w:val="Compact"/>
              <w:jc w:val="left"/>
            </w:pPr>
            <w:r>
              <w:t xml:space="preserve">CNS</w:t>
            </w:r>
          </w:p>
        </w:tc>
        <w:tc>
          <w:tcPr/>
          <w:p>
            <w:pPr>
              <w:pStyle w:val="Compact"/>
              <w:jc w:val="left"/>
            </w:pPr>
            <w:r>
              <w:t xml:space="preserve">Télé-conseil pharmaceutique &amp; Orientation (non-diagnostic)</w:t>
            </w:r>
          </w:p>
        </w:tc>
        <w:tc>
          <w:tcPr/>
          <w:p>
            <w:pPr>
              <w:pStyle w:val="Compact"/>
              <w:jc w:val="left"/>
            </w:pPr>
            <w:r>
              <w:t xml:space="preserve">Haute</w:t>
            </w:r>
          </w:p>
        </w:tc>
      </w:tr>
      <w:tr>
        <w:tc>
          <w:tcPr/>
          <w:p>
            <w:pPr>
              <w:pStyle w:val="Compact"/>
              <w:jc w:val="left"/>
            </w:pPr>
            <w:r>
              <w:t xml:space="preserve">16</w:t>
            </w:r>
          </w:p>
        </w:tc>
        <w:tc>
          <w:tcPr/>
          <w:p>
            <w:pPr>
              <w:pStyle w:val="Compact"/>
              <w:jc w:val="left"/>
            </w:pPr>
            <w:r>
              <w:t xml:space="preserve">FID</w:t>
            </w:r>
          </w:p>
        </w:tc>
        <w:tc>
          <w:tcPr/>
          <w:p>
            <w:pPr>
              <w:pStyle w:val="Compact"/>
              <w:jc w:val="left"/>
            </w:pPr>
            <w:r>
              <w:t xml:space="preserve">Fidélité &amp; Suivi des traitements chroniques</w:t>
            </w:r>
          </w:p>
        </w:tc>
        <w:tc>
          <w:tcPr/>
          <w:p>
            <w:pPr>
              <w:pStyle w:val="Compact"/>
              <w:jc w:val="left"/>
            </w:pPr>
            <w:r>
              <w:t xml:space="preserve">Standard</w:t>
            </w:r>
          </w:p>
        </w:tc>
      </w:tr>
      <w:tr>
        <w:tc>
          <w:tcPr/>
          <w:p>
            <w:pPr>
              <w:pStyle w:val="Compact"/>
              <w:jc w:val="left"/>
            </w:pPr>
            <w:r>
              <w:t xml:space="preserve">17</w:t>
            </w:r>
          </w:p>
        </w:tc>
        <w:tc>
          <w:tcPr/>
          <w:p>
            <w:pPr>
              <w:pStyle w:val="Compact"/>
              <w:jc w:val="left"/>
            </w:pPr>
            <w:r>
              <w:t xml:space="preserve">TRI</w:t>
            </w:r>
          </w:p>
        </w:tc>
        <w:tc>
          <w:tcPr/>
          <w:p>
            <w:pPr>
              <w:pStyle w:val="Compact"/>
              <w:jc w:val="left"/>
            </w:pPr>
            <w:r>
              <w:t xml:space="preserve">Triage &amp; Orientation d’urgence</w:t>
            </w:r>
          </w:p>
        </w:tc>
        <w:tc>
          <w:tcPr/>
          <w:p>
            <w:pPr>
              <w:pStyle w:val="Compact"/>
              <w:jc w:val="left"/>
            </w:pPr>
            <w:r>
              <w:t xml:space="preserve">Critique — Garde-fou médical</w:t>
            </w:r>
          </w:p>
        </w:tc>
      </w:tr>
      <w:tr>
        <w:tc>
          <w:tcPr/>
          <w:p>
            <w:pPr>
              <w:pStyle w:val="Compact"/>
              <w:jc w:val="left"/>
            </w:pPr>
            <w:r>
              <w:t xml:space="preserve">18</w:t>
            </w:r>
          </w:p>
        </w:tc>
        <w:tc>
          <w:tcPr/>
          <w:p>
            <w:pPr>
              <w:pStyle w:val="Compact"/>
              <w:jc w:val="left"/>
            </w:pPr>
            <w:r>
              <w:t xml:space="preserve">HOM</w:t>
            </w:r>
          </w:p>
        </w:tc>
        <w:tc>
          <w:tcPr/>
          <w:p>
            <w:pPr>
              <w:pStyle w:val="Compact"/>
              <w:jc w:val="left"/>
            </w:pPr>
            <w:r>
              <w:t xml:space="preserve">PharmaConnect HomeCare — Consultation &amp; Soins à domicile</w:t>
            </w:r>
          </w:p>
        </w:tc>
        <w:tc>
          <w:tcPr/>
          <w:p>
            <w:pPr>
              <w:pStyle w:val="Compact"/>
              <w:jc w:val="left"/>
            </w:pPr>
            <w:r>
              <w:t xml:space="preserve">Différenciant — Flagship CARE</w:t>
            </w:r>
          </w:p>
        </w:tc>
      </w:tr>
      <w:tr>
        <w:tc>
          <w:tcPr/>
          <w:p>
            <w:pPr>
              <w:pStyle w:val="Compact"/>
              <w:jc w:val="left"/>
            </w:pPr>
            <w:r>
              <w:t xml:space="preserve">19</w:t>
            </w:r>
          </w:p>
        </w:tc>
        <w:tc>
          <w:tcPr/>
          <w:p>
            <w:pPr>
              <w:pStyle w:val="Compact"/>
              <w:jc w:val="left"/>
            </w:pPr>
            <w:r>
              <w:t xml:space="preserve">INF</w:t>
            </w:r>
          </w:p>
        </w:tc>
        <w:tc>
          <w:tcPr/>
          <w:p>
            <w:pPr>
              <w:pStyle w:val="Compact"/>
              <w:jc w:val="left"/>
            </w:pPr>
            <w:r>
              <w:t xml:space="preserve">Réseau de professionnels mobiles (médecins, infirmiers, sages-femmes)</w:t>
            </w:r>
          </w:p>
        </w:tc>
        <w:tc>
          <w:tcPr/>
          <w:p>
            <w:pPr>
              <w:pStyle w:val="Compact"/>
              <w:jc w:val="left"/>
            </w:pPr>
            <w:r>
              <w:t xml:space="preserve">Critique — Socle CARE</w:t>
            </w:r>
          </w:p>
        </w:tc>
      </w:tr>
      <w:tr>
        <w:tc>
          <w:tcPr/>
          <w:p>
            <w:pPr>
              <w:pStyle w:val="Compact"/>
              <w:jc w:val="left"/>
            </w:pPr>
            <w:r>
              <w:t xml:space="preserve">20</w:t>
            </w:r>
          </w:p>
        </w:tc>
        <w:tc>
          <w:tcPr/>
          <w:p>
            <w:pPr>
              <w:pStyle w:val="Compact"/>
              <w:jc w:val="left"/>
            </w:pPr>
            <w:r>
              <w:t xml:space="preserve">DSN</w:t>
            </w:r>
          </w:p>
        </w:tc>
        <w:tc>
          <w:tcPr/>
          <w:p>
            <w:pPr>
              <w:pStyle w:val="Compact"/>
              <w:jc w:val="left"/>
            </w:pPr>
            <w:r>
              <w:t xml:space="preserve">Dossier de Santé Numérique Longitudinal</w:t>
            </w:r>
          </w:p>
        </w:tc>
        <w:tc>
          <w:tcPr/>
          <w:p>
            <w:pPr>
              <w:pStyle w:val="Compact"/>
              <w:jc w:val="left"/>
            </w:pPr>
            <w:r>
              <w:t xml:space="preserve">Différenciant — Valeur long terme</w:t>
            </w:r>
          </w:p>
        </w:tc>
      </w:tr>
      <w:tr>
        <w:tc>
          <w:tcPr/>
          <w:p>
            <w:pPr>
              <w:pStyle w:val="Compact"/>
              <w:jc w:val="left"/>
            </w:pPr>
            <w:r>
              <w:t xml:space="preserve">21</w:t>
            </w:r>
          </w:p>
        </w:tc>
        <w:tc>
          <w:tcPr/>
          <w:p>
            <w:pPr>
              <w:pStyle w:val="Compact"/>
              <w:jc w:val="left"/>
            </w:pPr>
            <w:r>
              <w:t xml:space="preserve">IOT</w:t>
            </w:r>
          </w:p>
        </w:tc>
        <w:tc>
          <w:tcPr/>
          <w:p>
            <w:pPr>
              <w:pStyle w:val="Compact"/>
              <w:jc w:val="left"/>
            </w:pPr>
            <w:r>
              <w:t xml:space="preserve">Télésuivi &amp; Objets médicaux connectés</w:t>
            </w:r>
          </w:p>
        </w:tc>
        <w:tc>
          <w:tcPr/>
          <w:p>
            <w:pPr>
              <w:pStyle w:val="Compact"/>
              <w:jc w:val="left"/>
            </w:pPr>
            <w:r>
              <w:t xml:space="preserve">Différenciant</w:t>
            </w:r>
          </w:p>
        </w:tc>
      </w:tr>
      <w:tr>
        <w:tc>
          <w:tcPr/>
          <w:p>
            <w:pPr>
              <w:pStyle w:val="Compact"/>
              <w:jc w:val="left"/>
            </w:pPr>
            <w:r>
              <w:t xml:space="preserve">22</w:t>
            </w:r>
          </w:p>
        </w:tc>
        <w:tc>
          <w:tcPr/>
          <w:p>
            <w:pPr>
              <w:pStyle w:val="Compact"/>
              <w:jc w:val="left"/>
            </w:pPr>
            <w:r>
              <w:t xml:space="preserve">FAM</w:t>
            </w:r>
          </w:p>
        </w:tc>
        <w:tc>
          <w:tcPr/>
          <w:p>
            <w:pPr>
              <w:pStyle w:val="Compact"/>
              <w:jc w:val="left"/>
            </w:pPr>
            <w:r>
              <w:t xml:space="preserve">PharmaConnect Family &amp; Diaspora</w:t>
            </w:r>
          </w:p>
        </w:tc>
        <w:tc>
          <w:tcPr/>
          <w:p>
            <w:pPr>
              <w:pStyle w:val="Compact"/>
              <w:jc w:val="left"/>
            </w:pPr>
            <w:r>
              <w:t xml:space="preserve">Différenciant — Marché diaspora</w:t>
            </w:r>
          </w:p>
        </w:tc>
      </w:tr>
      <w:tr>
        <w:tc>
          <w:tcPr/>
          <w:p>
            <w:pPr>
              <w:pStyle w:val="Compact"/>
              <w:jc w:val="left"/>
            </w:pPr>
            <w:r>
              <w:t xml:space="preserve">23</w:t>
            </w:r>
          </w:p>
        </w:tc>
        <w:tc>
          <w:tcPr/>
          <w:p>
            <w:pPr>
              <w:pStyle w:val="Compact"/>
              <w:jc w:val="left"/>
            </w:pPr>
            <w:r>
              <w:t xml:space="preserve">HOP</w:t>
            </w:r>
          </w:p>
        </w:tc>
        <w:tc>
          <w:tcPr/>
          <w:p>
            <w:pPr>
              <w:pStyle w:val="Compact"/>
              <w:jc w:val="left"/>
            </w:pPr>
            <w:r>
              <w:t xml:space="preserve">Intégration Hôpitaux, Laboratoires &amp; Imagerie</w:t>
            </w:r>
          </w:p>
        </w:tc>
        <w:tc>
          <w:tcPr/>
          <w:p>
            <w:pPr>
              <w:pStyle w:val="Compact"/>
              <w:jc w:val="left"/>
            </w:pPr>
            <w:r>
              <w:t xml:space="preserve">Différenciant — Parcours de soins</w:t>
            </w:r>
          </w:p>
        </w:tc>
      </w:tr>
      <w:tr>
        <w:tc>
          <w:tcPr/>
          <w:p>
            <w:pPr>
              <w:pStyle w:val="Compact"/>
              <w:jc w:val="left"/>
            </w:pPr>
            <w:r>
              <w:t xml:space="preserve">24</w:t>
            </w:r>
          </w:p>
        </w:tc>
        <w:tc>
          <w:tcPr/>
          <w:p>
            <w:pPr>
              <w:pStyle w:val="Compact"/>
              <w:jc w:val="left"/>
            </w:pPr>
            <w:r>
              <w:t xml:space="preserve">ASR</w:t>
            </w:r>
          </w:p>
        </w:tc>
        <w:tc>
          <w:tcPr/>
          <w:p>
            <w:pPr>
              <w:pStyle w:val="Compact"/>
              <w:jc w:val="left"/>
            </w:pPr>
            <w:r>
              <w:t xml:space="preserve">Assurance santé &amp; Tiers-payant</w:t>
            </w:r>
          </w:p>
        </w:tc>
        <w:tc>
          <w:tcPr/>
          <w:p>
            <w:pPr>
              <w:pStyle w:val="Compact"/>
              <w:jc w:val="left"/>
            </w:pPr>
            <w:r>
              <w:t xml:space="preserve">Différenciant</w:t>
            </w:r>
          </w:p>
        </w:tc>
      </w:tr>
      <w:tr>
        <w:tc>
          <w:tcPr/>
          <w:p>
            <w:pPr>
              <w:pStyle w:val="Compact"/>
              <w:jc w:val="left"/>
            </w:pPr>
            <w:r>
              <w:t xml:space="preserve">25</w:t>
            </w:r>
          </w:p>
        </w:tc>
        <w:tc>
          <w:tcPr/>
          <w:p>
            <w:pPr>
              <w:pStyle w:val="Compact"/>
              <w:jc w:val="left"/>
            </w:pPr>
            <w:r>
              <w:t xml:space="preserve">PRE</w:t>
            </w:r>
          </w:p>
        </w:tc>
        <w:tc>
          <w:tcPr/>
          <w:p>
            <w:pPr>
              <w:pStyle w:val="Compact"/>
              <w:jc w:val="left"/>
            </w:pPr>
            <w:r>
              <w:t xml:space="preserve">Réseau de prescripteurs &amp; e-prescription</w:t>
            </w:r>
          </w:p>
        </w:tc>
        <w:tc>
          <w:tcPr/>
          <w:p>
            <w:pPr>
              <w:pStyle w:val="Compact"/>
              <w:jc w:val="left"/>
            </w:pPr>
            <w:r>
              <w:t xml:space="preserve">Différenciant</w:t>
            </w:r>
          </w:p>
        </w:tc>
      </w:tr>
      <w:tr>
        <w:tc>
          <w:tcPr/>
          <w:p>
            <w:pPr>
              <w:pStyle w:val="Compact"/>
              <w:jc w:val="left"/>
            </w:pPr>
            <w:r>
              <w:t xml:space="preserve">26</w:t>
            </w:r>
          </w:p>
        </w:tc>
        <w:tc>
          <w:tcPr/>
          <w:p>
            <w:pPr>
              <w:pStyle w:val="Compact"/>
              <w:jc w:val="left"/>
            </w:pPr>
            <w:r>
              <w:t xml:space="preserve">CHN</w:t>
            </w:r>
          </w:p>
        </w:tc>
        <w:tc>
          <w:tcPr/>
          <w:p>
            <w:pPr>
              <w:pStyle w:val="Compact"/>
              <w:jc w:val="left"/>
            </w:pPr>
            <w:r>
              <w:t xml:space="preserve">Gestion des chaînes &amp; multi-officines</w:t>
            </w:r>
          </w:p>
        </w:tc>
        <w:tc>
          <w:tcPr/>
          <w:p>
            <w:pPr>
              <w:pStyle w:val="Compact"/>
              <w:jc w:val="left"/>
            </w:pPr>
            <w:r>
              <w:t xml:space="preserve">Standard</w:t>
            </w:r>
          </w:p>
        </w:tc>
      </w:tr>
      <w:tr>
        <w:tc>
          <w:tcPr/>
          <w:p>
            <w:pPr>
              <w:pStyle w:val="Compact"/>
              <w:jc w:val="left"/>
            </w:pPr>
            <w:r>
              <w:t xml:space="preserve">27</w:t>
            </w:r>
          </w:p>
        </w:tc>
        <w:tc>
          <w:tcPr/>
          <w:p>
            <w:pPr>
              <w:pStyle w:val="Compact"/>
              <w:jc w:val="left"/>
            </w:pPr>
            <w:r>
              <w:t xml:space="preserve">REG</w:t>
            </w:r>
          </w:p>
        </w:tc>
        <w:tc>
          <w:tcPr/>
          <w:p>
            <w:pPr>
              <w:pStyle w:val="Compact"/>
              <w:jc w:val="left"/>
            </w:pPr>
            <w:r>
              <w:t xml:space="preserve">Module Régulateur &amp; Reporting Pharmacovigilance</w:t>
            </w:r>
          </w:p>
        </w:tc>
        <w:tc>
          <w:tcPr/>
          <w:p>
            <w:pPr>
              <w:pStyle w:val="Compact"/>
              <w:jc w:val="left"/>
            </w:pPr>
            <w:r>
              <w:t xml:space="preserve">Critique — Conformité</w:t>
            </w:r>
          </w:p>
        </w:tc>
      </w:tr>
      <w:tr>
        <w:tc>
          <w:tcPr/>
          <w:p>
            <w:pPr>
              <w:pStyle w:val="Compact"/>
              <w:jc w:val="left"/>
            </w:pPr>
            <w:r>
              <w:t xml:space="preserve">28</w:t>
            </w:r>
          </w:p>
        </w:tc>
        <w:tc>
          <w:tcPr/>
          <w:p>
            <w:pPr>
              <w:pStyle w:val="Compact"/>
              <w:jc w:val="left"/>
            </w:pPr>
            <w:r>
              <w:t xml:space="preserve">BI</w:t>
            </w:r>
          </w:p>
        </w:tc>
        <w:tc>
          <w:tcPr/>
          <w:p>
            <w:pPr>
              <w:pStyle w:val="Compact"/>
              <w:jc w:val="left"/>
            </w:pPr>
            <w:r>
              <w:t xml:space="preserve">Analytics &amp; Business Intelligence</w:t>
            </w:r>
          </w:p>
        </w:tc>
        <w:tc>
          <w:tcPr/>
          <w:p>
            <w:pPr>
              <w:pStyle w:val="Compact"/>
              <w:jc w:val="left"/>
            </w:pPr>
            <w:r>
              <w:t xml:space="preserve">Standard</w:t>
            </w:r>
          </w:p>
        </w:tc>
      </w:tr>
      <w:tr>
        <w:tc>
          <w:tcPr/>
          <w:p>
            <w:pPr>
              <w:pStyle w:val="Compact"/>
              <w:jc w:val="left"/>
            </w:pPr>
            <w:r>
              <w:t xml:space="preserve">29</w:t>
            </w:r>
          </w:p>
        </w:tc>
        <w:tc>
          <w:tcPr/>
          <w:p>
            <w:pPr>
              <w:pStyle w:val="Compact"/>
              <w:jc w:val="left"/>
            </w:pPr>
            <w:r>
              <w:t xml:space="preserve">CSR</w:t>
            </w:r>
          </w:p>
        </w:tc>
        <w:tc>
          <w:tcPr/>
          <w:p>
            <w:pPr>
              <w:pStyle w:val="Compact"/>
              <w:jc w:val="left"/>
            </w:pPr>
            <w:r>
              <w:t xml:space="preserve">Accès solidaire &amp; Programmes d’assistance</w:t>
            </w:r>
          </w:p>
        </w:tc>
        <w:tc>
          <w:tcPr/>
          <w:p>
            <w:pPr>
              <w:pStyle w:val="Compact"/>
              <w:jc w:val="left"/>
            </w:pPr>
            <w:r>
              <w:t xml:space="preserve">Impact social</w:t>
            </w:r>
          </w:p>
        </w:tc>
      </w:tr>
      <w:tr>
        <w:tc>
          <w:tcPr/>
          <w:p>
            <w:pPr>
              <w:pStyle w:val="Compact"/>
              <w:jc w:val="left"/>
            </w:pPr>
            <w:r>
              <w:t xml:space="preserve">30</w:t>
            </w:r>
          </w:p>
        </w:tc>
        <w:tc>
          <w:tcPr/>
          <w:p>
            <w:pPr>
              <w:pStyle w:val="Compact"/>
              <w:jc w:val="left"/>
            </w:pPr>
            <w:r>
              <w:t xml:space="preserve">RCL</w:t>
            </w:r>
          </w:p>
        </w:tc>
        <w:tc>
          <w:tcPr/>
          <w:p>
            <w:pPr>
              <w:pStyle w:val="Compact"/>
              <w:jc w:val="left"/>
            </w:pPr>
            <w:r>
              <w:t xml:space="preserve">Gestion des rappels de lots</w:t>
            </w:r>
          </w:p>
        </w:tc>
        <w:tc>
          <w:tcPr/>
          <w:p>
            <w:pPr>
              <w:pStyle w:val="Compact"/>
              <w:jc w:val="left"/>
            </w:pPr>
            <w:r>
              <w:t xml:space="preserve">Critique — Conformité</w:t>
            </w:r>
          </w:p>
        </w:tc>
      </w:tr>
      <w:tr>
        <w:tc>
          <w:tcPr/>
          <w:p>
            <w:pPr>
              <w:pStyle w:val="Compact"/>
              <w:jc w:val="left"/>
            </w:pPr>
            <w:r>
              <w:t xml:space="preserve">31</w:t>
            </w:r>
          </w:p>
        </w:tc>
        <w:tc>
          <w:tcPr/>
          <w:p>
            <w:pPr>
              <w:pStyle w:val="Compact"/>
              <w:jc w:val="left"/>
            </w:pPr>
            <w:r>
              <w:t xml:space="preserve">CLD</w:t>
            </w:r>
          </w:p>
        </w:tc>
        <w:tc>
          <w:tcPr/>
          <w:p>
            <w:pPr>
              <w:pStyle w:val="Compact"/>
              <w:jc w:val="left"/>
            </w:pPr>
            <w:r>
              <w:t xml:space="preserve">Chaîne du froid &amp; Produits thermosensibles</w:t>
            </w:r>
          </w:p>
        </w:tc>
        <w:tc>
          <w:tcPr/>
          <w:p>
            <w:pPr>
              <w:pStyle w:val="Compact"/>
              <w:jc w:val="left"/>
            </w:pPr>
            <w:r>
              <w:t xml:space="preserve">Différenciant</w:t>
            </w:r>
          </w:p>
        </w:tc>
      </w:tr>
      <w:tr>
        <w:tc>
          <w:tcPr/>
          <w:p>
            <w:pPr>
              <w:pStyle w:val="Compact"/>
              <w:jc w:val="left"/>
            </w:pPr>
            <w:r>
              <w:t xml:space="preserve">32</w:t>
            </w:r>
          </w:p>
        </w:tc>
        <w:tc>
          <w:tcPr/>
          <w:p>
            <w:pPr>
              <w:pStyle w:val="Compact"/>
              <w:jc w:val="left"/>
            </w:pPr>
            <w:r>
              <w:t xml:space="preserve">SAV</w:t>
            </w:r>
          </w:p>
        </w:tc>
        <w:tc>
          <w:tcPr/>
          <w:p>
            <w:pPr>
              <w:pStyle w:val="Compact"/>
              <w:jc w:val="left"/>
            </w:pPr>
            <w:r>
              <w:t xml:space="preserve">Support Client &amp; Service Après-Vente</w:t>
            </w:r>
          </w:p>
        </w:tc>
        <w:tc>
          <w:tcPr/>
          <w:p>
            <w:pPr>
              <w:pStyle w:val="Compact"/>
              <w:jc w:val="left"/>
            </w:pPr>
            <w:r>
              <w:t xml:space="preserve">Standard</w:t>
            </w:r>
          </w:p>
        </w:tc>
      </w:tr>
      <w:tr>
        <w:tc>
          <w:tcPr/>
          <w:p>
            <w:pPr>
              <w:pStyle w:val="Compact"/>
              <w:jc w:val="left"/>
            </w:pPr>
            <w:r>
              <w:t xml:space="preserve">33</w:t>
            </w:r>
          </w:p>
        </w:tc>
        <w:tc>
          <w:tcPr/>
          <w:p>
            <w:pPr>
              <w:pStyle w:val="Compact"/>
              <w:jc w:val="left"/>
            </w:pPr>
            <w:r>
              <w:t xml:space="preserve">ADM</w:t>
            </w:r>
          </w:p>
        </w:tc>
        <w:tc>
          <w:tcPr/>
          <w:p>
            <w:pPr>
              <w:pStyle w:val="Compact"/>
              <w:jc w:val="left"/>
            </w:pPr>
            <w:r>
              <w:t xml:space="preserve">Administration &amp; Back-office GSG</w:t>
            </w:r>
          </w:p>
        </w:tc>
        <w:tc>
          <w:tcPr/>
          <w:p>
            <w:pPr>
              <w:pStyle w:val="Compact"/>
              <w:jc w:val="left"/>
            </w:pPr>
            <w:r>
              <w:t xml:space="preserve">Critique — Socle</w:t>
            </w:r>
          </w:p>
        </w:tc>
      </w:tr>
      <w:tr>
        <w:tc>
          <w:tcPr/>
          <w:p>
            <w:pPr>
              <w:pStyle w:val="Compact"/>
              <w:jc w:val="left"/>
            </w:pPr>
            <w:r>
              <w:t xml:space="preserve">34</w:t>
            </w:r>
          </w:p>
        </w:tc>
        <w:tc>
          <w:tcPr/>
          <w:p>
            <w:pPr>
              <w:pStyle w:val="Compact"/>
              <w:jc w:val="left"/>
            </w:pPr>
            <w:r>
              <w:t xml:space="preserve">SEC</w:t>
            </w:r>
          </w:p>
        </w:tc>
        <w:tc>
          <w:tcPr/>
          <w:p>
            <w:pPr>
              <w:pStyle w:val="Compact"/>
              <w:jc w:val="left"/>
            </w:pPr>
            <w:r>
              <w:t xml:space="preserve">Sécurité, Conformité &amp; Protection des données de santé</w:t>
            </w:r>
          </w:p>
        </w:tc>
        <w:tc>
          <w:tcPr/>
          <w:p>
            <w:pPr>
              <w:pStyle w:val="Compact"/>
              <w:jc w:val="left"/>
            </w:pPr>
            <w:r>
              <w:t xml:space="preserve">Critique — Transverse</w:t>
            </w:r>
          </w:p>
        </w:tc>
      </w:tr>
    </w:tbl>
    <w:p>
      <w:pPr>
        <w:pStyle w:val="BodyText"/>
      </w:pPr>
      <w:r>
        <w:rPr>
          <w:bCs/>
          <w:b/>
        </w:rPr>
        <w:t xml:space="preserve">Module 1 — Authentification &amp;</w:t>
      </w:r>
      <w:r>
        <w:t xml:space="preserve">** Comptes multi-profils**</w:t>
      </w:r>
    </w:p>
    <w:p>
      <w:pPr>
        <w:pStyle w:val="BodyText"/>
      </w:pPr>
      <w:r>
        <w:rPr>
          <w:bCs/>
          <w:b/>
        </w:rPr>
        <w:t xml:space="preserve">Code module :</w:t>
      </w:r>
      <w:r>
        <w:rPr>
          <w:bCs/>
          <w:b/>
        </w:rPr>
        <w:t xml:space="preserve"> </w:t>
      </w:r>
      <w:r>
        <w:t xml:space="preserve">AUT** | Priorité : **Critique — Socle</w:t>
      </w:r>
    </w:p>
    <w:p>
      <w:pPr>
        <w:pStyle w:val="BodyText"/>
      </w:pPr>
      <w:r>
        <w:rPr>
          <w:bCs/>
          <w:b/>
        </w:rPr>
        <w:t xml:space="preserve">Objectif</w:t>
      </w:r>
    </w:p>
    <w:p>
      <w:pPr>
        <w:pStyle w:val="BodyText"/>
      </w:pPr>
      <w:r>
        <w:t xml:space="preserve">Permettre à chaque catégorie d’acteur (patient, pharmacien titulaire, préparateur, grossiste, livreur, professionnel de santé, régulateur) de s’inscrire, de s’authentifier et d’accéder à un espace adapté à son rôle, avec un niveau de vérification proportionné aux enjeux (KYC renforcé pour les officines et grossistes).</w:t>
      </w:r>
    </w:p>
    <w:p>
      <w:pPr>
        <w:pStyle w:val="BodyText"/>
      </w:pPr>
      <w:r>
        <w:rPr>
          <w:bCs/>
          <w:b/>
        </w:rPr>
        <w:t xml:space="preserve">Fonctionnalités clés</w:t>
      </w:r>
    </w:p>
    <w:p>
      <w:pPr>
        <w:numPr>
          <w:ilvl w:val="0"/>
          <w:numId w:val="1004"/>
        </w:numPr>
      </w:pPr>
      <w:r>
        <w:t xml:space="preserve">Inscription patient par numéro de téléphone (OTP SMS) avec option email, alignée sur l’authentification WhatsApp-first déjà retenue pour Ecclesias 360</w:t>
      </w:r>
    </w:p>
    <w:p>
      <w:pPr>
        <w:numPr>
          <w:ilvl w:val="0"/>
          <w:numId w:val="1004"/>
        </w:numPr>
      </w:pPr>
      <w:r>
        <w:t xml:space="preserve">Inscription pharmacie avec vérification de la licence d’exploitation, du numéro RCCM et de l’autorisation d’ouverture délivrée par le Ministère de la Santé</w:t>
      </w:r>
    </w:p>
    <w:p>
      <w:pPr>
        <w:numPr>
          <w:ilvl w:val="0"/>
          <w:numId w:val="1004"/>
        </w:numPr>
      </w:pPr>
      <w:r>
        <w:t xml:space="preserve">Gestion des rôles multiples au sein d’une officine (titulaire, pharmacien adjoint, préparateur, caissier) avec permissions différenciées</w:t>
      </w:r>
    </w:p>
    <w:p>
      <w:pPr>
        <w:numPr>
          <w:ilvl w:val="0"/>
          <w:numId w:val="1004"/>
        </w:numPr>
      </w:pPr>
      <w:r>
        <w:t xml:space="preserve">Authentification forte (2FA) obligatoire pour les comptes pharmacie, grossiste et administrateur</w:t>
      </w:r>
    </w:p>
    <w:p>
      <w:pPr>
        <w:numPr>
          <w:ilvl w:val="0"/>
          <w:numId w:val="1004"/>
        </w:numPr>
      </w:pPr>
      <w:r>
        <w:t xml:space="preserve">Connexion unique (SSO) via GSG ID pour les utilisateurs déjà inscrits sur un autre produit du portefeuille GSG</w:t>
      </w:r>
    </w:p>
    <w:p>
      <w:pPr>
        <w:pStyle w:val="FirstParagraph"/>
      </w:pPr>
      <w:r>
        <w:rPr>
          <w:bCs/>
          <w:b/>
        </w:rPr>
        <w:t xml:space="preserve">Écrans principaux</w:t>
      </w:r>
    </w:p>
    <w:p>
      <w:pPr>
        <w:numPr>
          <w:ilvl w:val="0"/>
          <w:numId w:val="1005"/>
        </w:numPr>
      </w:pPr>
      <w:r>
        <w:t xml:space="preserve">Écran de connexion / inscription</w:t>
      </w:r>
    </w:p>
    <w:p>
      <w:pPr>
        <w:numPr>
          <w:ilvl w:val="0"/>
          <w:numId w:val="1005"/>
        </w:numPr>
      </w:pPr>
      <w:r>
        <w:t xml:space="preserve">Vérification OTP</w:t>
      </w:r>
    </w:p>
    <w:p>
      <w:pPr>
        <w:numPr>
          <w:ilvl w:val="0"/>
          <w:numId w:val="1005"/>
        </w:numPr>
      </w:pPr>
      <w:r>
        <w:t xml:space="preserve">Sélection du profil (patient / pharmacie / grossiste / livreur)</w:t>
      </w:r>
    </w:p>
    <w:p>
      <w:pPr>
        <w:numPr>
          <w:ilvl w:val="0"/>
          <w:numId w:val="1005"/>
        </w:numPr>
      </w:pPr>
      <w:r>
        <w:t xml:space="preserve">Téléversement des documents d’agrément (pharmacie)</w:t>
      </w:r>
    </w:p>
    <w:p>
      <w:pPr>
        <w:numPr>
          <w:ilvl w:val="0"/>
          <w:numId w:val="1005"/>
        </w:numPr>
      </w:pPr>
      <w:r>
        <w:t xml:space="preserve">Gestion des membres de l’officine et de leurs droits</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RG-AUT-01</w:t>
            </w:r>
          </w:p>
        </w:tc>
        <w:tc>
          <w:tcPr/>
          <w:p>
            <w:pPr>
              <w:pStyle w:val="Compact"/>
              <w:jc w:val="left"/>
            </w:pPr>
            <w:r>
              <w:t xml:space="preserve">Un compte pharmacie ne peut être activé qu’après vérification manuelle ou automatisée du numéro de licence auprès du référentiel de la Direction Nationale de la Pharmacie et du Médicament (DNPM).</w:t>
            </w:r>
          </w:p>
        </w:tc>
        <w:tc>
          <w:tcPr/>
          <w:p>
            <w:pPr>
              <w:pStyle w:val="Compact"/>
              <w:jc w:val="left"/>
            </w:pPr>
            <w:r>
              <w:t xml:space="preserve">Critique</w:t>
            </w:r>
          </w:p>
        </w:tc>
      </w:tr>
      <w:tr>
        <w:tc>
          <w:tcPr/>
          <w:p>
            <w:pPr>
              <w:pStyle w:val="Compact"/>
              <w:jc w:val="left"/>
            </w:pPr>
            <w:r>
              <w:t xml:space="preserve">RG-AUT-02</w:t>
            </w:r>
          </w:p>
        </w:tc>
        <w:tc>
          <w:tcPr/>
          <w:p>
            <w:pPr>
              <w:pStyle w:val="Compact"/>
              <w:jc w:val="left"/>
            </w:pPr>
            <w:r>
              <w:t xml:space="preserve">Un même numéro de téléphone ne peut être associé qu’à un seul compte patient actif.</w:t>
            </w:r>
          </w:p>
        </w:tc>
        <w:tc>
          <w:tcPr/>
          <w:p>
            <w:pPr>
              <w:pStyle w:val="Compact"/>
              <w:jc w:val="left"/>
            </w:pPr>
            <w:r>
              <w:t xml:space="preserve">Standard</w:t>
            </w:r>
          </w:p>
        </w:tc>
      </w:tr>
      <w:tr>
        <w:tc>
          <w:tcPr/>
          <w:p>
            <w:pPr>
              <w:pStyle w:val="Compact"/>
              <w:jc w:val="left"/>
            </w:pPr>
            <w:r>
              <w:t xml:space="preserve">RG-AUT-03</w:t>
            </w:r>
          </w:p>
        </w:tc>
        <w:tc>
          <w:tcPr/>
          <w:p>
            <w:pPr>
              <w:pStyle w:val="Compact"/>
              <w:jc w:val="left"/>
            </w:pPr>
            <w:r>
              <w:t xml:space="preserve">Toute action de dispensation, de modification de stock ou de validation d’ordonnance doit être tracée avec l’identifiant du membre d’officine connecté.</w:t>
            </w:r>
          </w:p>
        </w:tc>
        <w:tc>
          <w:tcPr/>
          <w:p>
            <w:pPr>
              <w:pStyle w:val="Compact"/>
              <w:jc w:val="left"/>
            </w:pPr>
            <w:r>
              <w:t xml:space="preserve">Critique</w:t>
            </w:r>
          </w:p>
        </w:tc>
      </w:tr>
      <w:tr>
        <w:tc>
          <w:tcPr/>
          <w:p>
            <w:pPr>
              <w:pStyle w:val="Compact"/>
              <w:jc w:val="left"/>
            </w:pPr>
            <w:r>
              <w:t xml:space="preserve">RG-AUT-04</w:t>
            </w:r>
          </w:p>
        </w:tc>
        <w:tc>
          <w:tcPr/>
          <w:p>
            <w:pPr>
              <w:pStyle w:val="Compact"/>
              <w:jc w:val="left"/>
            </w:pPr>
            <w:r>
              <w:t xml:space="preserve">Un compte pharmacie suspendu par un régulateur ou par l’administration GSG est immédiatement retiré des résultats de recherche patients.</w:t>
            </w:r>
          </w:p>
        </w:tc>
        <w:tc>
          <w:tcPr/>
          <w:p>
            <w:pPr>
              <w:pStyle w:val="Compact"/>
              <w:jc w:val="left"/>
            </w:pPr>
            <w:r>
              <w:t xml:space="preserve">Critique</w:t>
            </w:r>
          </w:p>
        </w:tc>
      </w:tr>
    </w:tbl>
    <w:p>
      <w:pPr>
        <w:pStyle w:val="BodyText"/>
      </w:pPr>
      <w:r>
        <w:rPr>
          <w:bCs/>
          <w:b/>
        </w:rPr>
        <w:t xml:space="preserve">Module 2 — Recherche &amp;</w:t>
      </w:r>
      <w:r>
        <w:t xml:space="preserve">** Disponibilité en temps réel**</w:t>
      </w:r>
    </w:p>
    <w:p>
      <w:pPr>
        <w:pStyle w:val="BodyText"/>
      </w:pPr>
      <w:r>
        <w:rPr>
          <w:bCs/>
          <w:b/>
        </w:rPr>
        <w:t xml:space="preserve">Code module :</w:t>
      </w:r>
      <w:r>
        <w:rPr>
          <w:bCs/>
          <w:b/>
        </w:rPr>
        <w:t xml:space="preserve"> </w:t>
      </w:r>
      <w:r>
        <w:t xml:space="preserve">REC** | Priorité : **Critique — Cœur de valeur</w:t>
      </w:r>
    </w:p>
    <w:p>
      <w:pPr>
        <w:pStyle w:val="BodyText"/>
      </w:pPr>
      <w:r>
        <w:rPr>
          <w:bCs/>
          <w:b/>
        </w:rPr>
        <w:t xml:space="preserve">Objectif</w:t>
      </w:r>
    </w:p>
    <w:p>
      <w:pPr>
        <w:pStyle w:val="BodyText"/>
      </w:pPr>
      <w:r>
        <w:t xml:space="preserve">Offrir au patient un moteur de recherche fiable qui indique, produit par produit, quelles pharmacies proches disposent réellement du stock, à quel prix indicatif et sous quel délai de retrait ou de livraison.</w:t>
      </w:r>
    </w:p>
    <w:p>
      <w:pPr>
        <w:pStyle w:val="BodyText"/>
      </w:pPr>
      <w:r>
        <w:rPr>
          <w:bCs/>
          <w:b/>
        </w:rPr>
        <w:t xml:space="preserve">Fonctionnalités clés</w:t>
      </w:r>
    </w:p>
    <w:p>
      <w:pPr>
        <w:numPr>
          <w:ilvl w:val="0"/>
          <w:numId w:val="1006"/>
        </w:numPr>
      </w:pPr>
      <w:r>
        <w:t xml:space="preserve">Recherche par nom commercial, dénomination commune internationale (DCI), classe thérapeutique ou photo de la boîte</w:t>
      </w:r>
    </w:p>
    <w:p>
      <w:pPr>
        <w:numPr>
          <w:ilvl w:val="0"/>
          <w:numId w:val="1006"/>
        </w:numPr>
      </w:pPr>
      <w:r>
        <w:t xml:space="preserve">Filtrage par distance, disponibilité immédiate, prix, pharmacie de garde et pharmacie ouverte 24h/24</w:t>
      </w:r>
    </w:p>
    <w:p>
      <w:pPr>
        <w:numPr>
          <w:ilvl w:val="0"/>
          <w:numId w:val="1006"/>
        </w:numPr>
      </w:pPr>
      <w:r>
        <w:t xml:space="preserve">Affichage d’alternatives génériques ou de dosages proches en cas de rupture</w:t>
      </w:r>
    </w:p>
    <w:p>
      <w:pPr>
        <w:numPr>
          <w:ilvl w:val="0"/>
          <w:numId w:val="1006"/>
        </w:numPr>
      </w:pPr>
      <w:r>
        <w:t xml:space="preserve">Carte interactive avec géolocalisation des officines partenaires et statut d’ouverture en temps réel</w:t>
      </w:r>
    </w:p>
    <w:p>
      <w:pPr>
        <w:numPr>
          <w:ilvl w:val="0"/>
          <w:numId w:val="1006"/>
        </w:numPr>
      </w:pPr>
      <w:r>
        <w:t xml:space="preserve">Recherche vocale et recherche simplifiée pour les utilisateurs peu alphabétisés, cohérente avec les contraintes d’accessibilité déjà retenues pour EduRéussite</w:t>
      </w:r>
    </w:p>
    <w:p>
      <w:pPr>
        <w:pStyle w:val="FirstParagraph"/>
      </w:pPr>
      <w:r>
        <w:rPr>
          <w:bCs/>
          <w:b/>
        </w:rPr>
        <w:t xml:space="preserve">Écrans principaux</w:t>
      </w:r>
    </w:p>
    <w:p>
      <w:pPr>
        <w:numPr>
          <w:ilvl w:val="0"/>
          <w:numId w:val="1007"/>
        </w:numPr>
      </w:pPr>
      <w:r>
        <w:t xml:space="preserve">Barre de recherche + suggestions</w:t>
      </w:r>
    </w:p>
    <w:p>
      <w:pPr>
        <w:numPr>
          <w:ilvl w:val="0"/>
          <w:numId w:val="1007"/>
        </w:numPr>
      </w:pPr>
      <w:r>
        <w:t xml:space="preserve">Résultats multi-pharmacies (tableau comparatif)</w:t>
      </w:r>
    </w:p>
    <w:p>
      <w:pPr>
        <w:numPr>
          <w:ilvl w:val="0"/>
          <w:numId w:val="1007"/>
        </w:numPr>
      </w:pPr>
      <w:r>
        <w:t xml:space="preserve">Fiche produit avec disponibilité par officine</w:t>
      </w:r>
    </w:p>
    <w:p>
      <w:pPr>
        <w:numPr>
          <w:ilvl w:val="0"/>
          <w:numId w:val="1007"/>
        </w:numPr>
      </w:pPr>
      <w:r>
        <w:t xml:space="preserve">Carte des pharmacies proches</w:t>
      </w:r>
    </w:p>
    <w:p>
      <w:pPr>
        <w:numPr>
          <w:ilvl w:val="0"/>
          <w:numId w:val="1007"/>
        </w:numPr>
      </w:pPr>
      <w:r>
        <w:t xml:space="preserve">Filtre pharmacies de garde</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RG-REC-01</w:t>
            </w:r>
          </w:p>
        </w:tc>
        <w:tc>
          <w:tcPr/>
          <w:p>
            <w:pPr>
              <w:pStyle w:val="Compact"/>
              <w:jc w:val="left"/>
            </w:pPr>
            <w:r>
              <w:t xml:space="preserve">Un résultat de disponibilité affiché au patient ne doit pas dater de plus de 24 heures sans synchronisation ; au-delà, le statut passe automatiquement à « à confirmer ».</w:t>
            </w:r>
          </w:p>
        </w:tc>
        <w:tc>
          <w:tcPr/>
          <w:p>
            <w:pPr>
              <w:pStyle w:val="Compact"/>
              <w:jc w:val="left"/>
            </w:pPr>
            <w:r>
              <w:t xml:space="preserve">Critique</w:t>
            </w:r>
          </w:p>
        </w:tc>
      </w:tr>
      <w:tr>
        <w:tc>
          <w:tcPr/>
          <w:p>
            <w:pPr>
              <w:pStyle w:val="Compact"/>
              <w:jc w:val="left"/>
            </w:pPr>
            <w:r>
              <w:t xml:space="preserve">RG-REC-02</w:t>
            </w:r>
          </w:p>
        </w:tc>
        <w:tc>
          <w:tcPr/>
          <w:p>
            <w:pPr>
              <w:pStyle w:val="Compact"/>
              <w:jc w:val="left"/>
            </w:pPr>
            <w:r>
              <w:t xml:space="preserve">Le prix affiché est indicatif tant que la pharmacie n’a pas confirmé la réservation ; le prix définitif est celui validé en officine.</w:t>
            </w:r>
          </w:p>
        </w:tc>
        <w:tc>
          <w:tcPr/>
          <w:p>
            <w:pPr>
              <w:pStyle w:val="Compact"/>
              <w:jc w:val="left"/>
            </w:pPr>
            <w:r>
              <w:t xml:space="preserve">Standard</w:t>
            </w:r>
          </w:p>
        </w:tc>
      </w:tr>
      <w:tr>
        <w:tc>
          <w:tcPr/>
          <w:p>
            <w:pPr>
              <w:pStyle w:val="Compact"/>
              <w:jc w:val="left"/>
            </w:pPr>
            <w:r>
              <w:t xml:space="preserve">RG-REC-03</w:t>
            </w:r>
          </w:p>
        </w:tc>
        <w:tc>
          <w:tcPr/>
          <w:p>
            <w:pPr>
              <w:pStyle w:val="Compact"/>
              <w:jc w:val="left"/>
            </w:pPr>
            <w:r>
              <w:t xml:space="preserve">Les pharmacies de garde affichées doivent correspondre au planning officiel communiqué par l’Ordre National des Pharmaciens ou la DNPM.</w:t>
            </w:r>
          </w:p>
        </w:tc>
        <w:tc>
          <w:tcPr/>
          <w:p>
            <w:pPr>
              <w:pStyle w:val="Compact"/>
              <w:jc w:val="left"/>
            </w:pPr>
            <w:r>
              <w:t xml:space="preserve">Critique</w:t>
            </w:r>
          </w:p>
        </w:tc>
      </w:tr>
    </w:tbl>
    <w:p>
      <w:pPr>
        <w:pStyle w:val="BodyText"/>
      </w:pPr>
      <w:r>
        <w:rPr>
          <w:bCs/>
          <w:b/>
        </w:rPr>
        <w:t xml:space="preserve">Module 3 — Catalogue Produits &amp;</w:t>
      </w:r>
      <w:r>
        <w:t xml:space="preserve">** Référentiel Médicaments**</w:t>
      </w:r>
    </w:p>
    <w:p>
      <w:pPr>
        <w:pStyle w:val="BodyText"/>
      </w:pPr>
      <w:r>
        <w:rPr>
          <w:bCs/>
          <w:b/>
        </w:rPr>
        <w:t xml:space="preserve">Code module :</w:t>
      </w:r>
      <w:r>
        <w:rPr>
          <w:bCs/>
          <w:b/>
        </w:rPr>
        <w:t xml:space="preserve"> </w:t>
      </w:r>
      <w:r>
        <w:t xml:space="preserve">CAT** | Priorité : **Critique — Socle</w:t>
      </w:r>
    </w:p>
    <w:p>
      <w:pPr>
        <w:pStyle w:val="BodyText"/>
      </w:pPr>
      <w:r>
        <w:rPr>
          <w:bCs/>
          <w:b/>
        </w:rPr>
        <w:t xml:space="preserve">Objectif</w:t>
      </w:r>
    </w:p>
    <w:p>
      <w:pPr>
        <w:pStyle w:val="BodyText"/>
      </w:pPr>
      <w:r>
        <w:t xml:space="preserve">Constituer un référentiel structurant, national puis régional, de tous les produits de santé (médicaments, dispositifs médicaux, parapharmacie), distinct du stock propre à chaque pharmacie, afin de garantir la cohérence des recherches et de la traçabilité.</w:t>
      </w:r>
    </w:p>
    <w:p>
      <w:pPr>
        <w:pStyle w:val="BodyText"/>
      </w:pPr>
      <w:r>
        <w:rPr>
          <w:bCs/>
          <w:b/>
        </w:rPr>
        <w:t xml:space="preserve">Fonctionnalités clés</w:t>
      </w:r>
    </w:p>
    <w:p>
      <w:pPr>
        <w:numPr>
          <w:ilvl w:val="0"/>
          <w:numId w:val="1008"/>
        </w:numPr>
      </w:pPr>
      <w:r>
        <w:t xml:space="preserve">Fiche produit normalisée : DCI, nom commercial, dosage, forme galénique, classe ATC, laboratoire, statut (générique/princeps), statut de prescription (libre, sous ordonnance, stupéfiant)</w:t>
      </w:r>
    </w:p>
    <w:p>
      <w:pPr>
        <w:numPr>
          <w:ilvl w:val="0"/>
          <w:numId w:val="1008"/>
        </w:numPr>
      </w:pPr>
      <w:r>
        <w:t xml:space="preserve">Rattachement de chaque produit à son autorisation de mise sur le marché (AMM) guinéenne lorsque disponible</w:t>
      </w:r>
    </w:p>
    <w:p>
      <w:pPr>
        <w:numPr>
          <w:ilvl w:val="0"/>
          <w:numId w:val="1008"/>
        </w:numPr>
      </w:pPr>
      <w:r>
        <w:t xml:space="preserve">Gestion des équivalences génériques et des substitutions autorisées</w:t>
      </w:r>
    </w:p>
    <w:p>
      <w:pPr>
        <w:numPr>
          <w:ilvl w:val="0"/>
          <w:numId w:val="1008"/>
        </w:numPr>
      </w:pPr>
      <w:r>
        <w:t xml:space="preserve">Import massif du référentiel via fichiers grossistes ou laboratoires, avec dédoublonnage automatique</w:t>
      </w:r>
    </w:p>
    <w:p>
      <w:pPr>
        <w:numPr>
          <w:ilvl w:val="0"/>
          <w:numId w:val="1008"/>
        </w:numPr>
      </w:pPr>
      <w:r>
        <w:t xml:space="preserve">Architecture pensée pour une extension multi-pays CEDEAO, sur le modèle du découplage référentiel structurel / contenu versionné déjà appliqué à EduRéussite</w:t>
      </w:r>
    </w:p>
    <w:p>
      <w:pPr>
        <w:pStyle w:val="FirstParagraph"/>
      </w:pPr>
      <w:r>
        <w:rPr>
          <w:bCs/>
          <w:b/>
        </w:rPr>
        <w:t xml:space="preserve">Écrans principaux</w:t>
      </w:r>
    </w:p>
    <w:p>
      <w:pPr>
        <w:numPr>
          <w:ilvl w:val="0"/>
          <w:numId w:val="1009"/>
        </w:numPr>
      </w:pPr>
      <w:r>
        <w:t xml:space="preserve">Fiche produit détaillée</w:t>
      </w:r>
    </w:p>
    <w:p>
      <w:pPr>
        <w:numPr>
          <w:ilvl w:val="0"/>
          <w:numId w:val="1009"/>
        </w:numPr>
      </w:pPr>
      <w:r>
        <w:t xml:space="preserve">Back-office de gestion du référentiel</w:t>
      </w:r>
    </w:p>
    <w:p>
      <w:pPr>
        <w:numPr>
          <w:ilvl w:val="0"/>
          <w:numId w:val="1009"/>
        </w:numPr>
      </w:pPr>
      <w:r>
        <w:t xml:space="preserve">Import/validation de catalogue fournisseur</w:t>
      </w:r>
    </w:p>
    <w:p>
      <w:pPr>
        <w:numPr>
          <w:ilvl w:val="0"/>
          <w:numId w:val="1009"/>
        </w:numPr>
      </w:pPr>
      <w:r>
        <w:t xml:space="preserve">Recherche avancée par classe thérapeutique</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RG-CAT-01</w:t>
            </w:r>
          </w:p>
        </w:tc>
        <w:tc>
          <w:tcPr/>
          <w:p>
            <w:pPr>
              <w:pStyle w:val="Compact"/>
              <w:jc w:val="left"/>
            </w:pPr>
            <w:r>
              <w:t xml:space="preserve">Le référentiel produit est unique et centralisé ; les pharmacies ne créent pas de fiches produit libres mais rattachent leur stock à une fiche existante ou soumettent une demande de création validée par un administrateur pharmaceutique GSG.</w:t>
            </w:r>
          </w:p>
        </w:tc>
        <w:tc>
          <w:tcPr/>
          <w:p>
            <w:pPr>
              <w:pStyle w:val="Compact"/>
              <w:jc w:val="left"/>
            </w:pPr>
            <w:r>
              <w:t xml:space="preserve">Critique</w:t>
            </w:r>
          </w:p>
        </w:tc>
      </w:tr>
      <w:tr>
        <w:tc>
          <w:tcPr/>
          <w:p>
            <w:pPr>
              <w:pStyle w:val="Compact"/>
              <w:jc w:val="left"/>
            </w:pPr>
            <w:r>
              <w:t xml:space="preserve">RG-CAT-02</w:t>
            </w:r>
          </w:p>
        </w:tc>
        <w:tc>
          <w:tcPr/>
          <w:p>
            <w:pPr>
              <w:pStyle w:val="Compact"/>
              <w:jc w:val="left"/>
            </w:pPr>
            <w:r>
              <w:t xml:space="preserve">Un produit classé stupéfiant ou psychotrope ne peut être affiché en disponibilité publique sans ordonnance valide associée.</w:t>
            </w:r>
          </w:p>
        </w:tc>
        <w:tc>
          <w:tcPr/>
          <w:p>
            <w:pPr>
              <w:pStyle w:val="Compact"/>
              <w:jc w:val="left"/>
            </w:pPr>
            <w:r>
              <w:t xml:space="preserve">Critique</w:t>
            </w:r>
          </w:p>
        </w:tc>
      </w:tr>
      <w:tr>
        <w:tc>
          <w:tcPr/>
          <w:p>
            <w:pPr>
              <w:pStyle w:val="Compact"/>
              <w:jc w:val="left"/>
            </w:pPr>
            <w:r>
              <w:t xml:space="preserve">RG-CAT-03</w:t>
            </w:r>
          </w:p>
        </w:tc>
        <w:tc>
          <w:tcPr/>
          <w:p>
            <w:pPr>
              <w:pStyle w:val="Compact"/>
              <w:jc w:val="left"/>
            </w:pPr>
            <w:r>
              <w:t xml:space="preserve">Toute modification du statut réglementaire d’un produit (retrait d’AMM, alerte sanitaire) est propagée automatiquement à toutes les fiches de stock qui y sont rattachées.</w:t>
            </w:r>
          </w:p>
        </w:tc>
        <w:tc>
          <w:tcPr/>
          <w:p>
            <w:pPr>
              <w:pStyle w:val="Compact"/>
              <w:jc w:val="left"/>
            </w:pPr>
            <w:r>
              <w:t xml:space="preserve">Critique</w:t>
            </w:r>
          </w:p>
        </w:tc>
      </w:tr>
    </w:tbl>
    <w:p>
      <w:pPr>
        <w:pStyle w:val="BodyText"/>
      </w:pPr>
      <w:r>
        <w:rPr>
          <w:bCs/>
          <w:b/>
        </w:rPr>
        <w:t xml:space="preserve">Module 4 — Gestion des Stocks, Lots &amp;</w:t>
      </w:r>
      <w:r>
        <w:t xml:space="preserve">** FEFO**</w:t>
      </w:r>
    </w:p>
    <w:p>
      <w:pPr>
        <w:pStyle w:val="BodyText"/>
      </w:pPr>
      <w:r>
        <w:rPr>
          <w:bCs/>
          <w:b/>
        </w:rPr>
        <w:t xml:space="preserve">Code module :</w:t>
      </w:r>
      <w:r>
        <w:rPr>
          <w:bCs/>
          <w:b/>
        </w:rPr>
        <w:t xml:space="preserve"> </w:t>
      </w:r>
      <w:r>
        <w:t xml:space="preserve">STK** | Priorité : **Critique — Cœur métier</w:t>
      </w:r>
    </w:p>
    <w:p>
      <w:pPr>
        <w:pStyle w:val="BodyText"/>
      </w:pPr>
      <w:r>
        <w:rPr>
          <w:bCs/>
          <w:b/>
        </w:rPr>
        <w:t xml:space="preserve">Objectif</w:t>
      </w:r>
    </w:p>
    <w:p>
      <w:pPr>
        <w:pStyle w:val="BodyText"/>
      </w:pPr>
      <w:r>
        <w:t xml:space="preserve">Fournir aux officines un outil de gestion de stock par lot, avec traçabilité complète (fabrication, péremption, fournisseur) et application automatique du principe FEFO (First Expired, First Out) pour limiter les pertes.</w:t>
      </w:r>
    </w:p>
    <w:p>
      <w:pPr>
        <w:pStyle w:val="BodyText"/>
      </w:pPr>
      <w:r>
        <w:rPr>
          <w:bCs/>
          <w:b/>
        </w:rPr>
        <w:t xml:space="preserve">Fonctionnalités clés</w:t>
      </w:r>
    </w:p>
    <w:p>
      <w:pPr>
        <w:numPr>
          <w:ilvl w:val="0"/>
          <w:numId w:val="1010"/>
        </w:numPr>
      </w:pPr>
      <w:r>
        <w:t xml:space="preserve">Fiche de lot : numéro de lot, date de fabrication, date de péremption, quantité, fournisseur, prix d’achat et de vente</w:t>
      </w:r>
    </w:p>
    <w:p>
      <w:pPr>
        <w:numPr>
          <w:ilvl w:val="0"/>
          <w:numId w:val="1010"/>
        </w:numPr>
      </w:pPr>
      <w:r>
        <w:t xml:space="preserve">Mouvements de stock automatisés : vente, réservation, réception, retour, casse, péremption, transfert inter-officines pour les chaînes</w:t>
      </w:r>
    </w:p>
    <w:p>
      <w:pPr>
        <w:numPr>
          <w:ilvl w:val="0"/>
          <w:numId w:val="1010"/>
        </w:numPr>
      </w:pPr>
      <w:r>
        <w:t xml:space="preserve">Moteur FEFO recommandant systématiquement la sortie du lot dont la péremption est la plus proche</w:t>
      </w:r>
    </w:p>
    <w:p>
      <w:pPr>
        <w:numPr>
          <w:ilvl w:val="0"/>
          <w:numId w:val="1010"/>
        </w:numPr>
      </w:pPr>
      <w:r>
        <w:t xml:space="preserve">Inventaire assisté avec scan code-barres / datamatrix et réconciliation des écarts</w:t>
      </w:r>
    </w:p>
    <w:p>
      <w:pPr>
        <w:numPr>
          <w:ilvl w:val="0"/>
          <w:numId w:val="1010"/>
        </w:numPr>
      </w:pPr>
      <w:r>
        <w:t xml:space="preserve">Historique complet des mouvements par lot opposable en cas de contrôle réglementaire</w:t>
      </w:r>
    </w:p>
    <w:p>
      <w:pPr>
        <w:pStyle w:val="FirstParagraph"/>
      </w:pPr>
      <w:r>
        <w:rPr>
          <w:bCs/>
          <w:b/>
        </w:rPr>
        <w:t xml:space="preserve">Écrans principaux</w:t>
      </w:r>
    </w:p>
    <w:p>
      <w:pPr>
        <w:numPr>
          <w:ilvl w:val="0"/>
          <w:numId w:val="1011"/>
        </w:numPr>
      </w:pPr>
      <w:r>
        <w:t xml:space="preserve">Tableau de bord stock</w:t>
      </w:r>
    </w:p>
    <w:p>
      <w:pPr>
        <w:numPr>
          <w:ilvl w:val="0"/>
          <w:numId w:val="1011"/>
        </w:numPr>
      </w:pPr>
      <w:r>
        <w:t xml:space="preserve">Fiche produit avec détail des lots</w:t>
      </w:r>
    </w:p>
    <w:p>
      <w:pPr>
        <w:numPr>
          <w:ilvl w:val="0"/>
          <w:numId w:val="1011"/>
        </w:numPr>
      </w:pPr>
      <w:r>
        <w:t xml:space="preserve">Écran de réception de commande fournisseur</w:t>
      </w:r>
    </w:p>
    <w:p>
      <w:pPr>
        <w:numPr>
          <w:ilvl w:val="0"/>
          <w:numId w:val="1011"/>
        </w:numPr>
      </w:pPr>
      <w:r>
        <w:t xml:space="preserve">Écran d’inventaire (scan)</w:t>
      </w:r>
    </w:p>
    <w:p>
      <w:pPr>
        <w:numPr>
          <w:ilvl w:val="0"/>
          <w:numId w:val="1011"/>
        </w:numPr>
      </w:pPr>
      <w:r>
        <w:t xml:space="preserve">Historique des mouvements</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RG-STK-01</w:t>
            </w:r>
          </w:p>
        </w:tc>
        <w:tc>
          <w:tcPr/>
          <w:p>
            <w:pPr>
              <w:pStyle w:val="Compact"/>
              <w:jc w:val="left"/>
            </w:pPr>
            <w:r>
              <w:t xml:space="preserve">À quantité et produit identiques, le système propose par défaut la sortie du lot dont la date de péremption est la plus proche (FEFO), sauf dérogation explicite du pharmacien.</w:t>
            </w:r>
          </w:p>
        </w:tc>
        <w:tc>
          <w:tcPr/>
          <w:p>
            <w:pPr>
              <w:pStyle w:val="Compact"/>
              <w:jc w:val="left"/>
            </w:pPr>
            <w:r>
              <w:t xml:space="preserve">Critique</w:t>
            </w:r>
          </w:p>
        </w:tc>
      </w:tr>
      <w:tr>
        <w:tc>
          <w:tcPr/>
          <w:p>
            <w:pPr>
              <w:pStyle w:val="Compact"/>
              <w:jc w:val="left"/>
            </w:pPr>
            <w:r>
              <w:t xml:space="preserve">RG-STK-02</w:t>
            </w:r>
          </w:p>
        </w:tc>
        <w:tc>
          <w:tcPr/>
          <w:p>
            <w:pPr>
              <w:pStyle w:val="Compact"/>
              <w:jc w:val="left"/>
            </w:pPr>
            <w:r>
              <w:t xml:space="preserve">Un lot dont la date de péremption est dépassée est automatiquement retiré de la disponibilité à la vente et signalé pour retrait physique.</w:t>
            </w:r>
          </w:p>
        </w:tc>
        <w:tc>
          <w:tcPr/>
          <w:p>
            <w:pPr>
              <w:pStyle w:val="Compact"/>
              <w:jc w:val="left"/>
            </w:pPr>
            <w:r>
              <w:t xml:space="preserve">Critique</w:t>
            </w:r>
          </w:p>
        </w:tc>
      </w:tr>
      <w:tr>
        <w:tc>
          <w:tcPr/>
          <w:p>
            <w:pPr>
              <w:pStyle w:val="Compact"/>
              <w:jc w:val="left"/>
            </w:pPr>
            <w:r>
              <w:t xml:space="preserve">RG-STK-03</w:t>
            </w:r>
          </w:p>
        </w:tc>
        <w:tc>
          <w:tcPr/>
          <w:p>
            <w:pPr>
              <w:pStyle w:val="Compact"/>
              <w:jc w:val="left"/>
            </w:pPr>
            <w:r>
              <w:t xml:space="preserve">Toute correction manuelle de stock supérieure à un seuil paramétrable doit être justifiée par un motif et journalisée.</w:t>
            </w:r>
          </w:p>
        </w:tc>
        <w:tc>
          <w:tcPr/>
          <w:p>
            <w:pPr>
              <w:pStyle w:val="Compact"/>
              <w:jc w:val="left"/>
            </w:pPr>
            <w:r>
              <w:t xml:space="preserve">Standard</w:t>
            </w:r>
          </w:p>
        </w:tc>
      </w:tr>
      <w:tr>
        <w:tc>
          <w:tcPr/>
          <w:p>
            <w:pPr>
              <w:pStyle w:val="Compact"/>
              <w:jc w:val="left"/>
            </w:pPr>
            <w:r>
              <w:t xml:space="preserve">RG-STK-04</w:t>
            </w:r>
          </w:p>
        </w:tc>
        <w:tc>
          <w:tcPr/>
          <w:p>
            <w:pPr>
              <w:pStyle w:val="Compact"/>
              <w:jc w:val="left"/>
            </w:pPr>
            <w:r>
              <w:t xml:space="preserve">Le stock affiché au patient est recalculé en temps réel à chaque mouvement validé en officine.</w:t>
            </w:r>
          </w:p>
        </w:tc>
        <w:tc>
          <w:tcPr/>
          <w:p>
            <w:pPr>
              <w:pStyle w:val="Compact"/>
              <w:jc w:val="left"/>
            </w:pPr>
            <w:r>
              <w:t xml:space="preserve">Critique</w:t>
            </w:r>
          </w:p>
        </w:tc>
      </w:tr>
    </w:tbl>
    <w:p>
      <w:pPr>
        <w:pStyle w:val="BodyText"/>
      </w:pPr>
      <w:r>
        <w:rPr>
          <w:bCs/>
          <w:b/>
        </w:rPr>
        <w:t xml:space="preserve">Module 5 — Ordonnances numériques &amp;</w:t>
      </w:r>
      <w:r>
        <w:t xml:space="preserve">** Lecture assistée**</w:t>
      </w:r>
    </w:p>
    <w:p>
      <w:pPr>
        <w:pStyle w:val="BodyText"/>
      </w:pPr>
      <w:r>
        <w:rPr>
          <w:bCs/>
          <w:b/>
        </w:rPr>
        <w:t xml:space="preserve">Code module :</w:t>
      </w:r>
      <w:r>
        <w:rPr>
          <w:bCs/>
          <w:b/>
        </w:rPr>
        <w:t xml:space="preserve"> </w:t>
      </w:r>
      <w:r>
        <w:t xml:space="preserve">ORD** | Priorité : **Haute</w:t>
      </w:r>
    </w:p>
    <w:p>
      <w:pPr>
        <w:pStyle w:val="BodyText"/>
      </w:pPr>
      <w:r>
        <w:rPr>
          <w:bCs/>
          <w:b/>
        </w:rPr>
        <w:t xml:space="preserve">Objectif</w:t>
      </w:r>
    </w:p>
    <w:p>
      <w:pPr>
        <w:pStyle w:val="BodyText"/>
      </w:pPr>
      <w:r>
        <w:t xml:space="preserve">Sécuriser le circuit de l’ordonnance, du dépôt par le patient jusqu’à la validation par le pharmacien, en réduisant les erreurs de lecture et en préparant l’interconnexion avec les prescripteurs.</w:t>
      </w:r>
    </w:p>
    <w:p>
      <w:pPr>
        <w:pStyle w:val="BodyText"/>
      </w:pPr>
      <w:r>
        <w:rPr>
          <w:bCs/>
          <w:b/>
        </w:rPr>
        <w:t xml:space="preserve">Fonctionnalités clés</w:t>
      </w:r>
    </w:p>
    <w:p>
      <w:pPr>
        <w:numPr>
          <w:ilvl w:val="0"/>
          <w:numId w:val="1012"/>
        </w:numPr>
      </w:pPr>
      <w:r>
        <w:t xml:space="preserve">Téléversement photo ou PDF de l’ordonnance papier avec horodatage</w:t>
      </w:r>
    </w:p>
    <w:p>
      <w:pPr>
        <w:numPr>
          <w:ilvl w:val="0"/>
          <w:numId w:val="1012"/>
        </w:numPr>
      </w:pPr>
      <w:r>
        <w:t xml:space="preserve">Pré-lecture assistée par OCR/IA pour extraire les produits, dosages et posologies, à validation humaine obligatoire</w:t>
      </w:r>
    </w:p>
    <w:p>
      <w:pPr>
        <w:numPr>
          <w:ilvl w:val="0"/>
          <w:numId w:val="1012"/>
        </w:numPr>
      </w:pPr>
      <w:r>
        <w:t xml:space="preserve">Réception d’ordonnances électroniques émises directement par un prescripteur inscrit au Module 18</w:t>
      </w:r>
    </w:p>
    <w:p>
      <w:pPr>
        <w:numPr>
          <w:ilvl w:val="0"/>
          <w:numId w:val="1012"/>
        </w:numPr>
      </w:pPr>
      <w:r>
        <w:t xml:space="preserve">Détection d’interactions médicamenteuses majeures et de doublons thérapeutiques à titre d’alerte pour le pharmacien</w:t>
      </w:r>
    </w:p>
    <w:p>
      <w:pPr>
        <w:numPr>
          <w:ilvl w:val="0"/>
          <w:numId w:val="1012"/>
        </w:numPr>
      </w:pPr>
      <w:r>
        <w:t xml:space="preserve">Archivage réglementaire des ordonnances dispensées avec durée de conservation paramétrable</w:t>
      </w:r>
    </w:p>
    <w:p>
      <w:pPr>
        <w:pStyle w:val="FirstParagraph"/>
      </w:pPr>
      <w:r>
        <w:rPr>
          <w:bCs/>
          <w:b/>
        </w:rPr>
        <w:t xml:space="preserve">Écrans principaux</w:t>
      </w:r>
    </w:p>
    <w:p>
      <w:pPr>
        <w:numPr>
          <w:ilvl w:val="0"/>
          <w:numId w:val="1013"/>
        </w:numPr>
      </w:pPr>
      <w:r>
        <w:t xml:space="preserve">Téléversement d’ordonnance</w:t>
      </w:r>
    </w:p>
    <w:p>
      <w:pPr>
        <w:numPr>
          <w:ilvl w:val="0"/>
          <w:numId w:val="1013"/>
        </w:numPr>
      </w:pPr>
      <w:r>
        <w:t xml:space="preserve">Écran de validation pharmacien (produits extraits vs prescrits)</w:t>
      </w:r>
    </w:p>
    <w:p>
      <w:pPr>
        <w:numPr>
          <w:ilvl w:val="0"/>
          <w:numId w:val="1013"/>
        </w:numPr>
      </w:pPr>
      <w:r>
        <w:t xml:space="preserve">Historique des ordonnances du patient</w:t>
      </w:r>
    </w:p>
    <w:p>
      <w:pPr>
        <w:numPr>
          <w:ilvl w:val="0"/>
          <w:numId w:val="1013"/>
        </w:numPr>
      </w:pPr>
      <w:r>
        <w:t xml:space="preserve">Alerte interaction médicamenteuse</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RG-ORD-01</w:t>
            </w:r>
          </w:p>
        </w:tc>
        <w:tc>
          <w:tcPr/>
          <w:p>
            <w:pPr>
              <w:pStyle w:val="Compact"/>
              <w:jc w:val="left"/>
            </w:pPr>
            <w:r>
              <w:t xml:space="preserve">Aucune extraction automatique issue de l’OCR/IA ne peut déclencher une dispensation sans validation explicite d’un pharmacien habilité.</w:t>
            </w:r>
          </w:p>
        </w:tc>
        <w:tc>
          <w:tcPr/>
          <w:p>
            <w:pPr>
              <w:pStyle w:val="Compact"/>
              <w:jc w:val="left"/>
            </w:pPr>
            <w:r>
              <w:t xml:space="preserve">Critique</w:t>
            </w:r>
          </w:p>
        </w:tc>
      </w:tr>
      <w:tr>
        <w:tc>
          <w:tcPr/>
          <w:p>
            <w:pPr>
              <w:pStyle w:val="Compact"/>
              <w:jc w:val="left"/>
            </w:pPr>
            <w:r>
              <w:t xml:space="preserve">RG-ORD-02</w:t>
            </w:r>
          </w:p>
        </w:tc>
        <w:tc>
          <w:tcPr/>
          <w:p>
            <w:pPr>
              <w:pStyle w:val="Compact"/>
              <w:jc w:val="left"/>
            </w:pPr>
            <w:r>
              <w:t xml:space="preserve">Une ordonnance pour un produit classé stupéfiant doit être conservée sous forme d’original vérifiable et ne peut être honorée que par retrait physique en officine.</w:t>
            </w:r>
          </w:p>
        </w:tc>
        <w:tc>
          <w:tcPr/>
          <w:p>
            <w:pPr>
              <w:pStyle w:val="Compact"/>
              <w:jc w:val="left"/>
            </w:pPr>
            <w:r>
              <w:t xml:space="preserve">Critique</w:t>
            </w:r>
          </w:p>
        </w:tc>
      </w:tr>
      <w:tr>
        <w:tc>
          <w:tcPr/>
          <w:p>
            <w:pPr>
              <w:pStyle w:val="Compact"/>
              <w:jc w:val="left"/>
            </w:pPr>
            <w:r>
              <w:t xml:space="preserve">RG-ORD-03</w:t>
            </w:r>
          </w:p>
        </w:tc>
        <w:tc>
          <w:tcPr/>
          <w:p>
            <w:pPr>
              <w:pStyle w:val="Compact"/>
              <w:jc w:val="left"/>
            </w:pPr>
            <w:r>
              <w:t xml:space="preserve">L’application ne formule jamais de suggestion de diagnostic ou de posologie personnalisée ; elle affiche uniquement des informations générales et renvoie vers un professionnel de santé.</w:t>
            </w:r>
          </w:p>
        </w:tc>
        <w:tc>
          <w:tcPr/>
          <w:p>
            <w:pPr>
              <w:pStyle w:val="Compact"/>
              <w:jc w:val="left"/>
            </w:pPr>
            <w:r>
              <w:t xml:space="preserve">Critique</w:t>
            </w:r>
          </w:p>
        </w:tc>
      </w:tr>
    </w:tbl>
    <w:p>
      <w:pPr>
        <w:pStyle w:val="BodyText"/>
      </w:pPr>
      <w:r>
        <w:rPr>
          <w:bCs/>
          <w:b/>
        </w:rPr>
        <w:t xml:space="preserve">Module 6 — Réservation &amp;</w:t>
      </w:r>
      <w:r>
        <w:t xml:space="preserve">** Retrait en officine (Click ****&amp;**** Collect)**</w:t>
      </w:r>
    </w:p>
    <w:p>
      <w:pPr>
        <w:pStyle w:val="BodyText"/>
      </w:pPr>
      <w:r>
        <w:rPr>
          <w:bCs/>
          <w:b/>
        </w:rPr>
        <w:t xml:space="preserve">Code module :</w:t>
      </w:r>
      <w:r>
        <w:rPr>
          <w:bCs/>
          <w:b/>
        </w:rPr>
        <w:t xml:space="preserve"> </w:t>
      </w:r>
      <w:r>
        <w:t xml:space="preserve">RES** | Priorité : **Haute</w:t>
      </w:r>
    </w:p>
    <w:p>
      <w:pPr>
        <w:pStyle w:val="BodyText"/>
      </w:pPr>
      <w:r>
        <w:rPr>
          <w:bCs/>
          <w:b/>
        </w:rPr>
        <w:t xml:space="preserve">Objectif</w:t>
      </w:r>
    </w:p>
    <w:p>
      <w:pPr>
        <w:pStyle w:val="BodyText"/>
      </w:pPr>
      <w:r>
        <w:t xml:space="preserve">Permettre au patient de réserver un produit disponible et de le retirer en officine dans un délai garanti, réduisant les déplacements inutiles constatés dans le scénario de rupture en cascade.</w:t>
      </w:r>
    </w:p>
    <w:p>
      <w:pPr>
        <w:pStyle w:val="BodyText"/>
      </w:pPr>
      <w:r>
        <w:rPr>
          <w:bCs/>
          <w:b/>
        </w:rPr>
        <w:t xml:space="preserve">Fonctionnalités clés</w:t>
      </w:r>
    </w:p>
    <w:p>
      <w:pPr>
        <w:numPr>
          <w:ilvl w:val="0"/>
          <w:numId w:val="1014"/>
        </w:numPr>
      </w:pPr>
      <w:r>
        <w:t xml:space="preserve">Réservation avec créneau de retrait et code de retrait unique</w:t>
      </w:r>
    </w:p>
    <w:p>
      <w:pPr>
        <w:numPr>
          <w:ilvl w:val="0"/>
          <w:numId w:val="1014"/>
        </w:numPr>
      </w:pPr>
      <w:r>
        <w:t xml:space="preserve">Blocage temporaire du stock réservé pour éviter la survente</w:t>
      </w:r>
    </w:p>
    <w:p>
      <w:pPr>
        <w:numPr>
          <w:ilvl w:val="0"/>
          <w:numId w:val="1014"/>
        </w:numPr>
      </w:pPr>
      <w:r>
        <w:t xml:space="preserve">Rappel automatique avant expiration de la réservation</w:t>
      </w:r>
    </w:p>
    <w:p>
      <w:pPr>
        <w:numPr>
          <w:ilvl w:val="0"/>
          <w:numId w:val="1014"/>
        </w:numPr>
      </w:pPr>
      <w:r>
        <w:t xml:space="preserve">Paiement à la réservation ou paiement sur place au choix du patient</w:t>
      </w:r>
    </w:p>
    <w:p>
      <w:pPr>
        <w:numPr>
          <w:ilvl w:val="0"/>
          <w:numId w:val="1014"/>
        </w:numPr>
      </w:pPr>
      <w:r>
        <w:t xml:space="preserve">Annulation et report de créneau</w:t>
      </w:r>
    </w:p>
    <w:p>
      <w:pPr>
        <w:pStyle w:val="FirstParagraph"/>
      </w:pPr>
      <w:r>
        <w:rPr>
          <w:bCs/>
          <w:b/>
        </w:rPr>
        <w:t xml:space="preserve">Écrans principaux</w:t>
      </w:r>
    </w:p>
    <w:p>
      <w:pPr>
        <w:numPr>
          <w:ilvl w:val="0"/>
          <w:numId w:val="1015"/>
        </w:numPr>
      </w:pPr>
      <w:r>
        <w:t xml:space="preserve">Confirmation de réservation</w:t>
      </w:r>
    </w:p>
    <w:p>
      <w:pPr>
        <w:numPr>
          <w:ilvl w:val="0"/>
          <w:numId w:val="1015"/>
        </w:numPr>
      </w:pPr>
      <w:r>
        <w:t xml:space="preserve">Code de retrait (QR)</w:t>
      </w:r>
    </w:p>
    <w:p>
      <w:pPr>
        <w:numPr>
          <w:ilvl w:val="0"/>
          <w:numId w:val="1015"/>
        </w:numPr>
      </w:pPr>
      <w:r>
        <w:t xml:space="preserve">Suivi des réservations en cours (patient)</w:t>
      </w:r>
    </w:p>
    <w:p>
      <w:pPr>
        <w:numPr>
          <w:ilvl w:val="0"/>
          <w:numId w:val="1015"/>
        </w:numPr>
      </w:pPr>
      <w:r>
        <w:t xml:space="preserve">File d’attente des retraits (pharmacie)</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RG-RES-01</w:t>
            </w:r>
          </w:p>
        </w:tc>
        <w:tc>
          <w:tcPr/>
          <w:p>
            <w:pPr>
              <w:pStyle w:val="Compact"/>
              <w:jc w:val="left"/>
            </w:pPr>
            <w:r>
              <w:t xml:space="preserve">Un produit réservé est décompté du stock disponible affiché aux autres patients pendant toute la durée de la réservation.</w:t>
            </w:r>
          </w:p>
        </w:tc>
        <w:tc>
          <w:tcPr/>
          <w:p>
            <w:pPr>
              <w:pStyle w:val="Compact"/>
              <w:jc w:val="left"/>
            </w:pPr>
            <w:r>
              <w:t xml:space="preserve">Critique</w:t>
            </w:r>
          </w:p>
        </w:tc>
      </w:tr>
      <w:tr>
        <w:tc>
          <w:tcPr/>
          <w:p>
            <w:pPr>
              <w:pStyle w:val="Compact"/>
              <w:jc w:val="left"/>
            </w:pPr>
            <w:r>
              <w:t xml:space="preserve">RG-RES-02</w:t>
            </w:r>
          </w:p>
        </w:tc>
        <w:tc>
          <w:tcPr/>
          <w:p>
            <w:pPr>
              <w:pStyle w:val="Compact"/>
              <w:jc w:val="left"/>
            </w:pPr>
            <w:r>
              <w:t xml:space="preserve">Une réservation non retirée au-delà du délai paramétré est automatiquement annulée et le stock est libéré.</w:t>
            </w:r>
          </w:p>
        </w:tc>
        <w:tc>
          <w:tcPr/>
          <w:p>
            <w:pPr>
              <w:pStyle w:val="Compact"/>
              <w:jc w:val="left"/>
            </w:pPr>
            <w:r>
              <w:t xml:space="preserve">Standard</w:t>
            </w:r>
          </w:p>
        </w:tc>
      </w:tr>
    </w:tbl>
    <w:p>
      <w:pPr>
        <w:pStyle w:val="BodyText"/>
      </w:pPr>
      <w:r>
        <w:rPr>
          <w:bCs/>
          <w:b/>
        </w:rPr>
        <w:t xml:space="preserve">Module 7 — Livraison &amp;</w:t>
      </w:r>
      <w:r>
        <w:t xml:space="preserve">** Logistique du dernier kilomètre**</w:t>
      </w:r>
    </w:p>
    <w:p>
      <w:pPr>
        <w:pStyle w:val="BodyText"/>
      </w:pPr>
      <w:r>
        <w:rPr>
          <w:bCs/>
          <w:b/>
        </w:rPr>
        <w:t xml:space="preserve">Code module :</w:t>
      </w:r>
      <w:r>
        <w:rPr>
          <w:bCs/>
          <w:b/>
        </w:rPr>
        <w:t xml:space="preserve"> </w:t>
      </w:r>
      <w:r>
        <w:t xml:space="preserve">LIV** | Priorité : **Haute</w:t>
      </w:r>
    </w:p>
    <w:p>
      <w:pPr>
        <w:pStyle w:val="BodyText"/>
      </w:pPr>
      <w:r>
        <w:rPr>
          <w:bCs/>
          <w:b/>
        </w:rPr>
        <w:t xml:space="preserve">Objectif</w:t>
      </w:r>
    </w:p>
    <w:p>
      <w:pPr>
        <w:pStyle w:val="BodyText"/>
      </w:pPr>
      <w:r>
        <w:t xml:space="preserve">Organiser la livraison des produits de santé depuis l’officine jusqu’au patient, en tenant compte des contraintes spécifiques (produits sensibles, urgence, zones peu accessibles).</w:t>
      </w:r>
    </w:p>
    <w:p>
      <w:pPr>
        <w:pStyle w:val="BodyText"/>
      </w:pPr>
      <w:r>
        <w:rPr>
          <w:bCs/>
          <w:b/>
        </w:rPr>
        <w:t xml:space="preserve">Fonctionnalités clés</w:t>
      </w:r>
    </w:p>
    <w:p>
      <w:pPr>
        <w:numPr>
          <w:ilvl w:val="0"/>
          <w:numId w:val="1016"/>
        </w:numPr>
      </w:pPr>
      <w:r>
        <w:t xml:space="preserve">Attribution des courses à un livreur interne à la pharmacie ou à un partenaire de livraison tiers connecté</w:t>
      </w:r>
    </w:p>
    <w:p>
      <w:pPr>
        <w:numPr>
          <w:ilvl w:val="0"/>
          <w:numId w:val="1016"/>
        </w:numPr>
      </w:pPr>
      <w:r>
        <w:t xml:space="preserve">Suivi en temps réel de la course avec statut (préparé, en route, livré)</w:t>
      </w:r>
    </w:p>
    <w:p>
      <w:pPr>
        <w:numPr>
          <w:ilvl w:val="0"/>
          <w:numId w:val="1016"/>
        </w:numPr>
      </w:pPr>
      <w:r>
        <w:t xml:space="preserve">Créneaux express pour les traitements urgents</w:t>
      </w:r>
    </w:p>
    <w:p>
      <w:pPr>
        <w:numPr>
          <w:ilvl w:val="0"/>
          <w:numId w:val="1016"/>
        </w:numPr>
      </w:pPr>
      <w:r>
        <w:t xml:space="preserve">Option de livraison en zone rurale via points relais partenaires (boutiques, agents mobile money)</w:t>
      </w:r>
    </w:p>
    <w:p>
      <w:pPr>
        <w:numPr>
          <w:ilvl w:val="0"/>
          <w:numId w:val="1016"/>
        </w:numPr>
      </w:pPr>
      <w:r>
        <w:t xml:space="preserve">Preuve de livraison (signature ou code) et gestion des échecs de livraison</w:t>
      </w:r>
    </w:p>
    <w:p>
      <w:pPr>
        <w:pStyle w:val="FirstParagraph"/>
      </w:pPr>
      <w:r>
        <w:rPr>
          <w:bCs/>
          <w:b/>
        </w:rPr>
        <w:t xml:space="preserve">Écrans principaux</w:t>
      </w:r>
    </w:p>
    <w:p>
      <w:pPr>
        <w:numPr>
          <w:ilvl w:val="0"/>
          <w:numId w:val="1017"/>
        </w:numPr>
      </w:pPr>
      <w:r>
        <w:t xml:space="preserve">Suivi de commande en livraison</w:t>
      </w:r>
    </w:p>
    <w:p>
      <w:pPr>
        <w:numPr>
          <w:ilvl w:val="0"/>
          <w:numId w:val="1017"/>
        </w:numPr>
      </w:pPr>
      <w:r>
        <w:t xml:space="preserve">Application livreur (liste des courses)</w:t>
      </w:r>
    </w:p>
    <w:p>
      <w:pPr>
        <w:numPr>
          <w:ilvl w:val="0"/>
          <w:numId w:val="1017"/>
        </w:numPr>
      </w:pPr>
      <w:r>
        <w:t xml:space="preserve">Carte de suivi temps réel</w:t>
      </w:r>
    </w:p>
    <w:p>
      <w:pPr>
        <w:numPr>
          <w:ilvl w:val="0"/>
          <w:numId w:val="1017"/>
        </w:numPr>
      </w:pPr>
      <w:r>
        <w:t xml:space="preserve">Gestion des points relais</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RG-LIV-01</w:t>
            </w:r>
          </w:p>
        </w:tc>
        <w:tc>
          <w:tcPr/>
          <w:p>
            <w:pPr>
              <w:pStyle w:val="Compact"/>
              <w:jc w:val="left"/>
            </w:pPr>
            <w:r>
              <w:t xml:space="preserve">Un produit nécessitant une chaîne du froid ne peut être confié qu’à un livreur disposant d’un contenant isotherme validé (voir Module 24).</w:t>
            </w:r>
          </w:p>
        </w:tc>
        <w:tc>
          <w:tcPr/>
          <w:p>
            <w:pPr>
              <w:pStyle w:val="Compact"/>
              <w:jc w:val="left"/>
            </w:pPr>
            <w:r>
              <w:t xml:space="preserve">Critique</w:t>
            </w:r>
          </w:p>
        </w:tc>
      </w:tr>
      <w:tr>
        <w:tc>
          <w:tcPr/>
          <w:p>
            <w:pPr>
              <w:pStyle w:val="Compact"/>
              <w:jc w:val="left"/>
            </w:pPr>
            <w:r>
              <w:t xml:space="preserve">RG-LIV-02</w:t>
            </w:r>
          </w:p>
        </w:tc>
        <w:tc>
          <w:tcPr/>
          <w:p>
            <w:pPr>
              <w:pStyle w:val="Compact"/>
              <w:jc w:val="left"/>
            </w:pPr>
            <w:r>
              <w:t xml:space="preserve">Toute livraison est clôturée par une preuve de remise (signature électronique, code, ou photo) associée à l’identifiant de la course.</w:t>
            </w:r>
          </w:p>
        </w:tc>
        <w:tc>
          <w:tcPr/>
          <w:p>
            <w:pPr>
              <w:pStyle w:val="Compact"/>
              <w:jc w:val="left"/>
            </w:pPr>
            <w:r>
              <w:t xml:space="preserve">Standard</w:t>
            </w:r>
          </w:p>
        </w:tc>
      </w:tr>
    </w:tbl>
    <w:p>
      <w:pPr>
        <w:pStyle w:val="BodyText"/>
      </w:pPr>
      <w:r>
        <w:rPr>
          <w:bCs/>
          <w:b/>
        </w:rPr>
        <w:t xml:space="preserve">Module 8 — Paiement, Mobile Money &amp;</w:t>
      </w:r>
      <w:r>
        <w:t xml:space="preserve">** Portefeuille**</w:t>
      </w:r>
    </w:p>
    <w:p>
      <w:pPr>
        <w:pStyle w:val="BodyText"/>
      </w:pPr>
      <w:r>
        <w:rPr>
          <w:bCs/>
          <w:b/>
        </w:rPr>
        <w:t xml:space="preserve">Code module :</w:t>
      </w:r>
      <w:r>
        <w:rPr>
          <w:bCs/>
          <w:b/>
        </w:rPr>
        <w:t xml:space="preserve"> </w:t>
      </w:r>
      <w:r>
        <w:t xml:space="preserve">PAY** | Priorité : **Critique</w:t>
      </w:r>
    </w:p>
    <w:p>
      <w:pPr>
        <w:pStyle w:val="BodyText"/>
      </w:pPr>
      <w:r>
        <w:rPr>
          <w:bCs/>
          <w:b/>
        </w:rPr>
        <w:t xml:space="preserve">Objectif</w:t>
      </w:r>
    </w:p>
    <w:p>
      <w:pPr>
        <w:pStyle w:val="BodyText"/>
      </w:pPr>
      <w:r>
        <w:t xml:space="preserve">Sécuriser l’ensemble des flux financiers de la plateforme (patients, pharmacies, grossistes, livreurs) en s’appuyant sur les moyens de paiement dominants en Guinée et en Afrique de l’Ouest.</w:t>
      </w:r>
    </w:p>
    <w:p>
      <w:pPr>
        <w:pStyle w:val="BodyText"/>
      </w:pPr>
      <w:r>
        <w:rPr>
          <w:bCs/>
          <w:b/>
        </w:rPr>
        <w:t xml:space="preserve">Fonctionnalités clés</w:t>
      </w:r>
    </w:p>
    <w:p>
      <w:pPr>
        <w:numPr>
          <w:ilvl w:val="0"/>
          <w:numId w:val="1018"/>
        </w:numPr>
      </w:pPr>
      <w:r>
        <w:t xml:space="preserve">Intégration des agrégateurs mobile money (Orange Money, MTN MoMo, Moov Money) et cartes bancaires</w:t>
      </w:r>
    </w:p>
    <w:p>
      <w:pPr>
        <w:numPr>
          <w:ilvl w:val="0"/>
          <w:numId w:val="1018"/>
        </w:numPr>
      </w:pPr>
      <w:r>
        <w:t xml:space="preserve">Portefeuille GSG Pay partagé avec les autres produits du portefeuille (AssoShop Pay, TradeLink Africa) via le GSG Platform Kernel</w:t>
      </w:r>
    </w:p>
    <w:p>
      <w:pPr>
        <w:numPr>
          <w:ilvl w:val="0"/>
          <w:numId w:val="1018"/>
        </w:numPr>
      </w:pPr>
      <w:r>
        <w:t xml:space="preserve">Paiement à la commande, au retrait ou à la livraison selon les règles de l’officine</w:t>
      </w:r>
    </w:p>
    <w:p>
      <w:pPr>
        <w:numPr>
          <w:ilvl w:val="0"/>
          <w:numId w:val="1018"/>
        </w:numPr>
      </w:pPr>
      <w:r>
        <w:t xml:space="preserve">Réconciliation automatique des paiements agrégateurs avec les commandes</w:t>
      </w:r>
    </w:p>
    <w:p>
      <w:pPr>
        <w:numPr>
          <w:ilvl w:val="0"/>
          <w:numId w:val="1018"/>
        </w:numPr>
      </w:pPr>
      <w:r>
        <w:t xml:space="preserve">Gestion des remboursements et des litiges de paiement</w:t>
      </w:r>
    </w:p>
    <w:p>
      <w:pPr>
        <w:pStyle w:val="FirstParagraph"/>
      </w:pPr>
      <w:r>
        <w:rPr>
          <w:bCs/>
          <w:b/>
        </w:rPr>
        <w:t xml:space="preserve">Écrans principaux</w:t>
      </w:r>
    </w:p>
    <w:p>
      <w:pPr>
        <w:numPr>
          <w:ilvl w:val="0"/>
          <w:numId w:val="1019"/>
        </w:numPr>
      </w:pPr>
      <w:r>
        <w:t xml:space="preserve">Écran de paiement multi-méthodes</w:t>
      </w:r>
    </w:p>
    <w:p>
      <w:pPr>
        <w:numPr>
          <w:ilvl w:val="0"/>
          <w:numId w:val="1019"/>
        </w:numPr>
      </w:pPr>
      <w:r>
        <w:t xml:space="preserve">Historique des transactions</w:t>
      </w:r>
    </w:p>
    <w:p>
      <w:pPr>
        <w:numPr>
          <w:ilvl w:val="0"/>
          <w:numId w:val="1019"/>
        </w:numPr>
      </w:pPr>
      <w:r>
        <w:t xml:space="preserve">Portefeuille patient</w:t>
      </w:r>
    </w:p>
    <w:p>
      <w:pPr>
        <w:numPr>
          <w:ilvl w:val="0"/>
          <w:numId w:val="1019"/>
        </w:numPr>
      </w:pPr>
      <w:r>
        <w:t xml:space="preserve">Back-office de réconciliation pharmacie</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RG-PAY-01</w:t>
            </w:r>
          </w:p>
        </w:tc>
        <w:tc>
          <w:tcPr/>
          <w:p>
            <w:pPr>
              <w:pStyle w:val="Compact"/>
              <w:jc w:val="left"/>
            </w:pPr>
            <w:r>
              <w:t xml:space="preserve">Aucune commande n’est marquée « payée » tant que la confirmation de l’agrégateur de paiement n’a pas été reçue et vérifiée côté serveur.</w:t>
            </w:r>
          </w:p>
        </w:tc>
        <w:tc>
          <w:tcPr/>
          <w:p>
            <w:pPr>
              <w:pStyle w:val="Compact"/>
              <w:jc w:val="left"/>
            </w:pPr>
            <w:r>
              <w:t xml:space="preserve">Critique</w:t>
            </w:r>
          </w:p>
        </w:tc>
      </w:tr>
      <w:tr>
        <w:tc>
          <w:tcPr/>
          <w:p>
            <w:pPr>
              <w:pStyle w:val="Compact"/>
              <w:jc w:val="left"/>
            </w:pPr>
            <w:r>
              <w:t xml:space="preserve">RG-PAY-02</w:t>
            </w:r>
          </w:p>
        </w:tc>
        <w:tc>
          <w:tcPr/>
          <w:p>
            <w:pPr>
              <w:pStyle w:val="Compact"/>
              <w:jc w:val="left"/>
            </w:pPr>
            <w:r>
              <w:t xml:space="preserve">Les frais de service PharmaConnect sont calculés et affichés de manière transparente avant validation du paiement par le patient.</w:t>
            </w:r>
          </w:p>
        </w:tc>
        <w:tc>
          <w:tcPr/>
          <w:p>
            <w:pPr>
              <w:pStyle w:val="Compact"/>
              <w:jc w:val="left"/>
            </w:pPr>
            <w:r>
              <w:t xml:space="preserve">Standard</w:t>
            </w:r>
          </w:p>
        </w:tc>
      </w:tr>
    </w:tbl>
    <w:p>
      <w:pPr>
        <w:pStyle w:val="BodyText"/>
      </w:pPr>
      <w:r>
        <w:rPr>
          <w:bCs/>
          <w:b/>
        </w:rPr>
        <w:t xml:space="preserve">Module 9 — PharmaConnect Business — Tableau de bord Officine</w:t>
      </w:r>
    </w:p>
    <w:p>
      <w:pPr>
        <w:pStyle w:val="BodyText"/>
      </w:pPr>
      <w:r>
        <w:rPr>
          <w:bCs/>
          <w:b/>
        </w:rPr>
        <w:t xml:space="preserve">Code module :</w:t>
      </w:r>
      <w:r>
        <w:rPr>
          <w:bCs/>
          <w:b/>
        </w:rPr>
        <w:t xml:space="preserve"> </w:t>
      </w:r>
      <w:r>
        <w:t xml:space="preserve">BIZ** | Priorité : **Critique</w:t>
      </w:r>
    </w:p>
    <w:p>
      <w:pPr>
        <w:pStyle w:val="BodyText"/>
      </w:pPr>
      <w:r>
        <w:rPr>
          <w:bCs/>
          <w:b/>
        </w:rPr>
        <w:t xml:space="preserve">Objectif</w:t>
      </w:r>
    </w:p>
    <w:p>
      <w:pPr>
        <w:pStyle w:val="BodyText"/>
      </w:pPr>
      <w:r>
        <w:t xml:space="preserve">Donner au pharmacien titulaire une vision consolidée et actionnable de l’activité quotidienne de son officine : ventes, commandes, réservations, livraisons, stock critique.</w:t>
      </w:r>
    </w:p>
    <w:p>
      <w:pPr>
        <w:pStyle w:val="BodyText"/>
      </w:pPr>
      <w:r>
        <w:rPr>
          <w:bCs/>
          <w:b/>
        </w:rPr>
        <w:t xml:space="preserve">Fonctionnalités clés</w:t>
      </w:r>
    </w:p>
    <w:p>
      <w:pPr>
        <w:numPr>
          <w:ilvl w:val="0"/>
          <w:numId w:val="1020"/>
        </w:numPr>
      </w:pPr>
      <w:r>
        <w:t xml:space="preserve">Tableau de bord temps réel : chiffre d’affaires du jour, commandes, réservations, livraisons, produits en stock faible ou expirant</w:t>
      </w:r>
    </w:p>
    <w:p>
      <w:pPr>
        <w:numPr>
          <w:ilvl w:val="0"/>
          <w:numId w:val="1020"/>
        </w:numPr>
      </w:pPr>
      <w:r>
        <w:t xml:space="preserve">Vue multi-officines pour les titulaires exploitant plusieurs points de vente</w:t>
      </w:r>
    </w:p>
    <w:p>
      <w:pPr>
        <w:numPr>
          <w:ilvl w:val="0"/>
          <w:numId w:val="1020"/>
        </w:numPr>
      </w:pPr>
      <w:r>
        <w:t xml:space="preserve">Export comptable et rapprochement avec les outils de caisse existants</w:t>
      </w:r>
    </w:p>
    <w:p>
      <w:pPr>
        <w:numPr>
          <w:ilvl w:val="0"/>
          <w:numId w:val="1020"/>
        </w:numPr>
      </w:pPr>
      <w:r>
        <w:t xml:space="preserve">Notifications priorisées (rupture imminente, péremption, litige patient)</w:t>
      </w:r>
    </w:p>
    <w:p>
      <w:pPr>
        <w:numPr>
          <w:ilvl w:val="0"/>
          <w:numId w:val="1020"/>
        </w:numPr>
      </w:pPr>
      <w:r>
        <w:t xml:space="preserve">Paramétrage des horaires, jours de garde et zone de livraison</w:t>
      </w:r>
    </w:p>
    <w:p>
      <w:pPr>
        <w:pStyle w:val="FirstParagraph"/>
      </w:pPr>
      <w:r>
        <w:rPr>
          <w:bCs/>
          <w:b/>
        </w:rPr>
        <w:t xml:space="preserve">Écrans principaux</w:t>
      </w:r>
    </w:p>
    <w:p>
      <w:pPr>
        <w:numPr>
          <w:ilvl w:val="0"/>
          <w:numId w:val="1021"/>
        </w:numPr>
      </w:pPr>
      <w:r>
        <w:t xml:space="preserve">Tableau de bord principal</w:t>
      </w:r>
    </w:p>
    <w:p>
      <w:pPr>
        <w:numPr>
          <w:ilvl w:val="0"/>
          <w:numId w:val="1021"/>
        </w:numPr>
      </w:pPr>
      <w:r>
        <w:t xml:space="preserve">Vue consolidée multi-officines</w:t>
      </w:r>
    </w:p>
    <w:p>
      <w:pPr>
        <w:numPr>
          <w:ilvl w:val="0"/>
          <w:numId w:val="1021"/>
        </w:numPr>
      </w:pPr>
      <w:r>
        <w:t xml:space="preserve">Paramètres de l’officine</w:t>
      </w:r>
    </w:p>
    <w:p>
      <w:pPr>
        <w:numPr>
          <w:ilvl w:val="0"/>
          <w:numId w:val="1021"/>
        </w:numPr>
      </w:pPr>
      <w:r>
        <w:t xml:space="preserve">Centre de notifications</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RG-BIZ-01</w:t>
            </w:r>
          </w:p>
        </w:tc>
        <w:tc>
          <w:tcPr/>
          <w:p>
            <w:pPr>
              <w:pStyle w:val="Compact"/>
              <w:jc w:val="left"/>
            </w:pPr>
            <w:r>
              <w:t xml:space="preserve">Seul le titulaire ou un membre disposant du droit « gestion financière » peut consulter le chiffre d’affaires consolidé de l’officine.</w:t>
            </w:r>
          </w:p>
        </w:tc>
        <w:tc>
          <w:tcPr/>
          <w:p>
            <w:pPr>
              <w:pStyle w:val="Compact"/>
              <w:jc w:val="left"/>
            </w:pPr>
            <w:r>
              <w:t xml:space="preserve">Standard</w:t>
            </w:r>
          </w:p>
        </w:tc>
      </w:tr>
    </w:tbl>
    <w:p>
      <w:pPr>
        <w:pStyle w:val="BodyText"/>
      </w:pPr>
      <w:r>
        <w:rPr>
          <w:bCs/>
          <w:b/>
        </w:rPr>
        <w:t xml:space="preserve">Module 10 — Alertes intelligentes</w:t>
      </w:r>
    </w:p>
    <w:p>
      <w:pPr>
        <w:pStyle w:val="BodyText"/>
      </w:pPr>
      <w:r>
        <w:rPr>
          <w:bCs/>
          <w:b/>
        </w:rPr>
        <w:t xml:space="preserve">Code module :</w:t>
      </w:r>
      <w:r>
        <w:rPr>
          <w:bCs/>
          <w:b/>
        </w:rPr>
        <w:t xml:space="preserve"> </w:t>
      </w:r>
      <w:r>
        <w:t xml:space="preserve">ALR** | Priorité : **Haute</w:t>
      </w:r>
    </w:p>
    <w:p>
      <w:pPr>
        <w:pStyle w:val="BodyText"/>
      </w:pPr>
      <w:r>
        <w:rPr>
          <w:bCs/>
          <w:b/>
        </w:rPr>
        <w:t xml:space="preserve">Objectif</w:t>
      </w:r>
    </w:p>
    <w:p>
      <w:pPr>
        <w:pStyle w:val="BodyText"/>
      </w:pPr>
      <w:r>
        <w:t xml:space="preserve">Surveiller en continu les indicateurs critiques de l’officine et alerter automatiquement le pharmacien avant que le problème n’affecte le patient.</w:t>
      </w:r>
    </w:p>
    <w:p>
      <w:pPr>
        <w:pStyle w:val="BodyText"/>
      </w:pPr>
      <w:r>
        <w:rPr>
          <w:bCs/>
          <w:b/>
        </w:rPr>
        <w:t xml:space="preserve">Fonctionnalités clés</w:t>
      </w:r>
    </w:p>
    <w:p>
      <w:pPr>
        <w:numPr>
          <w:ilvl w:val="0"/>
          <w:numId w:val="1022"/>
        </w:numPr>
      </w:pPr>
      <w:r>
        <w:t xml:space="preserve">Alerte stock faible calculée sur la base de la consommation moyenne journalière</w:t>
      </w:r>
    </w:p>
    <w:p>
      <w:pPr>
        <w:numPr>
          <w:ilvl w:val="0"/>
          <w:numId w:val="1022"/>
        </w:numPr>
      </w:pPr>
      <w:r>
        <w:t xml:space="preserve">Alerte rupture imminente avec estimation du nombre de jours restants</w:t>
      </w:r>
    </w:p>
    <w:p>
      <w:pPr>
        <w:numPr>
          <w:ilvl w:val="0"/>
          <w:numId w:val="1022"/>
        </w:numPr>
      </w:pPr>
      <w:r>
        <w:t xml:space="preserve">Alerte péremption à horizon paramétrable (30/60/90 jours)</w:t>
      </w:r>
    </w:p>
    <w:p>
      <w:pPr>
        <w:numPr>
          <w:ilvl w:val="0"/>
          <w:numId w:val="1022"/>
        </w:numPr>
      </w:pPr>
      <w:r>
        <w:t xml:space="preserve">Alerte surstock par rapport à la consommation habituelle</w:t>
      </w:r>
    </w:p>
    <w:p>
      <w:pPr>
        <w:numPr>
          <w:ilvl w:val="0"/>
          <w:numId w:val="1022"/>
        </w:numPr>
      </w:pPr>
      <w:r>
        <w:t xml:space="preserve">Détection d’anomalies de vente (variation brutale, tentative de fraude) avec score de risque</w:t>
      </w:r>
    </w:p>
    <w:p>
      <w:pPr>
        <w:pStyle w:val="FirstParagraph"/>
      </w:pPr>
      <w:r>
        <w:rPr>
          <w:bCs/>
          <w:b/>
        </w:rPr>
        <w:t xml:space="preserve">Écrans principaux</w:t>
      </w:r>
    </w:p>
    <w:p>
      <w:pPr>
        <w:numPr>
          <w:ilvl w:val="0"/>
          <w:numId w:val="1023"/>
        </w:numPr>
      </w:pPr>
      <w:r>
        <w:t xml:space="preserve">Centre d’alertes</w:t>
      </w:r>
    </w:p>
    <w:p>
      <w:pPr>
        <w:numPr>
          <w:ilvl w:val="0"/>
          <w:numId w:val="1023"/>
        </w:numPr>
      </w:pPr>
      <w:r>
        <w:t xml:space="preserve">Détail d’une alerte avec recommandation d’action</w:t>
      </w:r>
    </w:p>
    <w:p>
      <w:pPr>
        <w:numPr>
          <w:ilvl w:val="0"/>
          <w:numId w:val="1023"/>
        </w:numPr>
      </w:pPr>
      <w:r>
        <w:t xml:space="preserve">Paramétrage des seuils par produit ou catégorie</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RG-ALR-01</w:t>
            </w:r>
          </w:p>
        </w:tc>
        <w:tc>
          <w:tcPr/>
          <w:p>
            <w:pPr>
              <w:pStyle w:val="Compact"/>
              <w:jc w:val="left"/>
            </w:pPr>
            <w:r>
              <w:t xml:space="preserve">Une alerte de rupture imminente est déclenchée dès que le stock estimé restant passe sous un seuil de 3 jours de consommation moyenne, sauf paramétrage spécifique du produit.</w:t>
            </w:r>
          </w:p>
        </w:tc>
        <w:tc>
          <w:tcPr/>
          <w:p>
            <w:pPr>
              <w:pStyle w:val="Compact"/>
              <w:jc w:val="left"/>
            </w:pPr>
            <w:r>
              <w:t xml:space="preserve">Standard</w:t>
            </w:r>
          </w:p>
        </w:tc>
      </w:tr>
      <w:tr>
        <w:tc>
          <w:tcPr/>
          <w:p>
            <w:pPr>
              <w:pStyle w:val="Compact"/>
              <w:jc w:val="left"/>
            </w:pPr>
            <w:r>
              <w:t xml:space="preserve">RG-ALR-02</w:t>
            </w:r>
          </w:p>
        </w:tc>
        <w:tc>
          <w:tcPr/>
          <w:p>
            <w:pPr>
              <w:pStyle w:val="Compact"/>
              <w:jc w:val="left"/>
            </w:pPr>
            <w:r>
              <w:t xml:space="preserve">Une alerte de péremption à 60 jours reclasse automatiquement le lot concerné en priorité de sortie « élevée » dans le moteur FEFO.</w:t>
            </w:r>
          </w:p>
        </w:tc>
        <w:tc>
          <w:tcPr/>
          <w:p>
            <w:pPr>
              <w:pStyle w:val="Compact"/>
              <w:jc w:val="left"/>
            </w:pPr>
            <w:r>
              <w:t xml:space="preserve">Standard</w:t>
            </w:r>
          </w:p>
        </w:tc>
      </w:tr>
    </w:tbl>
    <w:p>
      <w:pPr>
        <w:pStyle w:val="BodyText"/>
      </w:pPr>
      <w:r>
        <w:rPr>
          <w:bCs/>
          <w:b/>
        </w:rPr>
        <w:t xml:space="preserve">Module 11 — Prévision de la demande &amp;</w:t>
      </w:r>
      <w:r>
        <w:t xml:space="preserve">** Réapprovisionnement assisté**</w:t>
      </w:r>
    </w:p>
    <w:p>
      <w:pPr>
        <w:pStyle w:val="BodyText"/>
      </w:pPr>
      <w:r>
        <w:rPr>
          <w:bCs/>
          <w:b/>
        </w:rPr>
        <w:t xml:space="preserve">Code module :</w:t>
      </w:r>
      <w:r>
        <w:rPr>
          <w:bCs/>
          <w:b/>
        </w:rPr>
        <w:t xml:space="preserve"> </w:t>
      </w:r>
      <w:r>
        <w:t xml:space="preserve">IA** | Priorité : **Différenciant</w:t>
      </w:r>
    </w:p>
    <w:p>
      <w:pPr>
        <w:pStyle w:val="BodyText"/>
      </w:pPr>
      <w:r>
        <w:rPr>
          <w:bCs/>
          <w:b/>
        </w:rPr>
        <w:t xml:space="preserve">Objectif</w:t>
      </w:r>
    </w:p>
    <w:p>
      <w:pPr>
        <w:pStyle w:val="BodyText"/>
      </w:pPr>
      <w:r>
        <w:t xml:space="preserve">Transformer l’historique de ventes de chaque officine en recommandations de commande fiables, réduisant à la fois les ruptures et le surstock, sur le modèle des offres avancées des acteurs les plus matures du secteur (mPharma, DrugStoc, RxAll).</w:t>
      </w:r>
    </w:p>
    <w:p>
      <w:pPr>
        <w:pStyle w:val="BodyText"/>
      </w:pPr>
      <w:r>
        <w:rPr>
          <w:bCs/>
          <w:b/>
        </w:rPr>
        <w:t xml:space="preserve">Fonctionnalités clés</w:t>
      </w:r>
    </w:p>
    <w:p>
      <w:pPr>
        <w:numPr>
          <w:ilvl w:val="0"/>
          <w:numId w:val="1024"/>
        </w:numPr>
      </w:pPr>
      <w:r>
        <w:t xml:space="preserve">Modèle de prévision par produit intégrant saisonnalité, tendance et événements (épidémies, périodes scolaires)</w:t>
      </w:r>
    </w:p>
    <w:p>
      <w:pPr>
        <w:numPr>
          <w:ilvl w:val="0"/>
          <w:numId w:val="1024"/>
        </w:numPr>
      </w:pPr>
      <w:r>
        <w:t xml:space="preserve">Génération automatique d’une proposition de commande fournisseur, éditable par le pharmacien</w:t>
      </w:r>
    </w:p>
    <w:p>
      <w:pPr>
        <w:numPr>
          <w:ilvl w:val="0"/>
          <w:numId w:val="1024"/>
        </w:numPr>
      </w:pPr>
      <w:r>
        <w:t xml:space="preserve">Apprentissage progressif à partir de l’historique propre à chaque officine et, de façon agrégée et anonymisée, du réseau PharmaConnect</w:t>
      </w:r>
    </w:p>
    <w:p>
      <w:pPr>
        <w:numPr>
          <w:ilvl w:val="0"/>
          <w:numId w:val="1024"/>
        </w:numPr>
      </w:pPr>
      <w:r>
        <w:t xml:space="preserve">Simulation d’impact d’une rupture de stock sur le chiffre d’affaires estimé</w:t>
      </w:r>
    </w:p>
    <w:p>
      <w:pPr>
        <w:numPr>
          <w:ilvl w:val="0"/>
          <w:numId w:val="1024"/>
        </w:numPr>
      </w:pPr>
      <w:r>
        <w:t xml:space="preserve">Recommandation de fournisseur en fonction du meilleur compromis prix/délai/fiabilité historique</w:t>
      </w:r>
    </w:p>
    <w:p>
      <w:pPr>
        <w:pStyle w:val="FirstParagraph"/>
      </w:pPr>
      <w:r>
        <w:rPr>
          <w:bCs/>
          <w:b/>
        </w:rPr>
        <w:t xml:space="preserve">Écrans principaux</w:t>
      </w:r>
    </w:p>
    <w:p>
      <w:pPr>
        <w:numPr>
          <w:ilvl w:val="0"/>
          <w:numId w:val="1025"/>
        </w:numPr>
      </w:pPr>
      <w:r>
        <w:t xml:space="preserve">Écran de commande recommandée</w:t>
      </w:r>
    </w:p>
    <w:p>
      <w:pPr>
        <w:numPr>
          <w:ilvl w:val="0"/>
          <w:numId w:val="1025"/>
        </w:numPr>
      </w:pPr>
      <w:r>
        <w:t xml:space="preserve">Détail des prévisions par produit</w:t>
      </w:r>
    </w:p>
    <w:p>
      <w:pPr>
        <w:numPr>
          <w:ilvl w:val="0"/>
          <w:numId w:val="1025"/>
        </w:numPr>
      </w:pPr>
      <w:r>
        <w:t xml:space="preserve">Historique de fiabilité des prévisions</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RG-IA-01</w:t>
            </w:r>
          </w:p>
        </w:tc>
        <w:tc>
          <w:tcPr/>
          <w:p>
            <w:pPr>
              <w:pStyle w:val="Compact"/>
              <w:jc w:val="left"/>
            </w:pPr>
            <w:r>
              <w:t xml:space="preserve">Une commande recommandée par le moteur de prévision ne peut jamais être transmise automatiquement à un fournisseur sans validation explicite du pharmacien.</w:t>
            </w:r>
          </w:p>
        </w:tc>
        <w:tc>
          <w:tcPr/>
          <w:p>
            <w:pPr>
              <w:pStyle w:val="Compact"/>
              <w:jc w:val="left"/>
            </w:pPr>
            <w:r>
              <w:t xml:space="preserve">Critique</w:t>
            </w:r>
          </w:p>
        </w:tc>
      </w:tr>
      <w:tr>
        <w:tc>
          <w:tcPr/>
          <w:p>
            <w:pPr>
              <w:pStyle w:val="Compact"/>
              <w:jc w:val="left"/>
            </w:pPr>
            <w:r>
              <w:t xml:space="preserve">RG-IA-02</w:t>
            </w:r>
          </w:p>
        </w:tc>
        <w:tc>
          <w:tcPr/>
          <w:p>
            <w:pPr>
              <w:pStyle w:val="Compact"/>
              <w:jc w:val="left"/>
            </w:pPr>
            <w:r>
              <w:t xml:space="preserve">Les données utilisées pour l’apprentissage agrégé inter-officines sont anonymisées et ne permettent pas de réidentifier une pharmacie tierce.</w:t>
            </w:r>
          </w:p>
        </w:tc>
        <w:tc>
          <w:tcPr/>
          <w:p>
            <w:pPr>
              <w:pStyle w:val="Compact"/>
              <w:jc w:val="left"/>
            </w:pPr>
            <w:r>
              <w:t xml:space="preserve">Critique</w:t>
            </w:r>
          </w:p>
        </w:tc>
      </w:tr>
    </w:tbl>
    <w:p>
      <w:pPr>
        <w:pStyle w:val="BodyText"/>
      </w:pPr>
      <w:r>
        <w:rPr>
          <w:bCs/>
          <w:b/>
        </w:rPr>
        <w:t xml:space="preserve">Module 12 — Traçabilité &amp;</w:t>
      </w:r>
      <w:r>
        <w:t xml:space="preserve">** Lutte contre les médicaments contrefaits**</w:t>
      </w:r>
    </w:p>
    <w:p>
      <w:pPr>
        <w:pStyle w:val="BodyText"/>
      </w:pPr>
      <w:r>
        <w:rPr>
          <w:bCs/>
          <w:b/>
        </w:rPr>
        <w:t xml:space="preserve">Code module :</w:t>
      </w:r>
      <w:r>
        <w:rPr>
          <w:bCs/>
          <w:b/>
        </w:rPr>
        <w:t xml:space="preserve"> </w:t>
      </w:r>
      <w:r>
        <w:t xml:space="preserve">TRC** | Priorité : **Différenciant — Critique confiance</w:t>
      </w:r>
    </w:p>
    <w:p>
      <w:pPr>
        <w:pStyle w:val="BodyText"/>
      </w:pPr>
      <w:r>
        <w:rPr>
          <w:bCs/>
          <w:b/>
        </w:rPr>
        <w:t xml:space="preserve">Objectif</w:t>
      </w:r>
    </w:p>
    <w:p>
      <w:pPr>
        <w:pStyle w:val="BodyText"/>
      </w:pPr>
      <w:r>
        <w:t xml:space="preserve">Garantir, à chaque étape de la chaîne, l’authenticité des produits proposés sur PharmaConnect, en s’inspirant des dispositifs de sérialisation par datamatrix et des solutions d’authentification portables (type RxScanner) déployées par les acteurs de référence du secteur en Afrique.</w:t>
      </w:r>
    </w:p>
    <w:p>
      <w:pPr>
        <w:pStyle w:val="BodyText"/>
      </w:pPr>
      <w:r>
        <w:rPr>
          <w:bCs/>
          <w:b/>
        </w:rPr>
        <w:t xml:space="preserve">Fonctionnalités clés</w:t>
      </w:r>
    </w:p>
    <w:p>
      <w:pPr>
        <w:numPr>
          <w:ilvl w:val="0"/>
          <w:numId w:val="1026"/>
        </w:numPr>
      </w:pPr>
      <w:r>
        <w:t xml:space="preserve">Scan du code-barres/datamatrix de chaque unité de vente à la réception, à la vente et à la livraison, pour constituer une chaîne de traçabilité continue</w:t>
      </w:r>
    </w:p>
    <w:p>
      <w:pPr>
        <w:numPr>
          <w:ilvl w:val="0"/>
          <w:numId w:val="1026"/>
        </w:numPr>
      </w:pPr>
      <w:r>
        <w:t xml:space="preserve">Journal infalsifiable des mouvements d’un lot, du fournisseur agréé jusqu’à la dispensation, avec option d’ancrage sur un registre partagé de type blockchain pour les produits à haut risque de contrefaçon</w:t>
      </w:r>
    </w:p>
    <w:p>
      <w:pPr>
        <w:numPr>
          <w:ilvl w:val="0"/>
          <w:numId w:val="1026"/>
        </w:numPr>
      </w:pPr>
      <w:r>
        <w:t xml:space="preserve">Vérification croisée du numéro de lot avec les alertes de rappel ou de falsification émises par la DNPM ou l’Organisation Mondiale de la Santé</w:t>
      </w:r>
    </w:p>
    <w:p>
      <w:pPr>
        <w:numPr>
          <w:ilvl w:val="0"/>
          <w:numId w:val="1026"/>
        </w:numPr>
      </w:pPr>
      <w:r>
        <w:t xml:space="preserve">Signalement patient d’un produit suspect (aspect, emballage, effet inattendu) transmis directement au pharmacovigilance</w:t>
      </w:r>
    </w:p>
    <w:p>
      <w:pPr>
        <w:numPr>
          <w:ilvl w:val="0"/>
          <w:numId w:val="1026"/>
        </w:numPr>
      </w:pPr>
      <w:r>
        <w:t xml:space="preserve">Partenariat possible avec un dispositif d’authentification portable (spectroscopie) pour les officines et grossistes volontaires</w:t>
      </w:r>
    </w:p>
    <w:p>
      <w:pPr>
        <w:pStyle w:val="FirstParagraph"/>
      </w:pPr>
      <w:r>
        <w:rPr>
          <w:bCs/>
          <w:b/>
        </w:rPr>
        <w:t xml:space="preserve">Écrans principaux</w:t>
      </w:r>
    </w:p>
    <w:p>
      <w:pPr>
        <w:numPr>
          <w:ilvl w:val="0"/>
          <w:numId w:val="1027"/>
        </w:numPr>
      </w:pPr>
      <w:r>
        <w:t xml:space="preserve">Scan de réception</w:t>
      </w:r>
    </w:p>
    <w:p>
      <w:pPr>
        <w:numPr>
          <w:ilvl w:val="0"/>
          <w:numId w:val="1027"/>
        </w:numPr>
      </w:pPr>
      <w:r>
        <w:t xml:space="preserve">Historique de traçabilité d’un lot</w:t>
      </w:r>
    </w:p>
    <w:p>
      <w:pPr>
        <w:numPr>
          <w:ilvl w:val="0"/>
          <w:numId w:val="1027"/>
        </w:numPr>
      </w:pPr>
      <w:r>
        <w:t xml:space="preserve">Écran de signalement produit suspect</w:t>
      </w:r>
    </w:p>
    <w:p>
      <w:pPr>
        <w:numPr>
          <w:ilvl w:val="0"/>
          <w:numId w:val="1027"/>
        </w:numPr>
      </w:pPr>
      <w:r>
        <w:t xml:space="preserve">Tableau de bord des alertes de contrefaçon</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RG-TRC-01</w:t>
            </w:r>
          </w:p>
        </w:tc>
        <w:tc>
          <w:tcPr/>
          <w:p>
            <w:pPr>
              <w:pStyle w:val="Compact"/>
              <w:jc w:val="left"/>
            </w:pPr>
            <w:r>
              <w:t xml:space="preserve">Tout produit reçu par une officine partenaire sans code de traçabilité valide est bloqué à la vente jusqu’à régularisation.</w:t>
            </w:r>
          </w:p>
        </w:tc>
        <w:tc>
          <w:tcPr/>
          <w:p>
            <w:pPr>
              <w:pStyle w:val="Compact"/>
              <w:jc w:val="left"/>
            </w:pPr>
            <w:r>
              <w:t xml:space="preserve">Critique</w:t>
            </w:r>
          </w:p>
        </w:tc>
      </w:tr>
      <w:tr>
        <w:tc>
          <w:tcPr/>
          <w:p>
            <w:pPr>
              <w:pStyle w:val="Compact"/>
              <w:jc w:val="left"/>
            </w:pPr>
            <w:r>
              <w:t xml:space="preserve">RG-TRC-02</w:t>
            </w:r>
          </w:p>
        </w:tc>
        <w:tc>
          <w:tcPr/>
          <w:p>
            <w:pPr>
              <w:pStyle w:val="Compact"/>
              <w:jc w:val="left"/>
            </w:pPr>
            <w:r>
              <w:t xml:space="preserve">Un signalement de produit suspect ouvre automatiquement un dossier de pharmacovigilance et alerte l’officine concernée ainsi que l’administrateur GSG.</w:t>
            </w:r>
          </w:p>
        </w:tc>
        <w:tc>
          <w:tcPr/>
          <w:p>
            <w:pPr>
              <w:pStyle w:val="Compact"/>
              <w:jc w:val="left"/>
            </w:pPr>
            <w:r>
              <w:t xml:space="preserve">Critique</w:t>
            </w:r>
          </w:p>
        </w:tc>
      </w:tr>
      <w:tr>
        <w:tc>
          <w:tcPr/>
          <w:p>
            <w:pPr>
              <w:pStyle w:val="Compact"/>
              <w:jc w:val="left"/>
            </w:pPr>
            <w:r>
              <w:t xml:space="preserve">RG-TRC-03</w:t>
            </w:r>
          </w:p>
        </w:tc>
        <w:tc>
          <w:tcPr/>
          <w:p>
            <w:pPr>
              <w:pStyle w:val="Compact"/>
              <w:jc w:val="left"/>
            </w:pPr>
            <w:r>
              <w:t xml:space="preserve">Un fournisseur ayant fait l’objet de trois signalements de non-authenticité confirmés sur une période de douze mois est suspendu du marketplace B2B.</w:t>
            </w:r>
          </w:p>
        </w:tc>
        <w:tc>
          <w:tcPr/>
          <w:p>
            <w:pPr>
              <w:pStyle w:val="Compact"/>
              <w:jc w:val="left"/>
            </w:pPr>
            <w:r>
              <w:t xml:space="preserve">Critique</w:t>
            </w:r>
          </w:p>
        </w:tc>
      </w:tr>
    </w:tbl>
    <w:p>
      <w:pPr>
        <w:pStyle w:val="BodyText"/>
      </w:pPr>
      <w:r>
        <w:rPr>
          <w:bCs/>
          <w:b/>
        </w:rPr>
        <w:t xml:space="preserve">Module 13 — Marketplace B2B Grossistes ↔ Pharmacies</w:t>
      </w:r>
    </w:p>
    <w:p>
      <w:pPr>
        <w:pStyle w:val="BodyText"/>
      </w:pPr>
      <w:r>
        <w:rPr>
          <w:bCs/>
          <w:b/>
        </w:rPr>
        <w:t xml:space="preserve">Code module :</w:t>
      </w:r>
      <w:r>
        <w:rPr>
          <w:bCs/>
          <w:b/>
        </w:rPr>
        <w:t xml:space="preserve"> </w:t>
      </w:r>
      <w:r>
        <w:t xml:space="preserve">B2B** | Priorité : **Différenciant</w:t>
      </w:r>
    </w:p>
    <w:p>
      <w:pPr>
        <w:pStyle w:val="BodyText"/>
      </w:pPr>
      <w:r>
        <w:rPr>
          <w:bCs/>
          <w:b/>
        </w:rPr>
        <w:t xml:space="preserve">Objectif</w:t>
      </w:r>
    </w:p>
    <w:p>
      <w:pPr>
        <w:pStyle w:val="BodyText"/>
      </w:pPr>
      <w:r>
        <w:t xml:space="preserve">Connecter les officines directement aux grossistes-répartiteurs et fournisseurs agréés pour fluidifier l’approvisionnement, comparer les prix et sécuriser la qualité, à la manière des plateformes de procurement pharmaceutique observées au Nigeria (DrugStoc) et en Afrique de l’Est.</w:t>
      </w:r>
    </w:p>
    <w:p>
      <w:pPr>
        <w:pStyle w:val="BodyText"/>
      </w:pPr>
      <w:r>
        <w:rPr>
          <w:bCs/>
          <w:b/>
        </w:rPr>
        <w:t xml:space="preserve">Fonctionnalités clés</w:t>
      </w:r>
    </w:p>
    <w:p>
      <w:pPr>
        <w:numPr>
          <w:ilvl w:val="0"/>
          <w:numId w:val="1028"/>
        </w:numPr>
      </w:pPr>
      <w:r>
        <w:t xml:space="preserve">Catalogue fournisseur avec prix, délais de livraison et conditions de paiement</w:t>
      </w:r>
    </w:p>
    <w:p>
      <w:pPr>
        <w:numPr>
          <w:ilvl w:val="0"/>
          <w:numId w:val="1028"/>
        </w:numPr>
      </w:pPr>
      <w:r>
        <w:t xml:space="preserve">Commande groupée entre plusieurs officines d’un même quartier pour bénéficier de tarifs de gros</w:t>
      </w:r>
    </w:p>
    <w:p>
      <w:pPr>
        <w:numPr>
          <w:ilvl w:val="0"/>
          <w:numId w:val="1028"/>
        </w:numPr>
      </w:pPr>
      <w:r>
        <w:t xml:space="preserve">Comparateur multi-fournisseurs pour un même produit</w:t>
      </w:r>
    </w:p>
    <w:p>
      <w:pPr>
        <w:numPr>
          <w:ilvl w:val="0"/>
          <w:numId w:val="1028"/>
        </w:numPr>
      </w:pPr>
      <w:r>
        <w:t xml:space="preserve">Évaluation des fournisseurs par les pharmacies (fiabilité, délais, authenticité)</w:t>
      </w:r>
    </w:p>
    <w:p>
      <w:pPr>
        <w:numPr>
          <w:ilvl w:val="0"/>
          <w:numId w:val="1028"/>
        </w:numPr>
      </w:pPr>
      <w:r>
        <w:t xml:space="preserve">Synergie prévue avec le module Institutional Networking Hub de TradeLink Africa pour les acteurs déjà interconnectés sur GSG</w:t>
      </w:r>
    </w:p>
    <w:p>
      <w:pPr>
        <w:pStyle w:val="FirstParagraph"/>
      </w:pPr>
      <w:r>
        <w:rPr>
          <w:bCs/>
          <w:b/>
        </w:rPr>
        <w:t xml:space="preserve">Écrans principaux</w:t>
      </w:r>
    </w:p>
    <w:p>
      <w:pPr>
        <w:numPr>
          <w:ilvl w:val="0"/>
          <w:numId w:val="1029"/>
        </w:numPr>
      </w:pPr>
      <w:r>
        <w:t xml:space="preserve">Catalogue fournisseurs</w:t>
      </w:r>
    </w:p>
    <w:p>
      <w:pPr>
        <w:numPr>
          <w:ilvl w:val="0"/>
          <w:numId w:val="1029"/>
        </w:numPr>
      </w:pPr>
      <w:r>
        <w:t xml:space="preserve">Comparateur de prix</w:t>
      </w:r>
    </w:p>
    <w:p>
      <w:pPr>
        <w:numPr>
          <w:ilvl w:val="0"/>
          <w:numId w:val="1029"/>
        </w:numPr>
      </w:pPr>
      <w:r>
        <w:t xml:space="preserve">Commande groupée</w:t>
      </w:r>
    </w:p>
    <w:p>
      <w:pPr>
        <w:numPr>
          <w:ilvl w:val="0"/>
          <w:numId w:val="1029"/>
        </w:numPr>
      </w:pPr>
      <w:r>
        <w:t xml:space="preserve">Évaluation fournisseur</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RG-B2B-01</w:t>
            </w:r>
          </w:p>
        </w:tc>
        <w:tc>
          <w:tcPr/>
          <w:p>
            <w:pPr>
              <w:pStyle w:val="Compact"/>
              <w:jc w:val="left"/>
            </w:pPr>
            <w:r>
              <w:t xml:space="preserve">Un fournisseur ne peut être référencé sur le marketplace qu’après vérification de son agrément de distribution en gros.</w:t>
            </w:r>
          </w:p>
        </w:tc>
        <w:tc>
          <w:tcPr/>
          <w:p>
            <w:pPr>
              <w:pStyle w:val="Compact"/>
              <w:jc w:val="left"/>
            </w:pPr>
            <w:r>
              <w:t xml:space="preserve">Critique</w:t>
            </w:r>
          </w:p>
        </w:tc>
      </w:tr>
      <w:tr>
        <w:tc>
          <w:tcPr/>
          <w:p>
            <w:pPr>
              <w:pStyle w:val="Compact"/>
              <w:jc w:val="left"/>
            </w:pPr>
            <w:r>
              <w:t xml:space="preserve">RG-B2B-02</w:t>
            </w:r>
          </w:p>
        </w:tc>
        <w:tc>
          <w:tcPr/>
          <w:p>
            <w:pPr>
              <w:pStyle w:val="Compact"/>
              <w:jc w:val="left"/>
            </w:pPr>
            <w:r>
              <w:t xml:space="preserve">Une commande groupée n’est transmise au fournisseur qu’une fois le seuil minimal de quantité atteint ou la date limite de regroupement expirée.</w:t>
            </w:r>
          </w:p>
        </w:tc>
        <w:tc>
          <w:tcPr/>
          <w:p>
            <w:pPr>
              <w:pStyle w:val="Compact"/>
              <w:jc w:val="left"/>
            </w:pPr>
            <w:r>
              <w:t xml:space="preserve">Standard</w:t>
            </w:r>
          </w:p>
        </w:tc>
      </w:tr>
    </w:tbl>
    <w:p>
      <w:pPr>
        <w:pStyle w:val="BodyText"/>
      </w:pPr>
      <w:r>
        <w:rPr>
          <w:bCs/>
          <w:b/>
        </w:rPr>
        <w:t xml:space="preserve">Module 14 — Financement &amp;</w:t>
      </w:r>
      <w:r>
        <w:t xml:space="preserve">** Crédit fournisseur pour officines**</w:t>
      </w:r>
    </w:p>
    <w:p>
      <w:pPr>
        <w:pStyle w:val="BodyText"/>
      </w:pPr>
      <w:r>
        <w:rPr>
          <w:bCs/>
          <w:b/>
        </w:rPr>
        <w:t xml:space="preserve">Code module :</w:t>
      </w:r>
      <w:r>
        <w:rPr>
          <w:bCs/>
          <w:b/>
        </w:rPr>
        <w:t xml:space="preserve"> </w:t>
      </w:r>
      <w:r>
        <w:t xml:space="preserve">FIN** | Priorité : **Différenciant</w:t>
      </w:r>
    </w:p>
    <w:p>
      <w:pPr>
        <w:pStyle w:val="BodyText"/>
      </w:pPr>
      <w:r>
        <w:rPr>
          <w:bCs/>
          <w:b/>
        </w:rPr>
        <w:t xml:space="preserve">Objectif</w:t>
      </w:r>
    </w:p>
    <w:p>
      <w:pPr>
        <w:pStyle w:val="BodyText"/>
      </w:pPr>
      <w:r>
        <w:t xml:space="preserve">Réduire la principale barrière à la disponibilité constatée sur le marché (rupture de stock faute de trésorerie) en proposant des solutions de financement court terme aux officines, sur le modèle du « buy now, pay later » déjà expérimenté par les acteurs les plus avancés du continent.</w:t>
      </w:r>
    </w:p>
    <w:p>
      <w:pPr>
        <w:pStyle w:val="BodyText"/>
      </w:pPr>
      <w:r>
        <w:rPr>
          <w:bCs/>
          <w:b/>
        </w:rPr>
        <w:t xml:space="preserve">Fonctionnalités clés</w:t>
      </w:r>
    </w:p>
    <w:p>
      <w:pPr>
        <w:numPr>
          <w:ilvl w:val="0"/>
          <w:numId w:val="1030"/>
        </w:numPr>
      </w:pPr>
      <w:r>
        <w:t xml:space="preserve">Scoring de l’officine basé sur son historique de ventes et de paiements sur la plateforme</w:t>
      </w:r>
    </w:p>
    <w:p>
      <w:pPr>
        <w:numPr>
          <w:ilvl w:val="0"/>
          <w:numId w:val="1030"/>
        </w:numPr>
      </w:pPr>
      <w:r>
        <w:t xml:space="preserve">Ligne de crédit renouvelable pour l’achat de stock auprès des fournisseurs du marketplace B2B</w:t>
      </w:r>
    </w:p>
    <w:p>
      <w:pPr>
        <w:numPr>
          <w:ilvl w:val="0"/>
          <w:numId w:val="1030"/>
        </w:numPr>
      </w:pPr>
      <w:r>
        <w:t xml:space="preserve">Échéancier de remboursement prélevé automatiquement sur une part des encaissements futurs</w:t>
      </w:r>
    </w:p>
    <w:p>
      <w:pPr>
        <w:numPr>
          <w:ilvl w:val="0"/>
          <w:numId w:val="1030"/>
        </w:numPr>
      </w:pPr>
      <w:r>
        <w:t xml:space="preserve">Partenariat avec des institutions de microfinance ou établissements bancaires locaux</w:t>
      </w:r>
    </w:p>
    <w:p>
      <w:pPr>
        <w:pStyle w:val="FirstParagraph"/>
      </w:pPr>
      <w:r>
        <w:rPr>
          <w:bCs/>
          <w:b/>
        </w:rPr>
        <w:t xml:space="preserve">Écrans principaux</w:t>
      </w:r>
    </w:p>
    <w:p>
      <w:pPr>
        <w:numPr>
          <w:ilvl w:val="0"/>
          <w:numId w:val="1031"/>
        </w:numPr>
      </w:pPr>
      <w:r>
        <w:t xml:space="preserve">Demande de financement</w:t>
      </w:r>
    </w:p>
    <w:p>
      <w:pPr>
        <w:numPr>
          <w:ilvl w:val="0"/>
          <w:numId w:val="1031"/>
        </w:numPr>
      </w:pPr>
      <w:r>
        <w:t xml:space="preserve">Suivi de la ligne de crédit</w:t>
      </w:r>
    </w:p>
    <w:p>
      <w:pPr>
        <w:numPr>
          <w:ilvl w:val="0"/>
          <w:numId w:val="1031"/>
        </w:numPr>
      </w:pPr>
      <w:r>
        <w:t xml:space="preserve">Échéancier de remboursement</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RG-FIN-01</w:t>
            </w:r>
          </w:p>
        </w:tc>
        <w:tc>
          <w:tcPr/>
          <w:p>
            <w:pPr>
              <w:pStyle w:val="Compact"/>
              <w:jc w:val="left"/>
            </w:pPr>
            <w:r>
              <w:t xml:space="preserve">L’octroi d’une ligne de crédit à une officine requiert un historique minimal d’activité sur la plateforme et est soumis à validation d’un partenaire financier agréé.</w:t>
            </w:r>
          </w:p>
        </w:tc>
        <w:tc>
          <w:tcPr/>
          <w:p>
            <w:pPr>
              <w:pStyle w:val="Compact"/>
              <w:jc w:val="left"/>
            </w:pPr>
            <w:r>
              <w:t xml:space="preserve">Critique</w:t>
            </w:r>
          </w:p>
        </w:tc>
      </w:tr>
      <w:tr>
        <w:tc>
          <w:tcPr/>
          <w:p>
            <w:pPr>
              <w:pStyle w:val="Compact"/>
              <w:jc w:val="left"/>
            </w:pPr>
            <w:r>
              <w:t xml:space="preserve">RG-FIN-02</w:t>
            </w:r>
          </w:p>
        </w:tc>
        <w:tc>
          <w:tcPr/>
          <w:p>
            <w:pPr>
              <w:pStyle w:val="Compact"/>
              <w:jc w:val="left"/>
            </w:pPr>
            <w:r>
              <w:t xml:space="preserve">Le module de financement n’est accessible qu’aux officines à jour de leur agrément et sans signalement de pharmacovigilance non résolu.</w:t>
            </w:r>
          </w:p>
        </w:tc>
        <w:tc>
          <w:tcPr/>
          <w:p>
            <w:pPr>
              <w:pStyle w:val="Compact"/>
              <w:jc w:val="left"/>
            </w:pPr>
            <w:r>
              <w:t xml:space="preserve">Standard</w:t>
            </w:r>
          </w:p>
        </w:tc>
      </w:tr>
    </w:tbl>
    <w:p>
      <w:pPr>
        <w:pStyle w:val="BodyText"/>
      </w:pPr>
      <w:r>
        <w:rPr>
          <w:bCs/>
          <w:b/>
        </w:rPr>
        <w:t xml:space="preserve">Module 15 — Télé-conseil pharmaceutique &amp;</w:t>
      </w:r>
      <w:r>
        <w:t xml:space="preserve">** Orientation (non-diagnostic)**</w:t>
      </w:r>
    </w:p>
    <w:p>
      <w:pPr>
        <w:pStyle w:val="BodyText"/>
      </w:pPr>
      <w:r>
        <w:rPr>
          <w:bCs/>
          <w:b/>
        </w:rPr>
        <w:t xml:space="preserve">Code module :</w:t>
      </w:r>
      <w:r>
        <w:rPr>
          <w:bCs/>
          <w:b/>
        </w:rPr>
        <w:t xml:space="preserve"> </w:t>
      </w:r>
      <w:r>
        <w:t xml:space="preserve">CNS** | Priorité : **Haute</w:t>
      </w:r>
    </w:p>
    <w:p>
      <w:pPr>
        <w:pStyle w:val="BodyText"/>
      </w:pPr>
      <w:r>
        <w:rPr>
          <w:bCs/>
          <w:b/>
        </w:rPr>
        <w:t xml:space="preserve">Objectif</w:t>
      </w:r>
    </w:p>
    <w:p>
      <w:pPr>
        <w:pStyle w:val="BodyText"/>
      </w:pPr>
      <w:r>
        <w:t xml:space="preserve">Offrir un canal d’information et d’orientation encadré, strictement distinct d’un service de diagnostic médical, conformément au principe fondateur retenu pour PharmaConnect : l’IA informe, le professionnel décide.</w:t>
      </w:r>
    </w:p>
    <w:p>
      <w:pPr>
        <w:pStyle w:val="BodyText"/>
      </w:pPr>
      <w:r>
        <w:rPr>
          <w:bCs/>
          <w:b/>
        </w:rPr>
        <w:t xml:space="preserve">Fonctionnalités clés</w:t>
      </w:r>
    </w:p>
    <w:p>
      <w:pPr>
        <w:numPr>
          <w:ilvl w:val="0"/>
          <w:numId w:val="1032"/>
        </w:numPr>
      </w:pPr>
      <w:r>
        <w:t xml:space="preserve">Fiches d’information générales sur les médicaments (notice, précautions, conservation) rédigées ou validées par un pharmacien</w:t>
      </w:r>
    </w:p>
    <w:p>
      <w:pPr>
        <w:numPr>
          <w:ilvl w:val="0"/>
          <w:numId w:val="1032"/>
        </w:numPr>
      </w:pPr>
      <w:r>
        <w:t xml:space="preserve">Assistant conversationnel limité à l’explication du vocabulaire médical et à l’orientation vers un professionnel</w:t>
      </w:r>
    </w:p>
    <w:p>
      <w:pPr>
        <w:numPr>
          <w:ilvl w:val="0"/>
          <w:numId w:val="1032"/>
        </w:numPr>
      </w:pPr>
      <w:r>
        <w:t xml:space="preserve">Mise en relation directe (chat, appel) avec le pharmacien de l’officine choisie pour toute question spécifique</w:t>
      </w:r>
    </w:p>
    <w:p>
      <w:pPr>
        <w:numPr>
          <w:ilvl w:val="0"/>
          <w:numId w:val="1032"/>
        </w:numPr>
      </w:pPr>
      <w:r>
        <w:t xml:space="preserve">Repérage des situations nécessitant une consultation urgente, avec orientation vers les services de santé appropriés</w:t>
      </w:r>
    </w:p>
    <w:p>
      <w:pPr>
        <w:pStyle w:val="FirstParagraph"/>
      </w:pPr>
      <w:r>
        <w:rPr>
          <w:bCs/>
          <w:b/>
        </w:rPr>
        <w:t xml:space="preserve">Écrans principaux</w:t>
      </w:r>
    </w:p>
    <w:p>
      <w:pPr>
        <w:numPr>
          <w:ilvl w:val="0"/>
          <w:numId w:val="1033"/>
        </w:numPr>
      </w:pPr>
      <w:r>
        <w:t xml:space="preserve">Fiche d’information médicament</w:t>
      </w:r>
    </w:p>
    <w:p>
      <w:pPr>
        <w:numPr>
          <w:ilvl w:val="0"/>
          <w:numId w:val="1033"/>
        </w:numPr>
      </w:pPr>
      <w:r>
        <w:t xml:space="preserve">Chat avec le pharmacien</w:t>
      </w:r>
    </w:p>
    <w:p>
      <w:pPr>
        <w:numPr>
          <w:ilvl w:val="0"/>
          <w:numId w:val="1033"/>
        </w:numPr>
      </w:pPr>
      <w:r>
        <w:t xml:space="preserve">Assistant d’orientation générale</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RG-CNS-01</w:t>
            </w:r>
          </w:p>
        </w:tc>
        <w:tc>
          <w:tcPr/>
          <w:p>
            <w:pPr>
              <w:pStyle w:val="Compact"/>
              <w:jc w:val="left"/>
            </w:pPr>
            <w:r>
              <w:t xml:space="preserve">L’assistant conversationnel ne formule à aucun moment une recommandation de posologie, de diagnostic ou de choix thérapeutique individualisé ; toute question de cette nature est systématiquement redirigée vers un pharmacien ou un médecin.</w:t>
            </w:r>
          </w:p>
        </w:tc>
        <w:tc>
          <w:tcPr/>
          <w:p>
            <w:pPr>
              <w:pStyle w:val="Compact"/>
              <w:jc w:val="left"/>
            </w:pPr>
            <w:r>
              <w:t xml:space="preserve">Critique</w:t>
            </w:r>
          </w:p>
        </w:tc>
      </w:tr>
      <w:tr>
        <w:tc>
          <w:tcPr/>
          <w:p>
            <w:pPr>
              <w:pStyle w:val="Compact"/>
              <w:jc w:val="left"/>
            </w:pPr>
            <w:r>
              <w:t xml:space="preserve">RG-CNS-02</w:t>
            </w:r>
          </w:p>
        </w:tc>
        <w:tc>
          <w:tcPr/>
          <w:p>
            <w:pPr>
              <w:pStyle w:val="Compact"/>
              <w:jc w:val="left"/>
            </w:pPr>
            <w:r>
              <w:t xml:space="preserve">Toute réponse générée par l’assistant s’appuie exclusivement sur des contenus validés par un pharmacien référent et versionnés dans le référentiel produit.</w:t>
            </w:r>
          </w:p>
        </w:tc>
        <w:tc>
          <w:tcPr/>
          <w:p>
            <w:pPr>
              <w:pStyle w:val="Compact"/>
              <w:jc w:val="left"/>
            </w:pPr>
            <w:r>
              <w:t xml:space="preserve">Critique</w:t>
            </w:r>
          </w:p>
        </w:tc>
      </w:tr>
    </w:tbl>
    <w:p>
      <w:pPr>
        <w:pStyle w:val="BodyText"/>
      </w:pPr>
      <w:r>
        <w:rPr>
          <w:bCs/>
          <w:b/>
        </w:rPr>
        <w:t xml:space="preserve">Module 16 — Fidélité &amp;</w:t>
      </w:r>
      <w:r>
        <w:t xml:space="preserve">** Suivi des traitements chroniques**</w:t>
      </w:r>
    </w:p>
    <w:p>
      <w:pPr>
        <w:pStyle w:val="BodyText"/>
      </w:pPr>
      <w:r>
        <w:rPr>
          <w:bCs/>
          <w:b/>
        </w:rPr>
        <w:t xml:space="preserve">Code module :</w:t>
      </w:r>
      <w:r>
        <w:rPr>
          <w:bCs/>
          <w:b/>
        </w:rPr>
        <w:t xml:space="preserve"> </w:t>
      </w:r>
      <w:r>
        <w:t xml:space="preserve">FID** | Priorité : **Standard</w:t>
      </w:r>
    </w:p>
    <w:p>
      <w:pPr>
        <w:pStyle w:val="BodyText"/>
      </w:pPr>
      <w:r>
        <w:rPr>
          <w:bCs/>
          <w:b/>
        </w:rPr>
        <w:t xml:space="preserve">Objectif</w:t>
      </w:r>
    </w:p>
    <w:p>
      <w:pPr>
        <w:pStyle w:val="BodyText"/>
      </w:pPr>
      <w:r>
        <w:t xml:space="preserve">Accompagner les patients sous traitement chronique (diabète, hypertension, VIH, asthme) dans le renouvellement régulier de leurs ordonnances et fidéliser la relation avec une officine de référence.</w:t>
      </w:r>
    </w:p>
    <w:p>
      <w:pPr>
        <w:pStyle w:val="BodyText"/>
      </w:pPr>
      <w:r>
        <w:rPr>
          <w:bCs/>
          <w:b/>
        </w:rPr>
        <w:t xml:space="preserve">Fonctionnalités clés</w:t>
      </w:r>
    </w:p>
    <w:p>
      <w:pPr>
        <w:numPr>
          <w:ilvl w:val="0"/>
          <w:numId w:val="1034"/>
        </w:numPr>
      </w:pPr>
      <w:r>
        <w:t xml:space="preserve">Rappel de renouvellement d’ordonnance chronique avant rupture de traitement</w:t>
      </w:r>
    </w:p>
    <w:p>
      <w:pPr>
        <w:numPr>
          <w:ilvl w:val="0"/>
          <w:numId w:val="1034"/>
        </w:numPr>
      </w:pPr>
      <w:r>
        <w:t xml:space="preserve">Programme de fidélité avec avantages sur les produits de parapharmacie</w:t>
      </w:r>
    </w:p>
    <w:p>
      <w:pPr>
        <w:numPr>
          <w:ilvl w:val="0"/>
          <w:numId w:val="1034"/>
        </w:numPr>
      </w:pPr>
      <w:r>
        <w:t xml:space="preserve">Historique de traitement consultable par le patient et, avec son consentement, par un professionnel de santé</w:t>
      </w:r>
    </w:p>
    <w:p>
      <w:pPr>
        <w:numPr>
          <w:ilvl w:val="0"/>
          <w:numId w:val="1034"/>
        </w:numPr>
      </w:pPr>
      <w:r>
        <w:t xml:space="preserve">Option d’abonnement mensuel avec livraison automatique pour les traitements chroniques</w:t>
      </w:r>
    </w:p>
    <w:p>
      <w:pPr>
        <w:pStyle w:val="FirstParagraph"/>
      </w:pPr>
      <w:r>
        <w:rPr>
          <w:bCs/>
          <w:b/>
        </w:rPr>
        <w:t xml:space="preserve">Écrans principaux</w:t>
      </w:r>
    </w:p>
    <w:p>
      <w:pPr>
        <w:numPr>
          <w:ilvl w:val="0"/>
          <w:numId w:val="1035"/>
        </w:numPr>
      </w:pPr>
      <w:r>
        <w:t xml:space="preserve">Suivi de traitement chronique</w:t>
      </w:r>
    </w:p>
    <w:p>
      <w:pPr>
        <w:numPr>
          <w:ilvl w:val="0"/>
          <w:numId w:val="1035"/>
        </w:numPr>
      </w:pPr>
      <w:r>
        <w:t xml:space="preserve">Programme de fidélité</w:t>
      </w:r>
    </w:p>
    <w:p>
      <w:pPr>
        <w:numPr>
          <w:ilvl w:val="0"/>
          <w:numId w:val="1035"/>
        </w:numPr>
      </w:pPr>
      <w:r>
        <w:t xml:space="preserve">Abonnement renouvellement automatique</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RG-FID-01</w:t>
            </w:r>
          </w:p>
        </w:tc>
        <w:tc>
          <w:tcPr/>
          <w:p>
            <w:pPr>
              <w:pStyle w:val="Compact"/>
              <w:jc w:val="left"/>
            </w:pPr>
            <w:r>
              <w:t xml:space="preserve">Le renouvellement automatique d’un traitement chronique ne peut être activé sans ordonnance valide couvrant la durée de l’abonnement.</w:t>
            </w:r>
          </w:p>
        </w:tc>
        <w:tc>
          <w:tcPr/>
          <w:p>
            <w:pPr>
              <w:pStyle w:val="Compact"/>
              <w:jc w:val="left"/>
            </w:pPr>
            <w:r>
              <w:t xml:space="preserve">Critique</w:t>
            </w:r>
          </w:p>
        </w:tc>
      </w:tr>
    </w:tbl>
    <w:p>
      <w:pPr>
        <w:pStyle w:val="BodyText"/>
      </w:pPr>
      <w:r>
        <w:rPr>
          <w:bCs/>
          <w:b/>
        </w:rPr>
        <w:t xml:space="preserve">Module 17 — Triage &amp;</w:t>
      </w:r>
      <w:r>
        <w:t xml:space="preserve">** Orientation d’urgence**</w:t>
      </w:r>
    </w:p>
    <w:p>
      <w:pPr>
        <w:pStyle w:val="BodyText"/>
      </w:pPr>
      <w:r>
        <w:rPr>
          <w:bCs/>
          <w:b/>
        </w:rPr>
        <w:t xml:space="preserve">Code module :</w:t>
      </w:r>
      <w:r>
        <w:rPr>
          <w:bCs/>
          <w:b/>
        </w:rPr>
        <w:t xml:space="preserve"> </w:t>
      </w:r>
      <w:r>
        <w:t xml:space="preserve">TRI** | Priorité : **Critique — Garde-fou médical</w:t>
      </w:r>
    </w:p>
    <w:p>
      <w:pPr>
        <w:pStyle w:val="BodyText"/>
      </w:pPr>
      <w:r>
        <w:rPr>
          <w:bCs/>
          <w:b/>
        </w:rPr>
        <w:t xml:space="preserve">Objectif</w:t>
      </w:r>
    </w:p>
    <w:p>
      <w:pPr>
        <w:pStyle w:val="BodyText"/>
      </w:pPr>
      <w:r>
        <w:t xml:space="preserve">Distinguer, dès le premier contact du patient avec le pilier CARE, les situations relevant d’un soin à domicile, d’une consultation rapide ou d’une urgence vitale, avant toute autre action, conformément au principe de séparation stricte du circuit d’urgence retenu pour PharmaConnect.</w:t>
      </w:r>
    </w:p>
    <w:p>
      <w:pPr>
        <w:pStyle w:val="BodyText"/>
      </w:pPr>
      <w:r>
        <w:rPr>
          <w:bCs/>
          <w:b/>
        </w:rPr>
        <w:t xml:space="preserve">Fonctionnalités clés</w:t>
      </w:r>
    </w:p>
    <w:p>
      <w:pPr>
        <w:numPr>
          <w:ilvl w:val="0"/>
          <w:numId w:val="1036"/>
        </w:numPr>
      </w:pPr>
      <w:r>
        <w:t xml:space="preserve">Questionnaire de pré-évaluation structuré (motif, durée, douleur, fièvre, détresse respiratoire, perte de connaissance, saignement, grossesse, antécédents chroniques)</w:t>
      </w:r>
    </w:p>
    <w:p>
      <w:pPr>
        <w:numPr>
          <w:ilvl w:val="0"/>
          <w:numId w:val="1036"/>
        </w:numPr>
      </w:pPr>
      <w:r>
        <w:t xml:space="preserve">Classification automatique en trois niveaux : consultation à domicile possible, consultation rapide nécessaire, situation potentiellement urgente</w:t>
      </w:r>
    </w:p>
    <w:p>
      <w:pPr>
        <w:numPr>
          <w:ilvl w:val="0"/>
          <w:numId w:val="1036"/>
        </w:numPr>
      </w:pPr>
      <w:r>
        <w:t xml:space="preserve">Redirection immédiate et prioritaire vers les services d’urgence ou une structure adaptée en cas de signal d’alerte, sans attendre l’affectation d’un professionnel</w:t>
      </w:r>
    </w:p>
    <w:p>
      <w:pPr>
        <w:numPr>
          <w:ilvl w:val="0"/>
          <w:numId w:val="1036"/>
        </w:numPr>
      </w:pPr>
      <w:r>
        <w:t xml:space="preserve">Protocoles de triage élaborés et validés avec des professionnels de santé, versionnés et auditables</w:t>
      </w:r>
    </w:p>
    <w:p>
      <w:pPr>
        <w:numPr>
          <w:ilvl w:val="0"/>
          <w:numId w:val="1036"/>
        </w:numPr>
      </w:pPr>
      <w:r>
        <w:t xml:space="preserve">Journalisation de chaque triage à des fins d’amélioration continue des protocoles</w:t>
      </w:r>
    </w:p>
    <w:p>
      <w:pPr>
        <w:pStyle w:val="FirstParagraph"/>
      </w:pPr>
      <w:r>
        <w:rPr>
          <w:bCs/>
          <w:b/>
        </w:rPr>
        <w:t xml:space="preserve">Écrans principaux</w:t>
      </w:r>
    </w:p>
    <w:p>
      <w:pPr>
        <w:numPr>
          <w:ilvl w:val="0"/>
          <w:numId w:val="1037"/>
        </w:numPr>
      </w:pPr>
      <w:r>
        <w:t xml:space="preserve">Questionnaire de pré-évaluation</w:t>
      </w:r>
    </w:p>
    <w:p>
      <w:pPr>
        <w:numPr>
          <w:ilvl w:val="0"/>
          <w:numId w:val="1037"/>
        </w:numPr>
      </w:pPr>
      <w:r>
        <w:t xml:space="preserve">Résultat de triage avec orientation</w:t>
      </w:r>
    </w:p>
    <w:p>
      <w:pPr>
        <w:numPr>
          <w:ilvl w:val="0"/>
          <w:numId w:val="1037"/>
        </w:numPr>
      </w:pPr>
      <w:r>
        <w:t xml:space="preserve">Écran d’urgence (contacts et structures)</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RG-TRI-01</w:t>
            </w:r>
          </w:p>
        </w:tc>
        <w:tc>
          <w:tcPr/>
          <w:p>
            <w:pPr>
              <w:pStyle w:val="Compact"/>
              <w:jc w:val="left"/>
            </w:pPr>
            <w:r>
              <w:t xml:space="preserve">Toute réponse indiquant un signe de gravité (détresse respiratoire, perte de connaissance, saignement important, etc.) déclenche systématiquement l’orientation « situation potentiellement urgente », sans possibilité de contournement par l’utilisateur.</w:t>
            </w:r>
          </w:p>
        </w:tc>
        <w:tc>
          <w:tcPr/>
          <w:p>
            <w:pPr>
              <w:pStyle w:val="Compact"/>
              <w:jc w:val="left"/>
            </w:pPr>
            <w:r>
              <w:t xml:space="preserve">Critique</w:t>
            </w:r>
          </w:p>
        </w:tc>
      </w:tr>
      <w:tr>
        <w:tc>
          <w:tcPr/>
          <w:p>
            <w:pPr>
              <w:pStyle w:val="Compact"/>
              <w:jc w:val="left"/>
            </w:pPr>
            <w:r>
              <w:t xml:space="preserve">RG-TRI-02</w:t>
            </w:r>
          </w:p>
        </w:tc>
        <w:tc>
          <w:tcPr/>
          <w:p>
            <w:pPr>
              <w:pStyle w:val="Compact"/>
              <w:jc w:val="left"/>
            </w:pPr>
            <w:r>
              <w:t xml:space="preserve">Le module de triage n’affecte jamais automatiquement un professionnel dans un cas classé urgent ; il oriente exclusivement vers les services d’urgence ou une structure de soins adaptée.</w:t>
            </w:r>
          </w:p>
        </w:tc>
        <w:tc>
          <w:tcPr/>
          <w:p>
            <w:pPr>
              <w:pStyle w:val="Compact"/>
              <w:jc w:val="left"/>
            </w:pPr>
            <w:r>
              <w:t xml:space="preserve">Critique</w:t>
            </w:r>
          </w:p>
        </w:tc>
      </w:tr>
      <w:tr>
        <w:tc>
          <w:tcPr/>
          <w:p>
            <w:pPr>
              <w:pStyle w:val="Compact"/>
              <w:jc w:val="left"/>
            </w:pPr>
            <w:r>
              <w:t xml:space="preserve">RG-TRI-03</w:t>
            </w:r>
          </w:p>
        </w:tc>
        <w:tc>
          <w:tcPr/>
          <w:p>
            <w:pPr>
              <w:pStyle w:val="Compact"/>
              <w:jc w:val="left"/>
            </w:pPr>
            <w:r>
              <w:t xml:space="preserve">Les protocoles de triage sont revus et validés par un comité médical au moins une fois par an ou après tout incident significatif.</w:t>
            </w:r>
          </w:p>
        </w:tc>
        <w:tc>
          <w:tcPr/>
          <w:p>
            <w:pPr>
              <w:pStyle w:val="Compact"/>
              <w:jc w:val="left"/>
            </w:pPr>
            <w:r>
              <w:t xml:space="preserve">Standard</w:t>
            </w:r>
          </w:p>
        </w:tc>
      </w:tr>
    </w:tbl>
    <w:p>
      <w:pPr>
        <w:pStyle w:val="BodyText"/>
      </w:pPr>
      <w:r>
        <w:rPr>
          <w:bCs/>
          <w:b/>
        </w:rPr>
        <w:t xml:space="preserve">Module 18 — PharmaConnect HomeCare — Consultation &amp;</w:t>
      </w:r>
      <w:r>
        <w:t xml:space="preserve">** Soins à domicile**</w:t>
      </w:r>
    </w:p>
    <w:p>
      <w:pPr>
        <w:pStyle w:val="BodyText"/>
      </w:pPr>
      <w:r>
        <w:rPr>
          <w:bCs/>
          <w:b/>
        </w:rPr>
        <w:t xml:space="preserve">Code module :</w:t>
      </w:r>
      <w:r>
        <w:rPr>
          <w:bCs/>
          <w:b/>
        </w:rPr>
        <w:t xml:space="preserve"> </w:t>
      </w:r>
      <w:r>
        <w:t xml:space="preserve">HOM** | Priorité : **Différenciant — Flagship CARE</w:t>
      </w:r>
    </w:p>
    <w:p>
      <w:pPr>
        <w:pStyle w:val="BodyText"/>
      </w:pPr>
      <w:r>
        <w:rPr>
          <w:bCs/>
          <w:b/>
        </w:rPr>
        <w:t xml:space="preserve">Objectif</w:t>
      </w:r>
    </w:p>
    <w:p>
      <w:pPr>
        <w:pStyle w:val="BodyText"/>
      </w:pPr>
      <w:r>
        <w:t xml:space="preserve">Organiser l’intervention à domicile d’un professionnel de santé (consultation, soins) lorsque le triage l’indique, sous le slogan « Quand vous ne pouvez pas aller au soin, le soin vient à vous », en s’appuyant sur la géolocalisation et la disponibilité en temps réel du réseau de professionnels mobiles.</w:t>
      </w:r>
    </w:p>
    <w:p>
      <w:pPr>
        <w:pStyle w:val="BodyText"/>
      </w:pPr>
      <w:r>
        <w:rPr>
          <w:bCs/>
          <w:b/>
        </w:rPr>
        <w:t xml:space="preserve">Fonctionnalités clés</w:t>
      </w:r>
    </w:p>
    <w:p>
      <w:pPr>
        <w:numPr>
          <w:ilvl w:val="0"/>
          <w:numId w:val="1038"/>
        </w:numPr>
      </w:pPr>
      <w:r>
        <w:t xml:space="preserve">Choix entre téléconsultation immédiate et visite à domicile, arbitré par le professionnel selon la situation</w:t>
      </w:r>
    </w:p>
    <w:p>
      <w:pPr>
        <w:numPr>
          <w:ilvl w:val="0"/>
          <w:numId w:val="1038"/>
        </w:numPr>
      </w:pPr>
      <w:r>
        <w:t xml:space="preserve">Recherche du professionnel disponible le plus pertinent selon la spécialité, la distance, la disponibilité, la langue et le type d’acte demandé</w:t>
      </w:r>
    </w:p>
    <w:p>
      <w:pPr>
        <w:numPr>
          <w:ilvl w:val="0"/>
          <w:numId w:val="1038"/>
        </w:numPr>
      </w:pPr>
      <w:r>
        <w:t xml:space="preserve">Estimation du délai d’arrivée et suivi en temps réel du déplacement du professionnel</w:t>
      </w:r>
    </w:p>
    <w:p>
      <w:pPr>
        <w:numPr>
          <w:ilvl w:val="0"/>
          <w:numId w:val="1038"/>
        </w:numPr>
      </w:pPr>
      <w:r>
        <w:t xml:space="preserve">Acceptation ou refus de la demande par le professionnel, avec motif obligatoire en cas de refus</w:t>
      </w:r>
    </w:p>
    <w:p>
      <w:pPr>
        <w:numPr>
          <w:ilvl w:val="0"/>
          <w:numId w:val="1038"/>
        </w:numPr>
      </w:pPr>
      <w:r>
        <w:t xml:space="preserve">Clôture de l’intervention par un compte-rendu structuré versé au Dossier de Santé Numérique (Module DSN)</w:t>
      </w:r>
    </w:p>
    <w:p>
      <w:pPr>
        <w:pStyle w:val="FirstParagraph"/>
      </w:pPr>
      <w:r>
        <w:rPr>
          <w:bCs/>
          <w:b/>
        </w:rPr>
        <w:t xml:space="preserve">Écrans principaux</w:t>
      </w:r>
    </w:p>
    <w:p>
      <w:pPr>
        <w:numPr>
          <w:ilvl w:val="0"/>
          <w:numId w:val="1039"/>
        </w:numPr>
      </w:pPr>
      <w:r>
        <w:t xml:space="preserve">Demande de soin à domicile</w:t>
      </w:r>
    </w:p>
    <w:p>
      <w:pPr>
        <w:numPr>
          <w:ilvl w:val="0"/>
          <w:numId w:val="1039"/>
        </w:numPr>
      </w:pPr>
      <w:r>
        <w:t xml:space="preserve">Choix téléconsultation / visite à domicile</w:t>
      </w:r>
    </w:p>
    <w:p>
      <w:pPr>
        <w:numPr>
          <w:ilvl w:val="0"/>
          <w:numId w:val="1039"/>
        </w:numPr>
      </w:pPr>
      <w:r>
        <w:t xml:space="preserve">Suivi du professionnel en approche</w:t>
      </w:r>
    </w:p>
    <w:p>
      <w:pPr>
        <w:numPr>
          <w:ilvl w:val="0"/>
          <w:numId w:val="1039"/>
        </w:numPr>
      </w:pPr>
      <w:r>
        <w:t xml:space="preserve">Compte-rendu de consultation</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RG-HOM-01</w:t>
            </w:r>
          </w:p>
        </w:tc>
        <w:tc>
          <w:tcPr/>
          <w:p>
            <w:pPr>
              <w:pStyle w:val="Compact"/>
              <w:jc w:val="left"/>
            </w:pPr>
            <w:r>
              <w:t xml:space="preserve">Une demande classée « urgente » par le Module TRI ne peut pas être traitée par ce module ; elle est bloquée et redirigée vers le circuit d’urgence.</w:t>
            </w:r>
          </w:p>
        </w:tc>
        <w:tc>
          <w:tcPr/>
          <w:p>
            <w:pPr>
              <w:pStyle w:val="Compact"/>
              <w:jc w:val="left"/>
            </w:pPr>
            <w:r>
              <w:t xml:space="preserve">Critique</w:t>
            </w:r>
          </w:p>
        </w:tc>
      </w:tr>
      <w:tr>
        <w:tc>
          <w:tcPr/>
          <w:p>
            <w:pPr>
              <w:pStyle w:val="Compact"/>
              <w:jc w:val="left"/>
            </w:pPr>
            <w:r>
              <w:t xml:space="preserve">RG-HOM-02</w:t>
            </w:r>
          </w:p>
        </w:tc>
        <w:tc>
          <w:tcPr/>
          <w:p>
            <w:pPr>
              <w:pStyle w:val="Compact"/>
              <w:jc w:val="left"/>
            </w:pPr>
            <w:r>
              <w:t xml:space="preserve">La rémunération du professionnel est indépendante du volume de prescriptions ou d’actes complémentaires générés, afin d’éviter tout conflit d’intérêts entre l’acte médical et la vente de produits ou de services additionnels.</w:t>
            </w:r>
          </w:p>
        </w:tc>
        <w:tc>
          <w:tcPr/>
          <w:p>
            <w:pPr>
              <w:pStyle w:val="Compact"/>
              <w:jc w:val="left"/>
            </w:pPr>
            <w:r>
              <w:t xml:space="preserve">Critique</w:t>
            </w:r>
          </w:p>
        </w:tc>
      </w:tr>
      <w:tr>
        <w:tc>
          <w:tcPr/>
          <w:p>
            <w:pPr>
              <w:pStyle w:val="Compact"/>
              <w:jc w:val="left"/>
            </w:pPr>
            <w:r>
              <w:t xml:space="preserve">RG-HOM-03</w:t>
            </w:r>
          </w:p>
        </w:tc>
        <w:tc>
          <w:tcPr/>
          <w:p>
            <w:pPr>
              <w:pStyle w:val="Compact"/>
              <w:jc w:val="left"/>
            </w:pPr>
            <w:r>
              <w:t xml:space="preserve">Une intervention à domicile ne peut être close sans compte-rendu structuré minimal (motif, constantes le cas échéant, décision, suivi éventuel).</w:t>
            </w:r>
          </w:p>
        </w:tc>
        <w:tc>
          <w:tcPr/>
          <w:p>
            <w:pPr>
              <w:pStyle w:val="Compact"/>
              <w:jc w:val="left"/>
            </w:pPr>
            <w:r>
              <w:t xml:space="preserve">Standard</w:t>
            </w:r>
          </w:p>
        </w:tc>
      </w:tr>
    </w:tbl>
    <w:p>
      <w:pPr>
        <w:pStyle w:val="BodyText"/>
      </w:pPr>
      <w:r>
        <w:rPr>
          <w:bCs/>
          <w:b/>
        </w:rPr>
        <w:t xml:space="preserve">Module 19 — Réseau de professionnels mobiles (médecins, infirmiers, sages-femmes)</w:t>
      </w:r>
    </w:p>
    <w:p>
      <w:pPr>
        <w:pStyle w:val="BodyText"/>
      </w:pPr>
      <w:r>
        <w:rPr>
          <w:bCs/>
          <w:b/>
        </w:rPr>
        <w:t xml:space="preserve">Code module :</w:t>
      </w:r>
      <w:r>
        <w:rPr>
          <w:bCs/>
          <w:b/>
        </w:rPr>
        <w:t xml:space="preserve"> </w:t>
      </w:r>
      <w:r>
        <w:t xml:space="preserve">INF** | Priorité : **Critique — Socle CARE</w:t>
      </w:r>
    </w:p>
    <w:p>
      <w:pPr>
        <w:pStyle w:val="BodyText"/>
      </w:pPr>
      <w:r>
        <w:rPr>
          <w:bCs/>
          <w:b/>
        </w:rPr>
        <w:t xml:space="preserve">Objectif</w:t>
      </w:r>
    </w:p>
    <w:p>
      <w:pPr>
        <w:pStyle w:val="BodyText"/>
      </w:pPr>
      <w:r>
        <w:t xml:space="preserve">Constituer et administrer le réseau de médecins, infirmiers, sages-femmes et autres professionnels autorisés à intervenir à domicile ou en téléconsultation sur PharmaConnect, avec vérification de leur inscription à l’ordre professionnel compétent.</w:t>
      </w:r>
    </w:p>
    <w:p>
      <w:pPr>
        <w:pStyle w:val="BodyText"/>
      </w:pPr>
      <w:r>
        <w:rPr>
          <w:bCs/>
          <w:b/>
        </w:rPr>
        <w:t xml:space="preserve">Fonctionnalités clés</w:t>
      </w:r>
    </w:p>
    <w:p>
      <w:pPr>
        <w:numPr>
          <w:ilvl w:val="0"/>
          <w:numId w:val="1040"/>
        </w:numPr>
      </w:pPr>
      <w:r>
        <w:t xml:space="preserve">Vérification de l’inscription active à l’ordre professionnel concerné avant toute activation de compte</w:t>
      </w:r>
    </w:p>
    <w:p>
      <w:pPr>
        <w:numPr>
          <w:ilvl w:val="0"/>
          <w:numId w:val="1040"/>
        </w:numPr>
      </w:pPr>
      <w:r>
        <w:t xml:space="preserve">Définition du périmètre d’actes autorisés par profil professionnel, un infirmier n’accédant pas aux mêmes demandes qu’un médecin</w:t>
      </w:r>
    </w:p>
    <w:p>
      <w:pPr>
        <w:numPr>
          <w:ilvl w:val="0"/>
          <w:numId w:val="1040"/>
        </w:numPr>
      </w:pPr>
      <w:r>
        <w:t xml:space="preserve">Gestion des zones de couverture, des disponibilités et des tarifs par professionnel</w:t>
      </w:r>
    </w:p>
    <w:p>
      <w:pPr>
        <w:numPr>
          <w:ilvl w:val="0"/>
          <w:numId w:val="1040"/>
        </w:numPr>
      </w:pPr>
      <w:r>
        <w:t xml:space="preserve">Application dédiée « PharmaConnect Health Professional » avec réception, acceptation et suivi des demandes</w:t>
      </w:r>
    </w:p>
    <w:p>
      <w:pPr>
        <w:numPr>
          <w:ilvl w:val="0"/>
          <w:numId w:val="1040"/>
        </w:numPr>
      </w:pPr>
      <w:r>
        <w:t xml:space="preserve">Évaluation du professionnel par les patients, avec modération</w:t>
      </w:r>
    </w:p>
    <w:p>
      <w:pPr>
        <w:pStyle w:val="FirstParagraph"/>
      </w:pPr>
      <w:r>
        <w:rPr>
          <w:bCs/>
          <w:b/>
        </w:rPr>
        <w:t xml:space="preserve">Écrans principaux</w:t>
      </w:r>
    </w:p>
    <w:p>
      <w:pPr>
        <w:numPr>
          <w:ilvl w:val="0"/>
          <w:numId w:val="1041"/>
        </w:numPr>
      </w:pPr>
      <w:r>
        <w:t xml:space="preserve">Inscription et vérification du professionnel</w:t>
      </w:r>
    </w:p>
    <w:p>
      <w:pPr>
        <w:numPr>
          <w:ilvl w:val="0"/>
          <w:numId w:val="1041"/>
        </w:numPr>
      </w:pPr>
      <w:r>
        <w:t xml:space="preserve">Application Health Professional (file de demandes)</w:t>
      </w:r>
    </w:p>
    <w:p>
      <w:pPr>
        <w:numPr>
          <w:ilvl w:val="0"/>
          <w:numId w:val="1041"/>
        </w:numPr>
      </w:pPr>
      <w:r>
        <w:t xml:space="preserve">Gestion de zone de couverture et disponibilités</w:t>
      </w:r>
    </w:p>
    <w:p>
      <w:pPr>
        <w:numPr>
          <w:ilvl w:val="0"/>
          <w:numId w:val="1041"/>
        </w:numPr>
      </w:pPr>
      <w:r>
        <w:t xml:space="preserve">Évaluations reçues</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RG-INF-01</w:t>
            </w:r>
          </w:p>
        </w:tc>
        <w:tc>
          <w:tcPr/>
          <w:p>
            <w:pPr>
              <w:pStyle w:val="Compact"/>
              <w:jc w:val="left"/>
            </w:pPr>
            <w:r>
              <w:t xml:space="preserve">Un professionnel ne peut recevoir de demande de soin à domicile ou de téléconsultation qu’après vérification de son inscription active à l’ordre professionnel compétent.</w:t>
            </w:r>
          </w:p>
        </w:tc>
        <w:tc>
          <w:tcPr/>
          <w:p>
            <w:pPr>
              <w:pStyle w:val="Compact"/>
              <w:jc w:val="left"/>
            </w:pPr>
            <w:r>
              <w:t xml:space="preserve">Critique</w:t>
            </w:r>
          </w:p>
        </w:tc>
      </w:tr>
      <w:tr>
        <w:tc>
          <w:tcPr/>
          <w:p>
            <w:pPr>
              <w:pStyle w:val="Compact"/>
              <w:jc w:val="left"/>
            </w:pPr>
            <w:r>
              <w:t xml:space="preserve">RG-INF-02</w:t>
            </w:r>
          </w:p>
        </w:tc>
        <w:tc>
          <w:tcPr/>
          <w:p>
            <w:pPr>
              <w:pStyle w:val="Compact"/>
              <w:jc w:val="left"/>
            </w:pPr>
            <w:r>
              <w:t xml:space="preserve">Un acte proposé à un patient doit relever strictement du périmètre légal de compétence du profil professionnel concerné (médecin, infirmier, sage-femme).</w:t>
            </w:r>
          </w:p>
        </w:tc>
        <w:tc>
          <w:tcPr/>
          <w:p>
            <w:pPr>
              <w:pStyle w:val="Compact"/>
              <w:jc w:val="left"/>
            </w:pPr>
            <w:r>
              <w:t xml:space="preserve">Critique</w:t>
            </w:r>
          </w:p>
        </w:tc>
      </w:tr>
    </w:tbl>
    <w:p>
      <w:pPr>
        <w:pStyle w:val="BodyText"/>
      </w:pPr>
      <w:r>
        <w:rPr>
          <w:bCs/>
          <w:b/>
        </w:rPr>
        <w:t xml:space="preserve">Module 20 — Dossier de Santé Numérique Longitudinal</w:t>
      </w:r>
    </w:p>
    <w:p>
      <w:pPr>
        <w:pStyle w:val="BodyText"/>
      </w:pPr>
      <w:r>
        <w:rPr>
          <w:bCs/>
          <w:b/>
        </w:rPr>
        <w:t xml:space="preserve">Code module :</w:t>
      </w:r>
      <w:r>
        <w:rPr>
          <w:bCs/>
          <w:b/>
        </w:rPr>
        <w:t xml:space="preserve"> </w:t>
      </w:r>
      <w:r>
        <w:t xml:space="preserve">DSN** | Priorité : **Différenciant — Valeur long terme</w:t>
      </w:r>
    </w:p>
    <w:p>
      <w:pPr>
        <w:pStyle w:val="BodyText"/>
      </w:pPr>
      <w:r>
        <w:rPr>
          <w:bCs/>
          <w:b/>
        </w:rPr>
        <w:t xml:space="preserve">Objectif</w:t>
      </w:r>
    </w:p>
    <w:p>
      <w:pPr>
        <w:pStyle w:val="BodyText"/>
      </w:pPr>
      <w:r>
        <w:t xml:space="preserve">Constituer, avec le consentement du patient, un historique structuré et continu de ses interventions de santé sur la plateforme (consultations, soins à domicile, ordonnances, résultats d’examens), consultable par le patient et, selon autorisation, par les professionnels de son parcours.</w:t>
      </w:r>
    </w:p>
    <w:p>
      <w:pPr>
        <w:pStyle w:val="BodyText"/>
      </w:pPr>
      <w:r>
        <w:rPr>
          <w:bCs/>
          <w:b/>
        </w:rPr>
        <w:t xml:space="preserve">Fonctionnalités clés</w:t>
      </w:r>
    </w:p>
    <w:p>
      <w:pPr>
        <w:numPr>
          <w:ilvl w:val="0"/>
          <w:numId w:val="1042"/>
        </w:numPr>
      </w:pPr>
      <w:r>
        <w:t xml:space="preserve">Enregistrement structuré de chaque événement de santé (date, professionnel, motif, constantes, décision, ordonnance, suivi prévu)</w:t>
      </w:r>
    </w:p>
    <w:p>
      <w:pPr>
        <w:numPr>
          <w:ilvl w:val="0"/>
          <w:numId w:val="1042"/>
        </w:numPr>
      </w:pPr>
      <w:r>
        <w:t xml:space="preserve">Consultation par le patient de son historique de santé complet</w:t>
      </w:r>
    </w:p>
    <w:p>
      <w:pPr>
        <w:numPr>
          <w:ilvl w:val="0"/>
          <w:numId w:val="1042"/>
        </w:numPr>
      </w:pPr>
      <w:r>
        <w:t xml:space="preserve">Partage sélectif et révocable avec un professionnel ou un proche aidant désigné</w:t>
      </w:r>
    </w:p>
    <w:p>
      <w:pPr>
        <w:numPr>
          <w:ilvl w:val="0"/>
          <w:numId w:val="1042"/>
        </w:numPr>
      </w:pPr>
      <w:r>
        <w:t xml:space="preserve">Interopérabilité prévue avec les dossiers des établissements de santé partenaires (Module HOP)</w:t>
      </w:r>
    </w:p>
    <w:p>
      <w:pPr>
        <w:numPr>
          <w:ilvl w:val="0"/>
          <w:numId w:val="1042"/>
        </w:numPr>
      </w:pPr>
      <w:r>
        <w:t xml:space="preserve">Export du dossier à la demande du patient</w:t>
      </w:r>
    </w:p>
    <w:p>
      <w:pPr>
        <w:pStyle w:val="FirstParagraph"/>
      </w:pPr>
      <w:r>
        <w:rPr>
          <w:bCs/>
          <w:b/>
        </w:rPr>
        <w:t xml:space="preserve">Écrans principaux</w:t>
      </w:r>
    </w:p>
    <w:p>
      <w:pPr>
        <w:numPr>
          <w:ilvl w:val="0"/>
          <w:numId w:val="1043"/>
        </w:numPr>
      </w:pPr>
      <w:r>
        <w:t xml:space="preserve">Historique de santé du patient</w:t>
      </w:r>
    </w:p>
    <w:p>
      <w:pPr>
        <w:numPr>
          <w:ilvl w:val="0"/>
          <w:numId w:val="1043"/>
        </w:numPr>
      </w:pPr>
      <w:r>
        <w:t xml:space="preserve">Détail d’un événement de santé</w:t>
      </w:r>
    </w:p>
    <w:p>
      <w:pPr>
        <w:numPr>
          <w:ilvl w:val="0"/>
          <w:numId w:val="1043"/>
        </w:numPr>
      </w:pPr>
      <w:r>
        <w:t xml:space="preserve">Gestion des partages et autorisations</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RG-DSN-01</w:t>
            </w:r>
          </w:p>
        </w:tc>
        <w:tc>
          <w:tcPr/>
          <w:p>
            <w:pPr>
              <w:pStyle w:val="Compact"/>
              <w:jc w:val="left"/>
            </w:pPr>
            <w:r>
              <w:t xml:space="preserve">L’accès d’un professionnel au dossier de santé numérique d’un patient requiert un consentement explicite et révocable, hors situation d’urgence documentée.</w:t>
            </w:r>
          </w:p>
        </w:tc>
        <w:tc>
          <w:tcPr/>
          <w:p>
            <w:pPr>
              <w:pStyle w:val="Compact"/>
              <w:jc w:val="left"/>
            </w:pPr>
            <w:r>
              <w:t xml:space="preserve">Critique</w:t>
            </w:r>
          </w:p>
        </w:tc>
      </w:tr>
      <w:tr>
        <w:tc>
          <w:tcPr/>
          <w:p>
            <w:pPr>
              <w:pStyle w:val="Compact"/>
              <w:jc w:val="left"/>
            </w:pPr>
            <w:r>
              <w:t xml:space="preserve">RG-DSN-02</w:t>
            </w:r>
          </w:p>
        </w:tc>
        <w:tc>
          <w:tcPr/>
          <w:p>
            <w:pPr>
              <w:pStyle w:val="Compact"/>
              <w:jc w:val="left"/>
            </w:pPr>
            <w:r>
              <w:t xml:space="preserve">Chaque intervention de soin, à domicile, en téléconsultation ou via un établissement partenaire, génère automatiquement un événement dans le dossier du patient concerné.</w:t>
            </w:r>
          </w:p>
        </w:tc>
        <w:tc>
          <w:tcPr/>
          <w:p>
            <w:pPr>
              <w:pStyle w:val="Compact"/>
              <w:jc w:val="left"/>
            </w:pPr>
            <w:r>
              <w:t xml:space="preserve">Standard</w:t>
            </w:r>
          </w:p>
        </w:tc>
      </w:tr>
    </w:tbl>
    <w:p>
      <w:pPr>
        <w:pStyle w:val="BodyText"/>
      </w:pPr>
      <w:r>
        <w:rPr>
          <w:bCs/>
          <w:b/>
        </w:rPr>
        <w:t xml:space="preserve">Module 21 — Télésuivi &amp;</w:t>
      </w:r>
      <w:r>
        <w:t xml:space="preserve">** Objets médicaux connectés**</w:t>
      </w:r>
    </w:p>
    <w:p>
      <w:pPr>
        <w:pStyle w:val="BodyText"/>
      </w:pPr>
      <w:r>
        <w:rPr>
          <w:bCs/>
          <w:b/>
        </w:rPr>
        <w:t xml:space="preserve">Code module :</w:t>
      </w:r>
      <w:r>
        <w:rPr>
          <w:bCs/>
          <w:b/>
        </w:rPr>
        <w:t xml:space="preserve"> </w:t>
      </w:r>
      <w:r>
        <w:t xml:space="preserve">IOT** | Priorité : **Différenciant</w:t>
      </w:r>
    </w:p>
    <w:p>
      <w:pPr>
        <w:pStyle w:val="BodyText"/>
      </w:pPr>
      <w:r>
        <w:rPr>
          <w:bCs/>
          <w:b/>
        </w:rPr>
        <w:t xml:space="preserve">Objectif</w:t>
      </w:r>
    </w:p>
    <w:p>
      <w:pPr>
        <w:pStyle w:val="BodyText"/>
      </w:pPr>
      <w:r>
        <w:t xml:space="preserve">Permettre le suivi à distance de certains patients, notamment chroniques ou en sortie d’hospitalisation, par la remontée de constantes mesurées via des dispositifs médicaux connectés validés.</w:t>
      </w:r>
    </w:p>
    <w:p>
      <w:pPr>
        <w:pStyle w:val="BodyText"/>
      </w:pPr>
      <w:r>
        <w:rPr>
          <w:bCs/>
          <w:b/>
        </w:rPr>
        <w:t xml:space="preserve">Fonctionnalités clés</w:t>
      </w:r>
    </w:p>
    <w:p>
      <w:pPr>
        <w:numPr>
          <w:ilvl w:val="0"/>
          <w:numId w:val="1044"/>
        </w:numPr>
      </w:pPr>
      <w:r>
        <w:t xml:space="preserve">Connexion de dispositifs validés (tensiomètre, thermomètre, oxymètre, glucomètre, balance)</w:t>
      </w:r>
    </w:p>
    <w:p>
      <w:pPr>
        <w:numPr>
          <w:ilvl w:val="0"/>
          <w:numId w:val="1044"/>
        </w:numPr>
      </w:pPr>
      <w:r>
        <w:t xml:space="preserve">Remontée automatique des mesures dans le Dossier de Santé Numérique du patient</w:t>
      </w:r>
    </w:p>
    <w:p>
      <w:pPr>
        <w:numPr>
          <w:ilvl w:val="0"/>
          <w:numId w:val="1044"/>
        </w:numPr>
      </w:pPr>
      <w:r>
        <w:t xml:space="preserve">Auto-évaluation périodique simple du patient (échelle qualitative) entre deux consultations</w:t>
      </w:r>
    </w:p>
    <w:p>
      <w:pPr>
        <w:numPr>
          <w:ilvl w:val="0"/>
          <w:numId w:val="1044"/>
        </w:numPr>
      </w:pPr>
      <w:r>
        <w:t xml:space="preserve">Alerte au professionnel référent en cas de mesure ou d’auto-évaluation hors des seuils définis</w:t>
      </w:r>
    </w:p>
    <w:p>
      <w:pPr>
        <w:pStyle w:val="FirstParagraph"/>
      </w:pPr>
      <w:r>
        <w:rPr>
          <w:bCs/>
          <w:b/>
        </w:rPr>
        <w:t xml:space="preserve">Écrans principaux</w:t>
      </w:r>
    </w:p>
    <w:p>
      <w:pPr>
        <w:numPr>
          <w:ilvl w:val="0"/>
          <w:numId w:val="1045"/>
        </w:numPr>
      </w:pPr>
      <w:r>
        <w:t xml:space="preserve">Association d’un objet connecté</w:t>
      </w:r>
    </w:p>
    <w:p>
      <w:pPr>
        <w:numPr>
          <w:ilvl w:val="0"/>
          <w:numId w:val="1045"/>
        </w:numPr>
      </w:pPr>
      <w:r>
        <w:t xml:space="preserve">Historique des mesures</w:t>
      </w:r>
    </w:p>
    <w:p>
      <w:pPr>
        <w:numPr>
          <w:ilvl w:val="0"/>
          <w:numId w:val="1045"/>
        </w:numPr>
      </w:pPr>
      <w:r>
        <w:t xml:space="preserve">Auto-évaluation périodique</w:t>
      </w:r>
    </w:p>
    <w:p>
      <w:pPr>
        <w:numPr>
          <w:ilvl w:val="0"/>
          <w:numId w:val="1045"/>
        </w:numPr>
      </w:pPr>
      <w:r>
        <w:t xml:space="preserve">Alerte de télésuivi (vue professionnel)</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RG-IOT-01</w:t>
            </w:r>
          </w:p>
        </w:tc>
        <w:tc>
          <w:tcPr/>
          <w:p>
            <w:pPr>
              <w:pStyle w:val="Compact"/>
              <w:jc w:val="left"/>
            </w:pPr>
            <w:r>
              <w:t xml:space="preserve">Seuls des dispositifs médicaux validés et référencés par la plateforme peuvent être connectés au télésuivi ; une mesure issue d’un dispositif non validé est signalée comme non certifiée.</w:t>
            </w:r>
          </w:p>
        </w:tc>
        <w:tc>
          <w:tcPr/>
          <w:p>
            <w:pPr>
              <w:pStyle w:val="Compact"/>
              <w:jc w:val="left"/>
            </w:pPr>
            <w:r>
              <w:t xml:space="preserve">Critique</w:t>
            </w:r>
          </w:p>
        </w:tc>
      </w:tr>
      <w:tr>
        <w:tc>
          <w:tcPr/>
          <w:p>
            <w:pPr>
              <w:pStyle w:val="Compact"/>
              <w:jc w:val="left"/>
            </w:pPr>
            <w:r>
              <w:t xml:space="preserve">RG-IOT-02</w:t>
            </w:r>
          </w:p>
        </w:tc>
        <w:tc>
          <w:tcPr/>
          <w:p>
            <w:pPr>
              <w:pStyle w:val="Compact"/>
              <w:jc w:val="left"/>
            </w:pPr>
            <w:r>
              <w:t xml:space="preserve">Le dépassement d’un seuil défini pour un patient donné déclenche une alerte au professionnel référent, sans interprétation médicale automatique de la mesure par la plateforme.</w:t>
            </w:r>
          </w:p>
        </w:tc>
        <w:tc>
          <w:tcPr/>
          <w:p>
            <w:pPr>
              <w:pStyle w:val="Compact"/>
              <w:jc w:val="left"/>
            </w:pPr>
            <w:r>
              <w:t xml:space="preserve">Standard</w:t>
            </w:r>
          </w:p>
        </w:tc>
      </w:tr>
    </w:tbl>
    <w:p>
      <w:pPr>
        <w:pStyle w:val="BodyText"/>
      </w:pPr>
      <w:r>
        <w:rPr>
          <w:bCs/>
          <w:b/>
        </w:rPr>
        <w:t xml:space="preserve">Module 22 — PharmaConnect Family &amp;</w:t>
      </w:r>
      <w:r>
        <w:t xml:space="preserve">** Diaspora**</w:t>
      </w:r>
    </w:p>
    <w:p>
      <w:pPr>
        <w:pStyle w:val="BodyText"/>
      </w:pPr>
      <w:r>
        <w:rPr>
          <w:bCs/>
          <w:b/>
        </w:rPr>
        <w:t xml:space="preserve">Code module :</w:t>
      </w:r>
      <w:r>
        <w:rPr>
          <w:bCs/>
          <w:b/>
        </w:rPr>
        <w:t xml:space="preserve"> </w:t>
      </w:r>
      <w:r>
        <w:t xml:space="preserve">FAM** | Priorité : **Différenciant — Marché diaspora</w:t>
      </w:r>
    </w:p>
    <w:p>
      <w:pPr>
        <w:pStyle w:val="BodyText"/>
      </w:pPr>
      <w:r>
        <w:rPr>
          <w:bCs/>
          <w:b/>
        </w:rPr>
        <w:t xml:space="preserve">Objectif</w:t>
      </w:r>
    </w:p>
    <w:p>
      <w:pPr>
        <w:pStyle w:val="BodyText"/>
      </w:pPr>
      <w:r>
        <w:t xml:space="preserve">Répondre au besoin, identifié comme particulièrement porteur, des membres de la diaspora guinéenne et ouest-africaine souhaitant financer et suivre à distance la santé de proches restés au pays — un modèle où le payeur et le patient peuvent se trouver dans deux pays différents.</w:t>
      </w:r>
    </w:p>
    <w:p>
      <w:pPr>
        <w:pStyle w:val="BodyText"/>
      </w:pPr>
      <w:r>
        <w:rPr>
          <w:bCs/>
          <w:b/>
        </w:rPr>
        <w:t xml:space="preserve">Fonctionnalités clés</w:t>
      </w:r>
    </w:p>
    <w:p>
      <w:pPr>
        <w:numPr>
          <w:ilvl w:val="0"/>
          <w:numId w:val="1046"/>
        </w:numPr>
      </w:pPr>
      <w:r>
        <w:t xml:space="preserve">Abonnement familial couvrant plusieurs bénéficiaires rattachés à un même souscripteur, éventuellement situé à l’étranger</w:t>
      </w:r>
    </w:p>
    <w:p>
      <w:pPr>
        <w:numPr>
          <w:ilvl w:val="0"/>
          <w:numId w:val="1046"/>
        </w:numPr>
      </w:pPr>
      <w:r>
        <w:t xml:space="preserve">Financement à distance d’une consultation, d’une visite à domicile ou d’un achat de médicaments pour un proche, avec paiement international</w:t>
      </w:r>
    </w:p>
    <w:p>
      <w:pPr>
        <w:numPr>
          <w:ilvl w:val="0"/>
          <w:numId w:val="1046"/>
        </w:numPr>
      </w:pPr>
      <w:r>
        <w:t xml:space="preserve">Notifications de suivi au souscripteur, selon les autorisations données par le bénéficiaire ou son représentant légal</w:t>
      </w:r>
    </w:p>
    <w:p>
      <w:pPr>
        <w:numPr>
          <w:ilvl w:val="0"/>
          <w:numId w:val="1046"/>
        </w:numPr>
      </w:pPr>
      <w:r>
        <w:t xml:space="preserve">Tarifs préférentiels et accès facilité à la téléconsultation pour les bénéficiaires de l’abonnement</w:t>
      </w:r>
    </w:p>
    <w:p>
      <w:pPr>
        <w:numPr>
          <w:ilvl w:val="0"/>
          <w:numId w:val="1046"/>
        </w:numPr>
      </w:pPr>
      <w:r>
        <w:t xml:space="preserve">Gestion de rôles d’aidant familial avec droits d’accès explicitement consentis par le bénéficiaire</w:t>
      </w:r>
    </w:p>
    <w:p>
      <w:pPr>
        <w:pStyle w:val="FirstParagraph"/>
      </w:pPr>
      <w:r>
        <w:rPr>
          <w:bCs/>
          <w:b/>
        </w:rPr>
        <w:t xml:space="preserve">Écrans principaux</w:t>
      </w:r>
    </w:p>
    <w:p>
      <w:pPr>
        <w:numPr>
          <w:ilvl w:val="0"/>
          <w:numId w:val="1047"/>
        </w:numPr>
      </w:pPr>
      <w:r>
        <w:t xml:space="preserve">Souscription à un abonnement familial</w:t>
      </w:r>
    </w:p>
    <w:p>
      <w:pPr>
        <w:numPr>
          <w:ilvl w:val="0"/>
          <w:numId w:val="1047"/>
        </w:numPr>
      </w:pPr>
      <w:r>
        <w:t xml:space="preserve">Ajout d’un bénéficiaire</w:t>
      </w:r>
    </w:p>
    <w:p>
      <w:pPr>
        <w:numPr>
          <w:ilvl w:val="0"/>
          <w:numId w:val="1047"/>
        </w:numPr>
      </w:pPr>
      <w:r>
        <w:t xml:space="preserve">Tableau de suivi du souscripteur (diaspora)</w:t>
      </w:r>
    </w:p>
    <w:p>
      <w:pPr>
        <w:numPr>
          <w:ilvl w:val="0"/>
          <w:numId w:val="1047"/>
        </w:numPr>
      </w:pPr>
      <w:r>
        <w:t xml:space="preserve">Financement d’une prestation à distance</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RG-FAM-01</w:t>
            </w:r>
          </w:p>
        </w:tc>
        <w:tc>
          <w:tcPr/>
          <w:p>
            <w:pPr>
              <w:pStyle w:val="Compact"/>
              <w:jc w:val="left"/>
            </w:pPr>
            <w:r>
              <w:t xml:space="preserve">Le souscripteur d’un abonnement familial n’a accès aux informations de santé d’un bénéficiaire majeur qu’avec le consentement explicite de ce dernier, indépendamment de sa participation financière.</w:t>
            </w:r>
          </w:p>
        </w:tc>
        <w:tc>
          <w:tcPr/>
          <w:p>
            <w:pPr>
              <w:pStyle w:val="Compact"/>
              <w:jc w:val="left"/>
            </w:pPr>
            <w:r>
              <w:t xml:space="preserve">Critique</w:t>
            </w:r>
          </w:p>
        </w:tc>
      </w:tr>
      <w:tr>
        <w:tc>
          <w:tcPr/>
          <w:p>
            <w:pPr>
              <w:pStyle w:val="Compact"/>
              <w:jc w:val="left"/>
            </w:pPr>
            <w:r>
              <w:t xml:space="preserve">RG-FAM-02</w:t>
            </w:r>
          </w:p>
        </w:tc>
        <w:tc>
          <w:tcPr/>
          <w:p>
            <w:pPr>
              <w:pStyle w:val="Compact"/>
              <w:jc w:val="left"/>
            </w:pPr>
            <w:r>
              <w:t xml:space="preserve">Le paiement international associé à un abonnement familial est traité par un prestataire agréé pour les transactions transfrontalières, distinct des agrégateurs mobile money locaux.</w:t>
            </w:r>
          </w:p>
        </w:tc>
        <w:tc>
          <w:tcPr/>
          <w:p>
            <w:pPr>
              <w:pStyle w:val="Compact"/>
              <w:jc w:val="left"/>
            </w:pPr>
            <w:r>
              <w:t xml:space="preserve">Standard</w:t>
            </w:r>
          </w:p>
        </w:tc>
      </w:tr>
    </w:tbl>
    <w:p>
      <w:pPr>
        <w:pStyle w:val="BodyText"/>
      </w:pPr>
      <w:r>
        <w:rPr>
          <w:bCs/>
          <w:b/>
        </w:rPr>
        <w:t xml:space="preserve">Module 23 — Intégration Hôpitaux, Laboratoires &amp;</w:t>
      </w:r>
      <w:r>
        <w:t xml:space="preserve">** Imagerie**</w:t>
      </w:r>
    </w:p>
    <w:p>
      <w:pPr>
        <w:pStyle w:val="BodyText"/>
      </w:pPr>
      <w:r>
        <w:rPr>
          <w:bCs/>
          <w:b/>
        </w:rPr>
        <w:t xml:space="preserve">Code module :</w:t>
      </w:r>
      <w:r>
        <w:rPr>
          <w:bCs/>
          <w:b/>
        </w:rPr>
        <w:t xml:space="preserve"> </w:t>
      </w:r>
      <w:r>
        <w:t xml:space="preserve">HOP** | Priorité : **Différenciant — Parcours de soins</w:t>
      </w:r>
    </w:p>
    <w:p>
      <w:pPr>
        <w:pStyle w:val="BodyText"/>
      </w:pPr>
      <w:r>
        <w:rPr>
          <w:bCs/>
          <w:b/>
        </w:rPr>
        <w:t xml:space="preserve">Objectif</w:t>
      </w:r>
    </w:p>
    <w:p>
      <w:pPr>
        <w:pStyle w:val="BodyText"/>
      </w:pPr>
      <w:r>
        <w:t xml:space="preserve">Positionner PharmaConnect comme point d’entrée d’un parcours de soins complet, en orientant et en interconnectant, lorsque nécessaire, vers des structures hospitalières, laboratoires d’analyses et centres d’imagerie partenaires, selon la logique domicile → clinique → hôpital → retour domicile → suivi.</w:t>
      </w:r>
    </w:p>
    <w:p>
      <w:pPr>
        <w:pStyle w:val="BodyText"/>
      </w:pPr>
      <w:r>
        <w:rPr>
          <w:bCs/>
          <w:b/>
        </w:rPr>
        <w:t xml:space="preserve">Fonctionnalités clés</w:t>
      </w:r>
    </w:p>
    <w:p>
      <w:pPr>
        <w:numPr>
          <w:ilvl w:val="0"/>
          <w:numId w:val="1048"/>
        </w:numPr>
      </w:pPr>
      <w:r>
        <w:t xml:space="preserve">Référencement de structures partenaires (hôpitaux, laboratoires, centres d’imagerie) avec leurs services et disponibilités</w:t>
      </w:r>
    </w:p>
    <w:p>
      <w:pPr>
        <w:numPr>
          <w:ilvl w:val="0"/>
          <w:numId w:val="1048"/>
        </w:numPr>
      </w:pPr>
      <w:r>
        <w:t xml:space="preserve">Orientation du patient vers la structure appropriée en cas de besoin identifié lors d’une consultation ou d’un triage</w:t>
      </w:r>
    </w:p>
    <w:p>
      <w:pPr>
        <w:numPr>
          <w:ilvl w:val="0"/>
          <w:numId w:val="1048"/>
        </w:numPr>
      </w:pPr>
      <w:r>
        <w:t xml:space="preserve">Prescription et suivi d’examens de laboratoire ou d’imagerie depuis le dossier du patient</w:t>
      </w:r>
    </w:p>
    <w:p>
      <w:pPr>
        <w:numPr>
          <w:ilvl w:val="0"/>
          <w:numId w:val="1048"/>
        </w:numPr>
      </w:pPr>
      <w:r>
        <w:t xml:space="preserve">Transmission sécurisée des résultats vers le Dossier de Santé Numérique et le professionnel prescripteur</w:t>
      </w:r>
    </w:p>
    <w:p>
      <w:pPr>
        <w:pStyle w:val="FirstParagraph"/>
      </w:pPr>
      <w:r>
        <w:rPr>
          <w:bCs/>
          <w:b/>
        </w:rPr>
        <w:t xml:space="preserve">Écrans principaux</w:t>
      </w:r>
    </w:p>
    <w:p>
      <w:pPr>
        <w:numPr>
          <w:ilvl w:val="0"/>
          <w:numId w:val="1049"/>
        </w:numPr>
      </w:pPr>
      <w:r>
        <w:t xml:space="preserve">Recherche de structure partenaire</w:t>
      </w:r>
    </w:p>
    <w:p>
      <w:pPr>
        <w:numPr>
          <w:ilvl w:val="0"/>
          <w:numId w:val="1049"/>
        </w:numPr>
      </w:pPr>
      <w:r>
        <w:t xml:space="preserve">Prescription d’examen</w:t>
      </w:r>
    </w:p>
    <w:p>
      <w:pPr>
        <w:numPr>
          <w:ilvl w:val="0"/>
          <w:numId w:val="1049"/>
        </w:numPr>
      </w:pPr>
      <w:r>
        <w:t xml:space="preserve">Suivi des résultats d’examen</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RG-HOP-01</w:t>
            </w:r>
          </w:p>
        </w:tc>
        <w:tc>
          <w:tcPr/>
          <w:p>
            <w:pPr>
              <w:pStyle w:val="Compact"/>
              <w:jc w:val="left"/>
            </w:pPr>
            <w:r>
              <w:t xml:space="preserve">PharmaConnect ne se substitue à aucun moment à la prise en charge hospitalière ; il oriente et coordonne, sans intervenir dans les décisions cliniques internes à l’établissement partenaire.</w:t>
            </w:r>
          </w:p>
        </w:tc>
        <w:tc>
          <w:tcPr/>
          <w:p>
            <w:pPr>
              <w:pStyle w:val="Compact"/>
              <w:jc w:val="left"/>
            </w:pPr>
            <w:r>
              <w:t xml:space="preserve">Critique</w:t>
            </w:r>
          </w:p>
        </w:tc>
      </w:tr>
      <w:tr>
        <w:tc>
          <w:tcPr/>
          <w:p>
            <w:pPr>
              <w:pStyle w:val="Compact"/>
              <w:jc w:val="left"/>
            </w:pPr>
            <w:r>
              <w:t xml:space="preserve">RG-HOP-02</w:t>
            </w:r>
          </w:p>
        </w:tc>
        <w:tc>
          <w:tcPr/>
          <w:p>
            <w:pPr>
              <w:pStyle w:val="Compact"/>
              <w:jc w:val="left"/>
            </w:pPr>
            <w:r>
              <w:t xml:space="preserve">Un résultat d’examen n’est transmis au dossier du patient qu’après validation de la structure partenaire émettrice.</w:t>
            </w:r>
          </w:p>
        </w:tc>
        <w:tc>
          <w:tcPr/>
          <w:p>
            <w:pPr>
              <w:pStyle w:val="Compact"/>
              <w:jc w:val="left"/>
            </w:pPr>
            <w:r>
              <w:t xml:space="preserve">Standard</w:t>
            </w:r>
          </w:p>
        </w:tc>
      </w:tr>
    </w:tbl>
    <w:p>
      <w:pPr>
        <w:pStyle w:val="BodyText"/>
      </w:pPr>
      <w:r>
        <w:rPr>
          <w:bCs/>
          <w:b/>
        </w:rPr>
        <w:t xml:space="preserve">Module 24 — Assurance santé &amp;</w:t>
      </w:r>
      <w:r>
        <w:t xml:space="preserve">** Tiers-payant**</w:t>
      </w:r>
    </w:p>
    <w:p>
      <w:pPr>
        <w:pStyle w:val="BodyText"/>
      </w:pPr>
      <w:r>
        <w:rPr>
          <w:bCs/>
          <w:b/>
        </w:rPr>
        <w:t xml:space="preserve">Code module :</w:t>
      </w:r>
      <w:r>
        <w:rPr>
          <w:bCs/>
          <w:b/>
        </w:rPr>
        <w:t xml:space="preserve"> </w:t>
      </w:r>
      <w:r>
        <w:t xml:space="preserve">ASR** | Priorité : **Différenciant</w:t>
      </w:r>
    </w:p>
    <w:p>
      <w:pPr>
        <w:pStyle w:val="BodyText"/>
      </w:pPr>
      <w:r>
        <w:rPr>
          <w:bCs/>
          <w:b/>
        </w:rPr>
        <w:t xml:space="preserve">Objectif</w:t>
      </w:r>
    </w:p>
    <w:p>
      <w:pPr>
        <w:pStyle w:val="BodyText"/>
      </w:pPr>
      <w:r>
        <w:t xml:space="preserve">Préparer l’intégration de PharmaConnect avec les mutuelles de santé et futurs mécanismes de couverture santé universelle en Guinée, en permettant la prise en charge partielle ou totale des achats de médicaments.</w:t>
      </w:r>
    </w:p>
    <w:p>
      <w:pPr>
        <w:pStyle w:val="BodyText"/>
      </w:pPr>
      <w:r>
        <w:rPr>
          <w:bCs/>
          <w:b/>
        </w:rPr>
        <w:t xml:space="preserve">Fonctionnalités clés</w:t>
      </w:r>
    </w:p>
    <w:p>
      <w:pPr>
        <w:numPr>
          <w:ilvl w:val="0"/>
          <w:numId w:val="1050"/>
        </w:numPr>
      </w:pPr>
      <w:r>
        <w:t xml:space="preserve">Rattachement d’un patient à une mutuelle ou un assureur santé partenaire</w:t>
      </w:r>
    </w:p>
    <w:p>
      <w:pPr>
        <w:numPr>
          <w:ilvl w:val="0"/>
          <w:numId w:val="1050"/>
        </w:numPr>
      </w:pPr>
      <w:r>
        <w:t xml:space="preserve">Calcul automatique de la part prise en charge et du reste à payer au moment du paiement</w:t>
      </w:r>
    </w:p>
    <w:p>
      <w:pPr>
        <w:numPr>
          <w:ilvl w:val="0"/>
          <w:numId w:val="1050"/>
        </w:numPr>
      </w:pPr>
      <w:r>
        <w:t xml:space="preserve">Télétransmission des feuilles de soins pharmaceutiques à l’assureur</w:t>
      </w:r>
    </w:p>
    <w:p>
      <w:pPr>
        <w:numPr>
          <w:ilvl w:val="0"/>
          <w:numId w:val="1050"/>
        </w:numPr>
      </w:pPr>
      <w:r>
        <w:t xml:space="preserve">Tableau de bord assureur pour le suivi de la consommation de ses affiliés</w:t>
      </w:r>
    </w:p>
    <w:p>
      <w:pPr>
        <w:pStyle w:val="FirstParagraph"/>
      </w:pPr>
      <w:r>
        <w:rPr>
          <w:bCs/>
          <w:b/>
        </w:rPr>
        <w:t xml:space="preserve">Écrans principaux</w:t>
      </w:r>
    </w:p>
    <w:p>
      <w:pPr>
        <w:numPr>
          <w:ilvl w:val="0"/>
          <w:numId w:val="1051"/>
        </w:numPr>
      </w:pPr>
      <w:r>
        <w:t xml:space="preserve">Rattachement mutuelle</w:t>
      </w:r>
    </w:p>
    <w:p>
      <w:pPr>
        <w:numPr>
          <w:ilvl w:val="0"/>
          <w:numId w:val="1051"/>
        </w:numPr>
      </w:pPr>
      <w:r>
        <w:t xml:space="preserve">Détail de prise en charge à la caisse</w:t>
      </w:r>
    </w:p>
    <w:p>
      <w:pPr>
        <w:numPr>
          <w:ilvl w:val="0"/>
          <w:numId w:val="1051"/>
        </w:numPr>
      </w:pPr>
      <w:r>
        <w:t xml:space="preserve">Portail assureur partenaire</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RG-ASR-01</w:t>
            </w:r>
          </w:p>
        </w:tc>
        <w:tc>
          <w:tcPr/>
          <w:p>
            <w:pPr>
              <w:pStyle w:val="Compact"/>
              <w:jc w:val="left"/>
            </w:pPr>
            <w:r>
              <w:t xml:space="preserve">Le montant pris en charge par un tiers-payant est calculé selon les règles contractuelles propres à chaque assureur, paramétrées en back-office et non modifiables par l’officine.</w:t>
            </w:r>
          </w:p>
        </w:tc>
        <w:tc>
          <w:tcPr/>
          <w:p>
            <w:pPr>
              <w:pStyle w:val="Compact"/>
              <w:jc w:val="left"/>
            </w:pPr>
            <w:r>
              <w:t xml:space="preserve">Critique</w:t>
            </w:r>
          </w:p>
        </w:tc>
      </w:tr>
    </w:tbl>
    <w:p>
      <w:pPr>
        <w:pStyle w:val="BodyText"/>
      </w:pPr>
      <w:r>
        <w:rPr>
          <w:bCs/>
          <w:b/>
        </w:rPr>
        <w:t xml:space="preserve">Module 25 — Réseau de prescripteurs &amp;</w:t>
      </w:r>
      <w:r>
        <w:t xml:space="preserve">** e-prescription**</w:t>
      </w:r>
    </w:p>
    <w:p>
      <w:pPr>
        <w:pStyle w:val="BodyText"/>
      </w:pPr>
      <w:r>
        <w:rPr>
          <w:bCs/>
          <w:b/>
        </w:rPr>
        <w:t xml:space="preserve">Code module :</w:t>
      </w:r>
      <w:r>
        <w:rPr>
          <w:bCs/>
          <w:b/>
        </w:rPr>
        <w:t xml:space="preserve"> </w:t>
      </w:r>
      <w:r>
        <w:t xml:space="preserve">PRE** | Priorité : **Différenciant</w:t>
      </w:r>
    </w:p>
    <w:p>
      <w:pPr>
        <w:pStyle w:val="BodyText"/>
      </w:pPr>
      <w:r>
        <w:rPr>
          <w:bCs/>
          <w:b/>
        </w:rPr>
        <w:t xml:space="preserve">Objectif</w:t>
      </w:r>
    </w:p>
    <w:p>
      <w:pPr>
        <w:pStyle w:val="BodyText"/>
      </w:pPr>
      <w:r>
        <w:t xml:space="preserve">Connecter progressivement les médecins et structures de santé à PharmaConnect afin de fiabiliser l’ordonnance dès son émission et de fermer la boucle entre prescription et dispensation.</w:t>
      </w:r>
    </w:p>
    <w:p>
      <w:pPr>
        <w:pStyle w:val="BodyText"/>
      </w:pPr>
      <w:r>
        <w:rPr>
          <w:bCs/>
          <w:b/>
        </w:rPr>
        <w:t xml:space="preserve">Fonctionnalités clés</w:t>
      </w:r>
    </w:p>
    <w:p>
      <w:pPr>
        <w:numPr>
          <w:ilvl w:val="0"/>
          <w:numId w:val="1052"/>
        </w:numPr>
      </w:pPr>
      <w:r>
        <w:t xml:space="preserve">Espace prescripteur permettant l’émission d’une ordonnance électronique directement transmise au patient</w:t>
      </w:r>
    </w:p>
    <w:p>
      <w:pPr>
        <w:numPr>
          <w:ilvl w:val="0"/>
          <w:numId w:val="1052"/>
        </w:numPr>
      </w:pPr>
      <w:r>
        <w:t xml:space="preserve">Vérification automatique des interactions et contre-indications au moment de la prescription</w:t>
      </w:r>
    </w:p>
    <w:p>
      <w:pPr>
        <w:numPr>
          <w:ilvl w:val="0"/>
          <w:numId w:val="1052"/>
        </w:numPr>
      </w:pPr>
      <w:r>
        <w:t xml:space="preserve">Suivi, par le prescripteur et avec le consentement du patient, de l’observance du traitement</w:t>
      </w:r>
    </w:p>
    <w:p>
      <w:pPr>
        <w:numPr>
          <w:ilvl w:val="0"/>
          <w:numId w:val="1052"/>
        </w:numPr>
      </w:pPr>
      <w:r>
        <w:t xml:space="preserve">Interopérabilité prévue avec les dossiers patients des établissements de santé partenaires</w:t>
      </w:r>
    </w:p>
    <w:p>
      <w:pPr>
        <w:pStyle w:val="FirstParagraph"/>
      </w:pPr>
      <w:r>
        <w:rPr>
          <w:bCs/>
          <w:b/>
        </w:rPr>
        <w:t xml:space="preserve">Écrans principaux</w:t>
      </w:r>
    </w:p>
    <w:p>
      <w:pPr>
        <w:numPr>
          <w:ilvl w:val="0"/>
          <w:numId w:val="1053"/>
        </w:numPr>
      </w:pPr>
      <w:r>
        <w:t xml:space="preserve">Espace prescripteur</w:t>
      </w:r>
    </w:p>
    <w:p>
      <w:pPr>
        <w:numPr>
          <w:ilvl w:val="0"/>
          <w:numId w:val="1053"/>
        </w:numPr>
      </w:pPr>
      <w:r>
        <w:t xml:space="preserve">Émission d’ordonnance électronique</w:t>
      </w:r>
    </w:p>
    <w:p>
      <w:pPr>
        <w:numPr>
          <w:ilvl w:val="0"/>
          <w:numId w:val="1053"/>
        </w:numPr>
      </w:pPr>
      <w:r>
        <w:t xml:space="preserve">Suivi d’observance (vue prescripteur)</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RG-PRE-01</w:t>
            </w:r>
          </w:p>
        </w:tc>
        <w:tc>
          <w:tcPr/>
          <w:p>
            <w:pPr>
              <w:pStyle w:val="Compact"/>
              <w:jc w:val="left"/>
            </w:pPr>
            <w:r>
              <w:t xml:space="preserve">Seul un professionnel de santé inscrit à son ordre et vérifié peut émettre une ordonnance électronique opposable sur la plateforme.</w:t>
            </w:r>
          </w:p>
        </w:tc>
        <w:tc>
          <w:tcPr/>
          <w:p>
            <w:pPr>
              <w:pStyle w:val="Compact"/>
              <w:jc w:val="left"/>
            </w:pPr>
            <w:r>
              <w:t xml:space="preserve">Critique</w:t>
            </w:r>
          </w:p>
        </w:tc>
      </w:tr>
    </w:tbl>
    <w:p>
      <w:pPr>
        <w:pStyle w:val="BodyText"/>
      </w:pPr>
      <w:r>
        <w:rPr>
          <w:bCs/>
          <w:b/>
        </w:rPr>
        <w:t xml:space="preserve">Module 26 — Gestion des chaînes &amp;</w:t>
      </w:r>
      <w:r>
        <w:t xml:space="preserve">** multi-officines**</w:t>
      </w:r>
    </w:p>
    <w:p>
      <w:pPr>
        <w:pStyle w:val="BodyText"/>
      </w:pPr>
      <w:r>
        <w:rPr>
          <w:bCs/>
          <w:b/>
        </w:rPr>
        <w:t xml:space="preserve">Code module :</w:t>
      </w:r>
      <w:r>
        <w:rPr>
          <w:bCs/>
          <w:b/>
        </w:rPr>
        <w:t xml:space="preserve"> </w:t>
      </w:r>
      <w:r>
        <w:t xml:space="preserve">CHN** | Priorité : **Standard</w:t>
      </w:r>
    </w:p>
    <w:p>
      <w:pPr>
        <w:pStyle w:val="BodyText"/>
      </w:pPr>
      <w:r>
        <w:rPr>
          <w:bCs/>
          <w:b/>
        </w:rPr>
        <w:t xml:space="preserve">Objectif</w:t>
      </w:r>
    </w:p>
    <w:p>
      <w:pPr>
        <w:pStyle w:val="BodyText"/>
      </w:pPr>
      <w:r>
        <w:t xml:space="preserve">Permettre aux groupements et chaînes de pharmacies de gérer plusieurs points de vente au sein d’une organisation unique, avec transferts de stock inter-officines et reporting consolidé.</w:t>
      </w:r>
    </w:p>
    <w:p>
      <w:pPr>
        <w:pStyle w:val="BodyText"/>
      </w:pPr>
      <w:r>
        <w:rPr>
          <w:bCs/>
          <w:b/>
        </w:rPr>
        <w:t xml:space="preserve">Fonctionnalités</w:t>
      </w:r>
      <w:r>
        <w:t xml:space="preserve">** clés**</w:t>
      </w:r>
    </w:p>
    <w:p>
      <w:pPr>
        <w:numPr>
          <w:ilvl w:val="0"/>
          <w:numId w:val="1054"/>
        </w:numPr>
      </w:pPr>
      <w:r>
        <w:t xml:space="preserve">Rattachement de plusieurs officines à une même organisation (Org Registry du GSG Platform Kernel)</w:t>
      </w:r>
    </w:p>
    <w:p>
      <w:pPr>
        <w:numPr>
          <w:ilvl w:val="0"/>
          <w:numId w:val="1054"/>
        </w:numPr>
      </w:pPr>
      <w:r>
        <w:t xml:space="preserve">Transfert de stock inter-officines avec traçabilité du mouvement</w:t>
      </w:r>
    </w:p>
    <w:p>
      <w:pPr>
        <w:numPr>
          <w:ilvl w:val="0"/>
          <w:numId w:val="1054"/>
        </w:numPr>
      </w:pPr>
      <w:r>
        <w:t xml:space="preserve">Reporting consolidé multi-sites pour la direction du groupement</w:t>
      </w:r>
    </w:p>
    <w:p>
      <w:pPr>
        <w:numPr>
          <w:ilvl w:val="0"/>
          <w:numId w:val="1054"/>
        </w:numPr>
      </w:pPr>
      <w:r>
        <w:t xml:space="preserve">Politique de prix et de promotions applicable à l’échelle du groupement ou par officine</w:t>
      </w:r>
    </w:p>
    <w:p>
      <w:pPr>
        <w:pStyle w:val="FirstParagraph"/>
      </w:pPr>
      <w:r>
        <w:rPr>
          <w:bCs/>
          <w:b/>
        </w:rPr>
        <w:t xml:space="preserve">Écrans principaux</w:t>
      </w:r>
    </w:p>
    <w:p>
      <w:pPr>
        <w:numPr>
          <w:ilvl w:val="0"/>
          <w:numId w:val="1055"/>
        </w:numPr>
      </w:pPr>
      <w:r>
        <w:t xml:space="preserve">Vue groupement multi-officines</w:t>
      </w:r>
    </w:p>
    <w:p>
      <w:pPr>
        <w:numPr>
          <w:ilvl w:val="0"/>
          <w:numId w:val="1055"/>
        </w:numPr>
      </w:pPr>
      <w:r>
        <w:t xml:space="preserve">Transfert de stock inter-sites</w:t>
      </w:r>
    </w:p>
    <w:p>
      <w:pPr>
        <w:numPr>
          <w:ilvl w:val="0"/>
          <w:numId w:val="1055"/>
        </w:numPr>
      </w:pPr>
      <w:r>
        <w:t xml:space="preserve">Reporting consolidé</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RG-CHN-01</w:t>
            </w:r>
          </w:p>
        </w:tc>
        <w:tc>
          <w:tcPr/>
          <w:p>
            <w:pPr>
              <w:pStyle w:val="Compact"/>
              <w:jc w:val="left"/>
            </w:pPr>
            <w:r>
              <w:t xml:space="preserve">Un transfert de stock inter-officines génère deux mouvements symétriques tracés (sortie / entrée) et ne peut porter que sur des lots non expirés.</w:t>
            </w:r>
          </w:p>
        </w:tc>
        <w:tc>
          <w:tcPr/>
          <w:p>
            <w:pPr>
              <w:pStyle w:val="Compact"/>
              <w:jc w:val="left"/>
            </w:pPr>
            <w:r>
              <w:t xml:space="preserve">Standard</w:t>
            </w:r>
          </w:p>
        </w:tc>
      </w:tr>
    </w:tbl>
    <w:p>
      <w:pPr>
        <w:pStyle w:val="BodyText"/>
      </w:pPr>
      <w:r>
        <w:rPr>
          <w:bCs/>
          <w:b/>
        </w:rPr>
        <w:t xml:space="preserve">Module 27 — Module Régulateur &amp;</w:t>
      </w:r>
      <w:r>
        <w:t xml:space="preserve">** Reporting Pharmacovigilance**</w:t>
      </w:r>
    </w:p>
    <w:p>
      <w:pPr>
        <w:pStyle w:val="BodyText"/>
      </w:pPr>
      <w:r>
        <w:rPr>
          <w:bCs/>
          <w:b/>
        </w:rPr>
        <w:t xml:space="preserve">Code module :</w:t>
      </w:r>
      <w:r>
        <w:rPr>
          <w:bCs/>
          <w:b/>
        </w:rPr>
        <w:t xml:space="preserve"> </w:t>
      </w:r>
      <w:r>
        <w:t xml:space="preserve">REG** | Priorité : **Critique — Conformité</w:t>
      </w:r>
    </w:p>
    <w:p>
      <w:pPr>
        <w:pStyle w:val="BodyText"/>
      </w:pPr>
      <w:r>
        <w:rPr>
          <w:bCs/>
          <w:b/>
        </w:rPr>
        <w:t xml:space="preserve">Objectif</w:t>
      </w:r>
    </w:p>
    <w:p>
      <w:pPr>
        <w:pStyle w:val="BodyText"/>
      </w:pPr>
      <w:r>
        <w:t xml:space="preserve">Offrir au Ministère de la Santé et de l’Hygiène Publique, à la DNPM et à l’Ordre National des Pharmaciens une interface de supervision proportionnée, cohérente avec la volonté affichée de digitalisation et de meilleure traçabilité des officines.</w:t>
      </w:r>
    </w:p>
    <w:p>
      <w:pPr>
        <w:pStyle w:val="BodyText"/>
      </w:pPr>
      <w:r>
        <w:rPr>
          <w:bCs/>
          <w:b/>
        </w:rPr>
        <w:t xml:space="preserve">Fonctionnalités clés</w:t>
      </w:r>
    </w:p>
    <w:p>
      <w:pPr>
        <w:numPr>
          <w:ilvl w:val="0"/>
          <w:numId w:val="1056"/>
        </w:numPr>
      </w:pPr>
      <w:r>
        <w:t xml:space="preserve">Cartographie en temps réel des officines actives et de leur statut d’agrément</w:t>
      </w:r>
    </w:p>
    <w:p>
      <w:pPr>
        <w:numPr>
          <w:ilvl w:val="0"/>
          <w:numId w:val="1056"/>
        </w:numPr>
      </w:pPr>
      <w:r>
        <w:t xml:space="preserve">Remontée agrégée et anonymisée des signalements de pharmacovigilance et de produits suspects</w:t>
      </w:r>
    </w:p>
    <w:p>
      <w:pPr>
        <w:numPr>
          <w:ilvl w:val="0"/>
          <w:numId w:val="1056"/>
        </w:numPr>
      </w:pPr>
      <w:r>
        <w:t xml:space="preserve">Statistiques de disponibilité des médicaments essentiels par région, utiles au pilotage des politiques de santé</w:t>
      </w:r>
    </w:p>
    <w:p>
      <w:pPr>
        <w:numPr>
          <w:ilvl w:val="0"/>
          <w:numId w:val="1056"/>
        </w:numPr>
      </w:pPr>
      <w:r>
        <w:t xml:space="preserve">Canal de diffusion officiel des alertes de rappel de lots vers l’ensemble des officines partenaires</w:t>
      </w:r>
    </w:p>
    <w:p>
      <w:pPr>
        <w:pStyle w:val="FirstParagraph"/>
      </w:pPr>
      <w:r>
        <w:rPr>
          <w:bCs/>
          <w:b/>
        </w:rPr>
        <w:t xml:space="preserve">Écrans principaux</w:t>
      </w:r>
    </w:p>
    <w:p>
      <w:pPr>
        <w:numPr>
          <w:ilvl w:val="0"/>
          <w:numId w:val="1057"/>
        </w:numPr>
      </w:pPr>
      <w:r>
        <w:t xml:space="preserve">Tableau de bord régulateur</w:t>
      </w:r>
    </w:p>
    <w:p>
      <w:pPr>
        <w:numPr>
          <w:ilvl w:val="0"/>
          <w:numId w:val="1057"/>
        </w:numPr>
      </w:pPr>
      <w:r>
        <w:t xml:space="preserve">Carte des officines et de leur statut</w:t>
      </w:r>
    </w:p>
    <w:p>
      <w:pPr>
        <w:numPr>
          <w:ilvl w:val="0"/>
          <w:numId w:val="1057"/>
        </w:numPr>
      </w:pPr>
      <w:r>
        <w:t xml:space="preserve">Diffusion d’une alerte de rappel</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RG-REG-01</w:t>
            </w:r>
          </w:p>
        </w:tc>
        <w:tc>
          <w:tcPr/>
          <w:p>
            <w:pPr>
              <w:pStyle w:val="Compact"/>
              <w:jc w:val="left"/>
            </w:pPr>
            <w:r>
              <w:t xml:space="preserve">Une alerte de rappel de lot diffusée par le régulateur est propagée automatiquement à toutes les officines détenant ce lot, avec blocage immédiat de sa vente.</w:t>
            </w:r>
          </w:p>
        </w:tc>
        <w:tc>
          <w:tcPr/>
          <w:p>
            <w:pPr>
              <w:pStyle w:val="Compact"/>
              <w:jc w:val="left"/>
            </w:pPr>
            <w:r>
              <w:t xml:space="preserve">Critique</w:t>
            </w:r>
          </w:p>
        </w:tc>
      </w:tr>
      <w:tr>
        <w:tc>
          <w:tcPr/>
          <w:p>
            <w:pPr>
              <w:pStyle w:val="Compact"/>
              <w:jc w:val="left"/>
            </w:pPr>
            <w:r>
              <w:t xml:space="preserve">RG-REG-02</w:t>
            </w:r>
          </w:p>
        </w:tc>
        <w:tc>
          <w:tcPr/>
          <w:p>
            <w:pPr>
              <w:pStyle w:val="Compact"/>
              <w:jc w:val="left"/>
            </w:pPr>
            <w:r>
              <w:t xml:space="preserve">Les données transmises au régulateur respectent le secret médical et ne comportent aucune donnée nominative de patient sans base légale explicite.</w:t>
            </w:r>
          </w:p>
        </w:tc>
        <w:tc>
          <w:tcPr/>
          <w:p>
            <w:pPr>
              <w:pStyle w:val="Compact"/>
              <w:jc w:val="left"/>
            </w:pPr>
            <w:r>
              <w:t xml:space="preserve">Critique</w:t>
            </w:r>
          </w:p>
        </w:tc>
      </w:tr>
    </w:tbl>
    <w:p>
      <w:pPr>
        <w:pStyle w:val="BodyText"/>
      </w:pPr>
      <w:r>
        <w:rPr>
          <w:bCs/>
          <w:b/>
        </w:rPr>
        <w:t xml:space="preserve">Module 28 — Analytics &amp;</w:t>
      </w:r>
      <w:r>
        <w:t xml:space="preserve">** Business Intelligence**</w:t>
      </w:r>
    </w:p>
    <w:p>
      <w:pPr>
        <w:pStyle w:val="BodyText"/>
      </w:pPr>
      <w:r>
        <w:rPr>
          <w:bCs/>
          <w:b/>
        </w:rPr>
        <w:t xml:space="preserve">Code module :</w:t>
      </w:r>
      <w:r>
        <w:rPr>
          <w:bCs/>
          <w:b/>
        </w:rPr>
        <w:t xml:space="preserve"> </w:t>
      </w:r>
      <w:r>
        <w:t xml:space="preserve">BI** | Priorité : **Standard</w:t>
      </w:r>
    </w:p>
    <w:p>
      <w:pPr>
        <w:pStyle w:val="BodyText"/>
      </w:pPr>
      <w:r>
        <w:rPr>
          <w:bCs/>
          <w:b/>
        </w:rPr>
        <w:t xml:space="preserve">Objectif</w:t>
      </w:r>
    </w:p>
    <w:p>
      <w:pPr>
        <w:pStyle w:val="BodyText"/>
      </w:pPr>
      <w:r>
        <w:t xml:space="preserve">Fournir aux différentes parties prenantes (officine, groupement, GSG, partenaires) des tableaux de bord analytiques adaptés à leur niveau de responsabilité.</w:t>
      </w:r>
    </w:p>
    <w:p>
      <w:pPr>
        <w:pStyle w:val="BodyText"/>
      </w:pPr>
      <w:r>
        <w:rPr>
          <w:bCs/>
          <w:b/>
        </w:rPr>
        <w:t xml:space="preserve">Fonctionnalités clés</w:t>
      </w:r>
    </w:p>
    <w:p>
      <w:pPr>
        <w:numPr>
          <w:ilvl w:val="0"/>
          <w:numId w:val="1058"/>
        </w:numPr>
      </w:pPr>
      <w:r>
        <w:t xml:space="preserve">Indicateurs de performance officine (rotation de stock, taux de rupture, panier moyen)</w:t>
      </w:r>
    </w:p>
    <w:p>
      <w:pPr>
        <w:numPr>
          <w:ilvl w:val="0"/>
          <w:numId w:val="1058"/>
        </w:numPr>
      </w:pPr>
      <w:r>
        <w:t xml:space="preserve">Indicateurs réseau (couverture géographique, densité de disponibilité par produit essentiel)</w:t>
      </w:r>
    </w:p>
    <w:p>
      <w:pPr>
        <w:numPr>
          <w:ilvl w:val="0"/>
          <w:numId w:val="1058"/>
        </w:numPr>
      </w:pPr>
      <w:r>
        <w:t xml:space="preserve">Export de données pour les partenaires institutionnels et bailleurs</w:t>
      </w:r>
    </w:p>
    <w:p>
      <w:pPr>
        <w:numPr>
          <w:ilvl w:val="0"/>
          <w:numId w:val="1058"/>
        </w:numPr>
      </w:pPr>
      <w:r>
        <w:t xml:space="preserve">Tableaux de bord personnalisables par rôle</w:t>
      </w:r>
    </w:p>
    <w:p>
      <w:pPr>
        <w:pStyle w:val="FirstParagraph"/>
      </w:pPr>
      <w:r>
        <w:rPr>
          <w:bCs/>
          <w:b/>
        </w:rPr>
        <w:t xml:space="preserve">Écrans principaux</w:t>
      </w:r>
    </w:p>
    <w:p>
      <w:pPr>
        <w:numPr>
          <w:ilvl w:val="0"/>
          <w:numId w:val="1059"/>
        </w:numPr>
      </w:pPr>
      <w:r>
        <w:t xml:space="preserve">Tableau de bord officine</w:t>
      </w:r>
    </w:p>
    <w:p>
      <w:pPr>
        <w:numPr>
          <w:ilvl w:val="0"/>
          <w:numId w:val="1059"/>
        </w:numPr>
      </w:pPr>
      <w:r>
        <w:t xml:space="preserve">Tableau de bord réseau GSG</w:t>
      </w:r>
    </w:p>
    <w:p>
      <w:pPr>
        <w:numPr>
          <w:ilvl w:val="0"/>
          <w:numId w:val="1059"/>
        </w:numPr>
      </w:pPr>
      <w:r>
        <w:t xml:space="preserve">Export de rapports</w:t>
      </w:r>
    </w:p>
    <w:p>
      <w:pPr>
        <w:pStyle w:val="FirstParagraph"/>
      </w:pPr>
      <w:r>
        <w:rPr>
          <w:bCs/>
          <w:b/>
        </w:rPr>
        <w:t xml:space="preserve">Module 29 — Accès solidaire &amp;</w:t>
      </w:r>
      <w:r>
        <w:t xml:space="preserve">** Programmes d’assistance**</w:t>
      </w:r>
    </w:p>
    <w:p>
      <w:pPr>
        <w:pStyle w:val="BodyText"/>
      </w:pPr>
      <w:r>
        <w:rPr>
          <w:bCs/>
          <w:b/>
        </w:rPr>
        <w:t xml:space="preserve">Code module :</w:t>
      </w:r>
      <w:r>
        <w:rPr>
          <w:bCs/>
          <w:b/>
        </w:rPr>
        <w:t xml:space="preserve"> </w:t>
      </w:r>
      <w:r>
        <w:t xml:space="preserve">CSR** | Priorité : **Impact social</w:t>
      </w:r>
    </w:p>
    <w:p>
      <w:pPr>
        <w:pStyle w:val="BodyText"/>
      </w:pPr>
      <w:r>
        <w:rPr>
          <w:bCs/>
          <w:b/>
        </w:rPr>
        <w:t xml:space="preserve">Objectif</w:t>
      </w:r>
    </w:p>
    <w:p>
      <w:pPr>
        <w:pStyle w:val="BodyText"/>
      </w:pPr>
      <w:r>
        <w:t xml:space="preserve">Intégrer un mécanisme d’accès facilité aux médicaments essentiels pour les populations vulnérables, en cohérence avec les objectifs de couverture santé universelle poursuivis par les autorités guinéennes.</w:t>
      </w:r>
    </w:p>
    <w:p>
      <w:pPr>
        <w:pStyle w:val="BodyText"/>
      </w:pPr>
      <w:r>
        <w:rPr>
          <w:bCs/>
          <w:b/>
        </w:rPr>
        <w:t xml:space="preserve">Fonctionnalités clés</w:t>
      </w:r>
    </w:p>
    <w:p>
      <w:pPr>
        <w:numPr>
          <w:ilvl w:val="0"/>
          <w:numId w:val="1060"/>
        </w:numPr>
      </w:pPr>
      <w:r>
        <w:t xml:space="preserve">Programme de dons ou de subvention partielle pour une liste de médicaments essentiels, financé par des partenaires ou une part des commissions de la plateforme</w:t>
      </w:r>
    </w:p>
    <w:p>
      <w:pPr>
        <w:numPr>
          <w:ilvl w:val="0"/>
          <w:numId w:val="1060"/>
        </w:numPr>
      </w:pPr>
      <w:r>
        <w:t xml:space="preserve">Partenariat avec des ONG et structures de santé communautaire pour l’identification des bénéficiaires</w:t>
      </w:r>
    </w:p>
    <w:p>
      <w:pPr>
        <w:numPr>
          <w:ilvl w:val="0"/>
          <w:numId w:val="1060"/>
        </w:numPr>
      </w:pPr>
      <w:r>
        <w:t xml:space="preserve">Suivi transparent de l’utilisation des fonds solidaires</w:t>
      </w:r>
    </w:p>
    <w:p>
      <w:pPr>
        <w:pStyle w:val="FirstParagraph"/>
      </w:pPr>
      <w:r>
        <w:rPr>
          <w:bCs/>
          <w:b/>
        </w:rPr>
        <w:t xml:space="preserve">Écrans principaux</w:t>
      </w:r>
    </w:p>
    <w:p>
      <w:pPr>
        <w:numPr>
          <w:ilvl w:val="0"/>
          <w:numId w:val="1061"/>
        </w:numPr>
      </w:pPr>
      <w:r>
        <w:t xml:space="preserve">Catalogue des produits éligibles au programme solidaire</w:t>
      </w:r>
    </w:p>
    <w:p>
      <w:pPr>
        <w:numPr>
          <w:ilvl w:val="0"/>
          <w:numId w:val="1061"/>
        </w:numPr>
      </w:pPr>
      <w:r>
        <w:t xml:space="preserve">Tableau de bord partenaire ONG</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RG-CSR-01</w:t>
            </w:r>
          </w:p>
        </w:tc>
        <w:tc>
          <w:tcPr/>
          <w:p>
            <w:pPr>
              <w:pStyle w:val="Compact"/>
              <w:jc w:val="left"/>
            </w:pPr>
            <w:r>
              <w:t xml:space="preserve">L’éligibilité d’un patient au programme solidaire est vérifiée selon des critères définis avec les partenaires et ne peut être auto-déclarée sans validation.</w:t>
            </w:r>
          </w:p>
        </w:tc>
        <w:tc>
          <w:tcPr/>
          <w:p>
            <w:pPr>
              <w:pStyle w:val="Compact"/>
              <w:jc w:val="left"/>
            </w:pPr>
            <w:r>
              <w:t xml:space="preserve">Standard</w:t>
            </w:r>
          </w:p>
        </w:tc>
      </w:tr>
    </w:tbl>
    <w:p>
      <w:pPr>
        <w:pStyle w:val="BodyText"/>
      </w:pPr>
      <w:r>
        <w:rPr>
          <w:bCs/>
          <w:b/>
        </w:rPr>
        <w:t xml:space="preserve">Module 30 — Gestion des rappels de lots</w:t>
      </w:r>
    </w:p>
    <w:p>
      <w:pPr>
        <w:pStyle w:val="BodyText"/>
      </w:pPr>
      <w:r>
        <w:rPr>
          <w:bCs/>
          <w:b/>
        </w:rPr>
        <w:t xml:space="preserve">Code module :</w:t>
      </w:r>
      <w:r>
        <w:rPr>
          <w:bCs/>
          <w:b/>
        </w:rPr>
        <w:t xml:space="preserve"> </w:t>
      </w:r>
      <w:r>
        <w:t xml:space="preserve">RCL** | Priorité : **Critique — Conformité</w:t>
      </w:r>
    </w:p>
    <w:p>
      <w:pPr>
        <w:pStyle w:val="BodyText"/>
      </w:pPr>
      <w:r>
        <w:rPr>
          <w:bCs/>
          <w:b/>
        </w:rPr>
        <w:t xml:space="preserve">Objectif</w:t>
      </w:r>
    </w:p>
    <w:p>
      <w:pPr>
        <w:pStyle w:val="BodyText"/>
      </w:pPr>
      <w:r>
        <w:t xml:space="preserve">Garantir un retrait rapide et complet de tout lot faisant l’objet d’un rappel sanitaire, du fournisseur jusqu’au patient déjà servi si nécessaire.</w:t>
      </w:r>
    </w:p>
    <w:p>
      <w:pPr>
        <w:pStyle w:val="BodyText"/>
      </w:pPr>
      <w:r>
        <w:rPr>
          <w:bCs/>
          <w:b/>
        </w:rPr>
        <w:t xml:space="preserve">Fonctionnalités clés</w:t>
      </w:r>
    </w:p>
    <w:p>
      <w:pPr>
        <w:numPr>
          <w:ilvl w:val="0"/>
          <w:numId w:val="1062"/>
        </w:numPr>
      </w:pPr>
      <w:r>
        <w:t xml:space="preserve">Diffusion immédiate d’une alerte de rappel à toutes les officines détenant le lot concerné</w:t>
      </w:r>
    </w:p>
    <w:p>
      <w:pPr>
        <w:numPr>
          <w:ilvl w:val="0"/>
          <w:numId w:val="1062"/>
        </w:numPr>
      </w:pPr>
      <w:r>
        <w:t xml:space="preserve">Blocage automatique de la vente du lot rappelé</w:t>
      </w:r>
    </w:p>
    <w:p>
      <w:pPr>
        <w:numPr>
          <w:ilvl w:val="0"/>
          <w:numId w:val="1062"/>
        </w:numPr>
      </w:pPr>
      <w:r>
        <w:t xml:space="preserve">Identification des patients ayant déjà acquis le lot via l’historique de dispensation, pour notification directe</w:t>
      </w:r>
    </w:p>
    <w:p>
      <w:pPr>
        <w:numPr>
          <w:ilvl w:val="0"/>
          <w:numId w:val="1062"/>
        </w:numPr>
      </w:pPr>
      <w:r>
        <w:t xml:space="preserve">Suivi du taux de retrait effectif par officine</w:t>
      </w:r>
    </w:p>
    <w:p>
      <w:pPr>
        <w:pStyle w:val="FirstParagraph"/>
      </w:pPr>
      <w:r>
        <w:rPr>
          <w:bCs/>
          <w:b/>
        </w:rPr>
        <w:t xml:space="preserve">Écrans principaux</w:t>
      </w:r>
    </w:p>
    <w:p>
      <w:pPr>
        <w:numPr>
          <w:ilvl w:val="0"/>
          <w:numId w:val="1063"/>
        </w:numPr>
      </w:pPr>
      <w:r>
        <w:t xml:space="preserve">Émission d’un rappel de lot</w:t>
      </w:r>
    </w:p>
    <w:p>
      <w:pPr>
        <w:numPr>
          <w:ilvl w:val="0"/>
          <w:numId w:val="1063"/>
        </w:numPr>
      </w:pPr>
      <w:r>
        <w:t xml:space="preserve">Suivi du taux de retrait par officine</w:t>
      </w:r>
    </w:p>
    <w:p>
      <w:pPr>
        <w:numPr>
          <w:ilvl w:val="0"/>
          <w:numId w:val="1063"/>
        </w:numPr>
      </w:pPr>
      <w:r>
        <w:t xml:space="preserve">Notification patient concerné</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RG-RCL-01</w:t>
            </w:r>
          </w:p>
        </w:tc>
        <w:tc>
          <w:tcPr/>
          <w:p>
            <w:pPr>
              <w:pStyle w:val="Compact"/>
              <w:jc w:val="left"/>
            </w:pPr>
            <w:r>
              <w:t xml:space="preserve">Un lot rappelé est bloqué à la vente sur l’ensemble du réseau dans un délai maximal paramétré à quelques minutes après diffusion de l’alerte.</w:t>
            </w:r>
          </w:p>
        </w:tc>
        <w:tc>
          <w:tcPr/>
          <w:p>
            <w:pPr>
              <w:pStyle w:val="Compact"/>
              <w:jc w:val="left"/>
            </w:pPr>
            <w:r>
              <w:t xml:space="preserve">Critique</w:t>
            </w:r>
          </w:p>
        </w:tc>
      </w:tr>
      <w:tr>
        <w:tc>
          <w:tcPr/>
          <w:p>
            <w:pPr>
              <w:pStyle w:val="Compact"/>
              <w:jc w:val="left"/>
            </w:pPr>
            <w:r>
              <w:t xml:space="preserve">RG-RCL-02</w:t>
            </w:r>
          </w:p>
        </w:tc>
        <w:tc>
          <w:tcPr/>
          <w:p>
            <w:pPr>
              <w:pStyle w:val="Compact"/>
              <w:jc w:val="left"/>
            </w:pPr>
            <w:r>
              <w:t xml:space="preserve">Toute officine détenant un lot rappelé doit confirmer son retrait physique du linéaire dans le système sous 48 heures.</w:t>
            </w:r>
          </w:p>
        </w:tc>
        <w:tc>
          <w:tcPr/>
          <w:p>
            <w:pPr>
              <w:pStyle w:val="Compact"/>
              <w:jc w:val="left"/>
            </w:pPr>
            <w:r>
              <w:t xml:space="preserve">Critique</w:t>
            </w:r>
          </w:p>
        </w:tc>
      </w:tr>
    </w:tbl>
    <w:p>
      <w:pPr>
        <w:pStyle w:val="BodyText"/>
      </w:pPr>
      <w:r>
        <w:rPr>
          <w:bCs/>
          <w:b/>
        </w:rPr>
        <w:t xml:space="preserve">Module 31 — Chaîne du froid &amp;</w:t>
      </w:r>
      <w:r>
        <w:t xml:space="preserve">** Produits thermosensibles**</w:t>
      </w:r>
    </w:p>
    <w:p>
      <w:pPr>
        <w:pStyle w:val="BodyText"/>
      </w:pPr>
      <w:r>
        <w:rPr>
          <w:bCs/>
          <w:b/>
        </w:rPr>
        <w:t xml:space="preserve">Code module :</w:t>
      </w:r>
      <w:r>
        <w:rPr>
          <w:bCs/>
          <w:b/>
        </w:rPr>
        <w:t xml:space="preserve"> </w:t>
      </w:r>
      <w:r>
        <w:t xml:space="preserve">CLD** | Priorité : **Différenciant</w:t>
      </w:r>
    </w:p>
    <w:p>
      <w:pPr>
        <w:pStyle w:val="BodyText"/>
      </w:pPr>
      <w:r>
        <w:rPr>
          <w:bCs/>
          <w:b/>
        </w:rPr>
        <w:t xml:space="preserve">Objectif</w:t>
      </w:r>
    </w:p>
    <w:p>
      <w:pPr>
        <w:pStyle w:val="BodyText"/>
      </w:pPr>
      <w:r>
        <w:t xml:space="preserve">Sécuriser la conservation et le transport des produits nécessitant une chaîne du froid (vaccins, insulines, certains biologiques), enjeu majeur de qualité rappelé par le contexte post-Ebola en Guinée.</w:t>
      </w:r>
    </w:p>
    <w:p>
      <w:pPr>
        <w:pStyle w:val="BodyText"/>
      </w:pPr>
      <w:r>
        <w:rPr>
          <w:bCs/>
          <w:b/>
        </w:rPr>
        <w:t xml:space="preserve">Fonctionnalités clés</w:t>
      </w:r>
    </w:p>
    <w:p>
      <w:pPr>
        <w:numPr>
          <w:ilvl w:val="0"/>
          <w:numId w:val="1064"/>
        </w:numPr>
      </w:pPr>
      <w:r>
        <w:t xml:space="preserve">Suivi de température des équipements de stockage en officine, avec capteurs IoT optionnels</w:t>
      </w:r>
    </w:p>
    <w:p>
      <w:pPr>
        <w:numPr>
          <w:ilvl w:val="0"/>
          <w:numId w:val="1064"/>
        </w:numPr>
      </w:pPr>
      <w:r>
        <w:t xml:space="preserve">Alerte en cas de rupture de la chaîne du froid pendant le stockage ou la livraison</w:t>
      </w:r>
    </w:p>
    <w:p>
      <w:pPr>
        <w:numPr>
          <w:ilvl w:val="0"/>
          <w:numId w:val="1064"/>
        </w:numPr>
      </w:pPr>
      <w:r>
        <w:t xml:space="preserve">Contenants isothermes qualifiés obligatoires pour la livraison de produits thermosensibles</w:t>
      </w:r>
    </w:p>
    <w:p>
      <w:pPr>
        <w:numPr>
          <w:ilvl w:val="0"/>
          <w:numId w:val="1064"/>
        </w:numPr>
      </w:pPr>
      <w:r>
        <w:t xml:space="preserve">Journal de température opposable en cas de contrôle réglementaire</w:t>
      </w:r>
    </w:p>
    <w:p>
      <w:pPr>
        <w:pStyle w:val="FirstParagraph"/>
      </w:pPr>
      <w:r>
        <w:rPr>
          <w:bCs/>
          <w:b/>
        </w:rPr>
        <w:t xml:space="preserve">Écrans principaux</w:t>
      </w:r>
    </w:p>
    <w:p>
      <w:pPr>
        <w:numPr>
          <w:ilvl w:val="0"/>
          <w:numId w:val="1065"/>
        </w:numPr>
      </w:pPr>
      <w:r>
        <w:t xml:space="preserve">Suivi des températures de stockage</w:t>
      </w:r>
    </w:p>
    <w:p>
      <w:pPr>
        <w:numPr>
          <w:ilvl w:val="0"/>
          <w:numId w:val="1065"/>
        </w:numPr>
      </w:pPr>
      <w:r>
        <w:t xml:space="preserve">Alerte rupture de chaîne du froid</w:t>
      </w:r>
    </w:p>
    <w:p>
      <w:pPr>
        <w:numPr>
          <w:ilvl w:val="0"/>
          <w:numId w:val="1065"/>
        </w:numPr>
      </w:pPr>
      <w:r>
        <w:t xml:space="preserve">Journal de conformité</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RG-CLD-01</w:t>
            </w:r>
          </w:p>
        </w:tc>
        <w:tc>
          <w:tcPr/>
          <w:p>
            <w:pPr>
              <w:pStyle w:val="Compact"/>
              <w:jc w:val="left"/>
            </w:pPr>
            <w:r>
              <w:t xml:space="preserve">Un produit thermosensible ayant subi une rupture de chaîne du froid détectée est automatiquement retiré de la vente et signalé pour destruction contrôlée.</w:t>
            </w:r>
          </w:p>
        </w:tc>
        <w:tc>
          <w:tcPr/>
          <w:p>
            <w:pPr>
              <w:pStyle w:val="Compact"/>
              <w:jc w:val="left"/>
            </w:pPr>
            <w:r>
              <w:t xml:space="preserve">Critique</w:t>
            </w:r>
          </w:p>
        </w:tc>
      </w:tr>
    </w:tbl>
    <w:p>
      <w:pPr>
        <w:pStyle w:val="BodyText"/>
      </w:pPr>
      <w:r>
        <w:rPr>
          <w:bCs/>
          <w:b/>
        </w:rPr>
        <w:t xml:space="preserve">Module 32 — Support Client &amp;</w:t>
      </w:r>
      <w:r>
        <w:t xml:space="preserve">** Service Après-Vente**</w:t>
      </w:r>
    </w:p>
    <w:p>
      <w:pPr>
        <w:pStyle w:val="BodyText"/>
      </w:pPr>
      <w:r>
        <w:rPr>
          <w:bCs/>
          <w:b/>
        </w:rPr>
        <w:t xml:space="preserve">Code module :</w:t>
      </w:r>
      <w:r>
        <w:rPr>
          <w:bCs/>
          <w:b/>
        </w:rPr>
        <w:t xml:space="preserve"> </w:t>
      </w:r>
      <w:r>
        <w:t xml:space="preserve">SAV** | Priorité : **Standard</w:t>
      </w:r>
    </w:p>
    <w:p>
      <w:pPr>
        <w:pStyle w:val="BodyText"/>
      </w:pPr>
      <w:r>
        <w:rPr>
          <w:bCs/>
          <w:b/>
        </w:rPr>
        <w:t xml:space="preserve">Objectif</w:t>
      </w:r>
    </w:p>
    <w:p>
      <w:pPr>
        <w:pStyle w:val="BodyText"/>
      </w:pPr>
      <w:r>
        <w:t xml:space="preserve">Garantir une prise en charge rapide des demandes patients et pharmacies (litige, remboursement, question technique) via un canal centralisé.</w:t>
      </w:r>
    </w:p>
    <w:p>
      <w:pPr>
        <w:pStyle w:val="BodyText"/>
      </w:pPr>
      <w:r>
        <w:rPr>
          <w:bCs/>
          <w:b/>
        </w:rPr>
        <w:t xml:space="preserve">Fonctionnalités clés</w:t>
      </w:r>
    </w:p>
    <w:p>
      <w:pPr>
        <w:numPr>
          <w:ilvl w:val="0"/>
          <w:numId w:val="1066"/>
        </w:numPr>
      </w:pPr>
      <w:r>
        <w:t xml:space="preserve">Chat de support intégré avec escalade vers un agent humain</w:t>
      </w:r>
    </w:p>
    <w:p>
      <w:pPr>
        <w:numPr>
          <w:ilvl w:val="0"/>
          <w:numId w:val="1066"/>
        </w:numPr>
      </w:pPr>
      <w:r>
        <w:t xml:space="preserve">Gestion des litiges de commande, de paiement ou de livraison</w:t>
      </w:r>
    </w:p>
    <w:p>
      <w:pPr>
        <w:numPr>
          <w:ilvl w:val="0"/>
          <w:numId w:val="1066"/>
        </w:numPr>
      </w:pPr>
      <w:r>
        <w:t xml:space="preserve">Base de connaissances et foire aux questions</w:t>
      </w:r>
    </w:p>
    <w:p>
      <w:pPr>
        <w:numPr>
          <w:ilvl w:val="0"/>
          <w:numId w:val="1066"/>
        </w:numPr>
      </w:pPr>
      <w:r>
        <w:t xml:space="preserve">Suivi des tickets avec engagement de délai de résolution</w:t>
      </w:r>
    </w:p>
    <w:p>
      <w:pPr>
        <w:pStyle w:val="FirstParagraph"/>
      </w:pPr>
      <w:r>
        <w:rPr>
          <w:bCs/>
          <w:b/>
        </w:rPr>
        <w:t xml:space="preserve">Écrans principaux</w:t>
      </w:r>
    </w:p>
    <w:p>
      <w:pPr>
        <w:numPr>
          <w:ilvl w:val="0"/>
          <w:numId w:val="1067"/>
        </w:numPr>
      </w:pPr>
      <w:r>
        <w:t xml:space="preserve">Chat support</w:t>
      </w:r>
    </w:p>
    <w:p>
      <w:pPr>
        <w:numPr>
          <w:ilvl w:val="0"/>
          <w:numId w:val="1067"/>
        </w:numPr>
      </w:pPr>
      <w:r>
        <w:t xml:space="preserve">Suivi de ticket</w:t>
      </w:r>
    </w:p>
    <w:p>
      <w:pPr>
        <w:numPr>
          <w:ilvl w:val="0"/>
          <w:numId w:val="1067"/>
        </w:numPr>
      </w:pPr>
      <w:r>
        <w:t xml:space="preserve">Base de connaissances</w:t>
      </w:r>
    </w:p>
    <w:p>
      <w:pPr>
        <w:pStyle w:val="FirstParagraph"/>
      </w:pPr>
      <w:r>
        <w:rPr>
          <w:bCs/>
          <w:b/>
        </w:rPr>
        <w:t xml:space="preserve">Module 33 — Administration &amp;</w:t>
      </w:r>
      <w:r>
        <w:t xml:space="preserve">** Back-office GSG**</w:t>
      </w:r>
    </w:p>
    <w:p>
      <w:pPr>
        <w:pStyle w:val="BodyText"/>
      </w:pPr>
      <w:r>
        <w:rPr>
          <w:bCs/>
          <w:b/>
        </w:rPr>
        <w:t xml:space="preserve">Code module :</w:t>
      </w:r>
      <w:r>
        <w:rPr>
          <w:bCs/>
          <w:b/>
        </w:rPr>
        <w:t xml:space="preserve"> </w:t>
      </w:r>
      <w:r>
        <w:t xml:space="preserve">ADM** | Priorité : **Critique — Socle</w:t>
      </w:r>
    </w:p>
    <w:p>
      <w:pPr>
        <w:pStyle w:val="BodyText"/>
      </w:pPr>
      <w:r>
        <w:rPr>
          <w:bCs/>
          <w:b/>
        </w:rPr>
        <w:t xml:space="preserve">Objectif</w:t>
      </w:r>
    </w:p>
    <w:p>
      <w:pPr>
        <w:pStyle w:val="BodyText"/>
      </w:pPr>
      <w:r>
        <w:t xml:space="preserve">Donner à l’équipe GSG les outils de pilotage, de modération et de configuration nécessaires à l’exploitation quotidienne de la plateforme.</w:t>
      </w:r>
    </w:p>
    <w:p>
      <w:pPr>
        <w:pStyle w:val="BodyText"/>
      </w:pPr>
      <w:r>
        <w:rPr>
          <w:bCs/>
          <w:b/>
        </w:rPr>
        <w:t xml:space="preserve">Fonctionnalités clés</w:t>
      </w:r>
    </w:p>
    <w:p>
      <w:pPr>
        <w:numPr>
          <w:ilvl w:val="0"/>
          <w:numId w:val="1068"/>
        </w:numPr>
      </w:pPr>
      <w:r>
        <w:t xml:space="preserve">Validation et suivi des agréments des officines et grossistes partenaires</w:t>
      </w:r>
    </w:p>
    <w:p>
      <w:pPr>
        <w:numPr>
          <w:ilvl w:val="0"/>
          <w:numId w:val="1068"/>
        </w:numPr>
      </w:pPr>
      <w:r>
        <w:t xml:space="preserve">Gestion des commissions et de la facturation des abonnements SaaS</w:t>
      </w:r>
    </w:p>
    <w:p>
      <w:pPr>
        <w:numPr>
          <w:ilvl w:val="0"/>
          <w:numId w:val="1068"/>
        </w:numPr>
      </w:pPr>
      <w:r>
        <w:t xml:space="preserve">Modération des signalements et des litiges</w:t>
      </w:r>
    </w:p>
    <w:p>
      <w:pPr>
        <w:numPr>
          <w:ilvl w:val="0"/>
          <w:numId w:val="1068"/>
        </w:numPr>
      </w:pPr>
      <w:r>
        <w:t xml:space="preserve">Configuration des paramètres globaux (seuils d’alerte par défaut, zones de couverture, tarification)</w:t>
      </w:r>
    </w:p>
    <w:p>
      <w:pPr>
        <w:numPr>
          <w:ilvl w:val="0"/>
          <w:numId w:val="1068"/>
        </w:numPr>
      </w:pPr>
      <w:r>
        <w:t xml:space="preserve">Intégration native au GSG Platform Kernel : GSG ID, Org Registry, bus d’événements, audit centralisé</w:t>
      </w:r>
    </w:p>
    <w:p>
      <w:pPr>
        <w:pStyle w:val="FirstParagraph"/>
      </w:pPr>
      <w:r>
        <w:rPr>
          <w:bCs/>
          <w:b/>
        </w:rPr>
        <w:t xml:space="preserve">Écrans principaux</w:t>
      </w:r>
    </w:p>
    <w:p>
      <w:pPr>
        <w:numPr>
          <w:ilvl w:val="0"/>
          <w:numId w:val="1069"/>
        </w:numPr>
      </w:pPr>
      <w:r>
        <w:t xml:space="preserve">Console d’administration GSG</w:t>
      </w:r>
    </w:p>
    <w:p>
      <w:pPr>
        <w:numPr>
          <w:ilvl w:val="0"/>
          <w:numId w:val="1069"/>
        </w:numPr>
      </w:pPr>
      <w:r>
        <w:t xml:space="preserve">Validation des agréments</w:t>
      </w:r>
    </w:p>
    <w:p>
      <w:pPr>
        <w:numPr>
          <w:ilvl w:val="0"/>
          <w:numId w:val="1069"/>
        </w:numPr>
      </w:pPr>
      <w:r>
        <w:t xml:space="preserve">Facturation &amp; commissions</w:t>
      </w:r>
    </w:p>
    <w:p>
      <w:pPr>
        <w:numPr>
          <w:ilvl w:val="0"/>
          <w:numId w:val="1069"/>
        </w:numPr>
      </w:pPr>
      <w:r>
        <w:t xml:space="preserve">Configuration globale</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RG-ADM-01</w:t>
            </w:r>
          </w:p>
        </w:tc>
        <w:tc>
          <w:tcPr/>
          <w:p>
            <w:pPr>
              <w:pStyle w:val="Compact"/>
              <w:jc w:val="left"/>
            </w:pPr>
            <w:r>
              <w:t xml:space="preserve">Toute suspension ou réactivation d’une officine par l’administration GSG est journalisée avec motif et notifiée à l’officine concernée.</w:t>
            </w:r>
          </w:p>
        </w:tc>
        <w:tc>
          <w:tcPr/>
          <w:p>
            <w:pPr>
              <w:pStyle w:val="Compact"/>
              <w:jc w:val="left"/>
            </w:pPr>
            <w:r>
              <w:t xml:space="preserve">Critique</w:t>
            </w:r>
          </w:p>
        </w:tc>
      </w:tr>
    </w:tbl>
    <w:p>
      <w:pPr>
        <w:pStyle w:val="BodyText"/>
      </w:pPr>
      <w:r>
        <w:rPr>
          <w:bCs/>
          <w:b/>
        </w:rPr>
        <w:t xml:space="preserve">Module 34 — Sécurité, Conformité &amp;</w:t>
      </w:r>
      <w:r>
        <w:t xml:space="preserve">** Protection des données de santé**</w:t>
      </w:r>
    </w:p>
    <w:p>
      <w:pPr>
        <w:pStyle w:val="BodyText"/>
      </w:pPr>
      <w:r>
        <w:rPr>
          <w:bCs/>
          <w:b/>
        </w:rPr>
        <w:t xml:space="preserve">Code module :</w:t>
      </w:r>
      <w:r>
        <w:rPr>
          <w:bCs/>
          <w:b/>
        </w:rPr>
        <w:t xml:space="preserve"> </w:t>
      </w:r>
      <w:r>
        <w:t xml:space="preserve">SEC** | Priorité : **Critique — Transverse</w:t>
      </w:r>
    </w:p>
    <w:p>
      <w:pPr>
        <w:pStyle w:val="BodyText"/>
      </w:pPr>
      <w:r>
        <w:rPr>
          <w:bCs/>
          <w:b/>
        </w:rPr>
        <w:t xml:space="preserve">Objectif</w:t>
      </w:r>
    </w:p>
    <w:p>
      <w:pPr>
        <w:pStyle w:val="BodyText"/>
      </w:pPr>
      <w:r>
        <w:t xml:space="preserve">Garantir la confidentialité et l’intégrité des données de santé traitées par PharmaConnect, catégorie de données particulièrement sensible, en anticipant un cadre réglementaire guinéen encore en construction.</w:t>
      </w:r>
    </w:p>
    <w:p>
      <w:pPr>
        <w:pStyle w:val="BodyText"/>
      </w:pPr>
      <w:r>
        <w:rPr>
          <w:bCs/>
          <w:b/>
        </w:rPr>
        <w:t xml:space="preserve">Fonctionnalités clés</w:t>
      </w:r>
    </w:p>
    <w:p>
      <w:pPr>
        <w:numPr>
          <w:ilvl w:val="0"/>
          <w:numId w:val="1070"/>
        </w:numPr>
      </w:pPr>
      <w:r>
        <w:t xml:space="preserve">Chiffrement des données de santé au repos et en transit</w:t>
      </w:r>
    </w:p>
    <w:p>
      <w:pPr>
        <w:numPr>
          <w:ilvl w:val="0"/>
          <w:numId w:val="1070"/>
        </w:numPr>
      </w:pPr>
      <w:r>
        <w:t xml:space="preserve">Journalisation centralisée et infalsifiable de tous les accès aux données sensibles, via le bus d’audit du GSG Platform Kernel</w:t>
      </w:r>
    </w:p>
    <w:p>
      <w:pPr>
        <w:numPr>
          <w:ilvl w:val="0"/>
          <w:numId w:val="1070"/>
        </w:numPr>
      </w:pPr>
      <w:r>
        <w:t xml:space="preserve">Gestion fine du consentement patient pour le partage de son historique avec un professionnel de santé ou un assureur</w:t>
      </w:r>
    </w:p>
    <w:p>
      <w:pPr>
        <w:numPr>
          <w:ilvl w:val="0"/>
          <w:numId w:val="1070"/>
        </w:numPr>
      </w:pPr>
      <w:r>
        <w:t xml:space="preserve">Politique de conservation et de purge des données conforme aux meilleures pratiques internationales (RGPD comme référentiel de convergence) en l’absence de loi guinéenne spécifique aux données de santé</w:t>
      </w:r>
    </w:p>
    <w:p>
      <w:pPr>
        <w:numPr>
          <w:ilvl w:val="0"/>
          <w:numId w:val="1070"/>
        </w:numPr>
      </w:pPr>
      <w:r>
        <w:t xml:space="preserve">Plan de réponse aux incidents et de notification en cas de violation de données</w:t>
      </w:r>
    </w:p>
    <w:p>
      <w:pPr>
        <w:pStyle w:val="FirstParagraph"/>
      </w:pPr>
      <w:r>
        <w:rPr>
          <w:bCs/>
          <w:b/>
        </w:rPr>
        <w:t xml:space="preserve">Écrans principaux</w:t>
      </w:r>
    </w:p>
    <w:p>
      <w:pPr>
        <w:numPr>
          <w:ilvl w:val="0"/>
          <w:numId w:val="1071"/>
        </w:numPr>
      </w:pPr>
      <w:r>
        <w:t xml:space="preserve">Centre de confidentialité patient</w:t>
      </w:r>
    </w:p>
    <w:p>
      <w:pPr>
        <w:numPr>
          <w:ilvl w:val="0"/>
          <w:numId w:val="1071"/>
        </w:numPr>
      </w:pPr>
      <w:r>
        <w:t xml:space="preserve">Journal d’audit (vue administrateur)</w:t>
      </w:r>
    </w:p>
    <w:p>
      <w:pPr>
        <w:numPr>
          <w:ilvl w:val="0"/>
          <w:numId w:val="1071"/>
        </w:numPr>
      </w:pPr>
      <w:r>
        <w:t xml:space="preserve">Gestion du consentement</w:t>
      </w:r>
    </w:p>
    <w:p>
      <w:pPr>
        <w:pStyle w:val="FirstParagraph"/>
      </w:pPr>
      <w:r>
        <w:rPr>
          <w:bCs/>
          <w:b/>
        </w:rPr>
        <w:t xml:space="preserve">Règles de gestion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Réf.</w:t>
            </w:r>
          </w:p>
        </w:tc>
        <w:tc>
          <w:tcPr/>
          <w:p>
            <w:pPr>
              <w:pStyle w:val="Compact"/>
              <w:jc w:val="left"/>
            </w:pPr>
            <w:r>
              <w:rPr>
                <w:bCs/>
                <w:b/>
              </w:rPr>
              <w:t xml:space="preserve">Énoncé de la règle de gestion</w:t>
            </w:r>
          </w:p>
        </w:tc>
        <w:tc>
          <w:tcPr/>
          <w:p>
            <w:pPr>
              <w:pStyle w:val="Compact"/>
              <w:jc w:val="left"/>
            </w:pPr>
            <w:r>
              <w:rPr>
                <w:bCs/>
                <w:b/>
              </w:rPr>
              <w:t xml:space="preserve">Criticité</w:t>
            </w:r>
          </w:p>
        </w:tc>
      </w:tr>
      <w:tr>
        <w:tc>
          <w:tcPr/>
          <w:p>
            <w:pPr>
              <w:pStyle w:val="Compact"/>
              <w:jc w:val="left"/>
            </w:pPr>
            <w:r>
              <w:t xml:space="preserve">RG-SEC-01</w:t>
            </w:r>
          </w:p>
        </w:tc>
        <w:tc>
          <w:tcPr/>
          <w:p>
            <w:pPr>
              <w:pStyle w:val="Compact"/>
              <w:jc w:val="left"/>
            </w:pPr>
            <w:r>
              <w:t xml:space="preserve">L’accès à l’historique médicamenteux complet d’un patient par un tiers (professionnel de santé, assureur) requiert un consentement explicite et révocable du patient.</w:t>
            </w:r>
          </w:p>
        </w:tc>
        <w:tc>
          <w:tcPr/>
          <w:p>
            <w:pPr>
              <w:pStyle w:val="Compact"/>
              <w:jc w:val="left"/>
            </w:pPr>
            <w:r>
              <w:t xml:space="preserve">Critique</w:t>
            </w:r>
          </w:p>
        </w:tc>
      </w:tr>
      <w:tr>
        <w:tc>
          <w:tcPr/>
          <w:p>
            <w:pPr>
              <w:pStyle w:val="Compact"/>
              <w:jc w:val="left"/>
            </w:pPr>
            <w:r>
              <w:t xml:space="preserve">RG-SEC-02</w:t>
            </w:r>
          </w:p>
        </w:tc>
        <w:tc>
          <w:tcPr/>
          <w:p>
            <w:pPr>
              <w:pStyle w:val="Compact"/>
              <w:jc w:val="left"/>
            </w:pPr>
            <w:r>
              <w:t xml:space="preserve">Toute violation avérée de données de santé fait l’objet d’une notification à l’administration GSG dans un délai maximal de 24 heures.</w:t>
            </w:r>
          </w:p>
        </w:tc>
        <w:tc>
          <w:tcPr/>
          <w:p>
            <w:pPr>
              <w:pStyle w:val="Compact"/>
              <w:jc w:val="left"/>
            </w:pPr>
            <w:r>
              <w:t xml:space="preserve">Critique</w:t>
            </w:r>
          </w:p>
        </w:tc>
      </w:tr>
    </w:tbl>
    <w:p>
      <w:pPr>
        <w:pStyle w:val="BodyText"/>
      </w:pPr>
      <w:r>
        <w:rPr>
          <w:bCs/>
          <w:b/>
        </w:rPr>
        <w:t xml:space="preserve">7. Récapitulatif des règles de gestion</w:t>
      </w:r>
    </w:p>
    <w:p>
      <w:pPr>
        <w:pStyle w:val="BodyText"/>
      </w:pPr>
      <w:r>
        <w:t xml:space="preserve">Le référentiel complet compte 66 règles de gestion codifiées, réparties sur l’ensemble des modules. Les règles classées « Critique » conditionnent la conformité réglementaire, la sécurité du patient ou l’intégrité financière de la plateforme et doivent faire l’objet de tests automatisés systématiques.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Réf.</w:t>
            </w:r>
          </w:p>
        </w:tc>
        <w:tc>
          <w:tcPr/>
          <w:p>
            <w:pPr>
              <w:pStyle w:val="Compact"/>
              <w:jc w:val="left"/>
            </w:pPr>
            <w:r>
              <w:rPr>
                <w:bCs/>
                <w:b/>
              </w:rPr>
              <w:t xml:space="preserve">Module</w:t>
            </w:r>
          </w:p>
        </w:tc>
        <w:tc>
          <w:tcPr/>
          <w:p>
            <w:pPr>
              <w:pStyle w:val="Compact"/>
              <w:jc w:val="left"/>
            </w:pPr>
            <w:r>
              <w:rPr>
                <w:bCs/>
                <w:b/>
              </w:rPr>
              <w:t xml:space="preserve">Énoncé</w:t>
            </w:r>
          </w:p>
        </w:tc>
        <w:tc>
          <w:tcPr/>
          <w:p>
            <w:pPr>
              <w:pStyle w:val="Compact"/>
              <w:jc w:val="left"/>
            </w:pPr>
            <w:r>
              <w:rPr>
                <w:bCs/>
                <w:b/>
              </w:rPr>
              <w:t xml:space="preserve">Criticité</w:t>
            </w:r>
          </w:p>
        </w:tc>
      </w:tr>
      <w:tr>
        <w:tc>
          <w:tcPr/>
          <w:p>
            <w:pPr>
              <w:pStyle w:val="Compact"/>
              <w:jc w:val="left"/>
            </w:pPr>
            <w:r>
              <w:t xml:space="preserve">RG-AUT-01</w:t>
            </w:r>
          </w:p>
        </w:tc>
        <w:tc>
          <w:tcPr/>
          <w:p>
            <w:pPr>
              <w:pStyle w:val="Compact"/>
              <w:jc w:val="left"/>
            </w:pPr>
            <w:r>
              <w:t xml:space="preserve">AUT — Authentification &amp; Comptes multi-profils</w:t>
            </w:r>
          </w:p>
        </w:tc>
        <w:tc>
          <w:tcPr/>
          <w:p>
            <w:pPr>
              <w:pStyle w:val="Compact"/>
              <w:jc w:val="left"/>
            </w:pPr>
            <w:r>
              <w:t xml:space="preserve">Un compte pharmacie ne peut être activé qu’après vérification manuelle ou automatisée du numéro de licence auprès du référentiel de la Direction Nationale de la Pharmacie et du Médicament (DNPM).</w:t>
            </w:r>
          </w:p>
        </w:tc>
        <w:tc>
          <w:tcPr/>
          <w:p>
            <w:pPr>
              <w:pStyle w:val="Compact"/>
              <w:jc w:val="left"/>
            </w:pPr>
            <w:r>
              <w:t xml:space="preserve">Critique</w:t>
            </w:r>
          </w:p>
        </w:tc>
      </w:tr>
      <w:tr>
        <w:tc>
          <w:tcPr/>
          <w:p>
            <w:pPr>
              <w:pStyle w:val="Compact"/>
              <w:jc w:val="left"/>
            </w:pPr>
            <w:r>
              <w:t xml:space="preserve">RG-AUT-02</w:t>
            </w:r>
          </w:p>
        </w:tc>
        <w:tc>
          <w:tcPr/>
          <w:p>
            <w:pPr>
              <w:pStyle w:val="Compact"/>
              <w:jc w:val="left"/>
            </w:pPr>
            <w:r>
              <w:t xml:space="preserve">AUT — Authentification &amp; Comptes multi-profils</w:t>
            </w:r>
          </w:p>
        </w:tc>
        <w:tc>
          <w:tcPr/>
          <w:p>
            <w:pPr>
              <w:pStyle w:val="Compact"/>
              <w:jc w:val="left"/>
            </w:pPr>
            <w:r>
              <w:t xml:space="preserve">Un même numéro de téléphone ne peut être associé qu’à un seul compte patient actif.</w:t>
            </w:r>
          </w:p>
        </w:tc>
        <w:tc>
          <w:tcPr/>
          <w:p>
            <w:pPr>
              <w:pStyle w:val="Compact"/>
              <w:jc w:val="left"/>
            </w:pPr>
            <w:r>
              <w:t xml:space="preserve">Standard</w:t>
            </w:r>
          </w:p>
        </w:tc>
      </w:tr>
      <w:tr>
        <w:tc>
          <w:tcPr/>
          <w:p>
            <w:pPr>
              <w:pStyle w:val="Compact"/>
              <w:jc w:val="left"/>
            </w:pPr>
            <w:r>
              <w:t xml:space="preserve">RG-AUT-03</w:t>
            </w:r>
          </w:p>
        </w:tc>
        <w:tc>
          <w:tcPr/>
          <w:p>
            <w:pPr>
              <w:pStyle w:val="Compact"/>
              <w:jc w:val="left"/>
            </w:pPr>
            <w:r>
              <w:t xml:space="preserve">AUT — Authentification &amp; Comptes multi-profils</w:t>
            </w:r>
          </w:p>
        </w:tc>
        <w:tc>
          <w:tcPr/>
          <w:p>
            <w:pPr>
              <w:pStyle w:val="Compact"/>
              <w:jc w:val="left"/>
            </w:pPr>
            <w:r>
              <w:t xml:space="preserve">Toute action de dispensation, de modification de stock ou de validation d’ordonnance doit être tracée avec l’identifiant du membre d’officine connecté.</w:t>
            </w:r>
          </w:p>
        </w:tc>
        <w:tc>
          <w:tcPr/>
          <w:p>
            <w:pPr>
              <w:pStyle w:val="Compact"/>
              <w:jc w:val="left"/>
            </w:pPr>
            <w:r>
              <w:t xml:space="preserve">Critique</w:t>
            </w:r>
          </w:p>
        </w:tc>
      </w:tr>
      <w:tr>
        <w:tc>
          <w:tcPr/>
          <w:p>
            <w:pPr>
              <w:pStyle w:val="Compact"/>
              <w:jc w:val="left"/>
            </w:pPr>
            <w:r>
              <w:t xml:space="preserve">RG-AUT-04</w:t>
            </w:r>
          </w:p>
        </w:tc>
        <w:tc>
          <w:tcPr/>
          <w:p>
            <w:pPr>
              <w:pStyle w:val="Compact"/>
              <w:jc w:val="left"/>
            </w:pPr>
            <w:r>
              <w:t xml:space="preserve">AUT — Authentification &amp; Comptes multi-profils</w:t>
            </w:r>
          </w:p>
        </w:tc>
        <w:tc>
          <w:tcPr/>
          <w:p>
            <w:pPr>
              <w:pStyle w:val="Compact"/>
              <w:jc w:val="left"/>
            </w:pPr>
            <w:r>
              <w:t xml:space="preserve">Un compte pharmacie suspendu par un régulateur ou par l’administration GSG est immédiatement retiré des résultats de recherche patients.</w:t>
            </w:r>
          </w:p>
        </w:tc>
        <w:tc>
          <w:tcPr/>
          <w:p>
            <w:pPr>
              <w:pStyle w:val="Compact"/>
              <w:jc w:val="left"/>
            </w:pPr>
            <w:r>
              <w:t xml:space="preserve">Critique</w:t>
            </w:r>
          </w:p>
        </w:tc>
      </w:tr>
      <w:tr>
        <w:tc>
          <w:tcPr/>
          <w:p>
            <w:pPr>
              <w:pStyle w:val="Compact"/>
              <w:jc w:val="left"/>
            </w:pPr>
            <w:r>
              <w:t xml:space="preserve">RG-REC-01</w:t>
            </w:r>
          </w:p>
        </w:tc>
        <w:tc>
          <w:tcPr/>
          <w:p>
            <w:pPr>
              <w:pStyle w:val="Compact"/>
              <w:jc w:val="left"/>
            </w:pPr>
            <w:r>
              <w:t xml:space="preserve">REC — Recherche &amp; Disponibilité en temps réel</w:t>
            </w:r>
          </w:p>
        </w:tc>
        <w:tc>
          <w:tcPr/>
          <w:p>
            <w:pPr>
              <w:pStyle w:val="Compact"/>
              <w:jc w:val="left"/>
            </w:pPr>
            <w:r>
              <w:t xml:space="preserve">Un résultat de disponibilité affiché au patient ne doit pas dater de plus de 24 heures sans synchronisation ; au-delà, le statut passe automatiquement à « à confirmer ».</w:t>
            </w:r>
          </w:p>
        </w:tc>
        <w:tc>
          <w:tcPr/>
          <w:p>
            <w:pPr>
              <w:pStyle w:val="Compact"/>
              <w:jc w:val="left"/>
            </w:pPr>
            <w:r>
              <w:t xml:space="preserve">Critique</w:t>
            </w:r>
          </w:p>
        </w:tc>
      </w:tr>
      <w:tr>
        <w:tc>
          <w:tcPr/>
          <w:p>
            <w:pPr>
              <w:pStyle w:val="Compact"/>
              <w:jc w:val="left"/>
            </w:pPr>
            <w:r>
              <w:t xml:space="preserve">RG-REC-02</w:t>
            </w:r>
          </w:p>
        </w:tc>
        <w:tc>
          <w:tcPr/>
          <w:p>
            <w:pPr>
              <w:pStyle w:val="Compact"/>
              <w:jc w:val="left"/>
            </w:pPr>
            <w:r>
              <w:t xml:space="preserve">REC — Recherche &amp; Disponibilité en temps réel</w:t>
            </w:r>
          </w:p>
        </w:tc>
        <w:tc>
          <w:tcPr/>
          <w:p>
            <w:pPr>
              <w:pStyle w:val="Compact"/>
              <w:jc w:val="left"/>
            </w:pPr>
            <w:r>
              <w:t xml:space="preserve">Le prix affiché est indicatif tant que la pharmacie n’a pas confirmé la réservation ; le prix définitif est celui validé en officine.</w:t>
            </w:r>
          </w:p>
        </w:tc>
        <w:tc>
          <w:tcPr/>
          <w:p>
            <w:pPr>
              <w:pStyle w:val="Compact"/>
              <w:jc w:val="left"/>
            </w:pPr>
            <w:r>
              <w:t xml:space="preserve">Standard</w:t>
            </w:r>
          </w:p>
        </w:tc>
      </w:tr>
      <w:tr>
        <w:tc>
          <w:tcPr/>
          <w:p>
            <w:pPr>
              <w:pStyle w:val="Compact"/>
              <w:jc w:val="left"/>
            </w:pPr>
            <w:r>
              <w:t xml:space="preserve">RG-REC-03</w:t>
            </w:r>
          </w:p>
        </w:tc>
        <w:tc>
          <w:tcPr/>
          <w:p>
            <w:pPr>
              <w:pStyle w:val="Compact"/>
              <w:jc w:val="left"/>
            </w:pPr>
            <w:r>
              <w:t xml:space="preserve">REC — Recherche &amp; Disponibilité en temps réel</w:t>
            </w:r>
          </w:p>
        </w:tc>
        <w:tc>
          <w:tcPr/>
          <w:p>
            <w:pPr>
              <w:pStyle w:val="Compact"/>
              <w:jc w:val="left"/>
            </w:pPr>
            <w:r>
              <w:t xml:space="preserve">Les pharmacies de garde affichées doivent correspondre au planning officiel communiqué par l’Ordre National des Pharmaciens ou la DNPM.</w:t>
            </w:r>
          </w:p>
        </w:tc>
        <w:tc>
          <w:tcPr/>
          <w:p>
            <w:pPr>
              <w:pStyle w:val="Compact"/>
              <w:jc w:val="left"/>
            </w:pPr>
            <w:r>
              <w:t xml:space="preserve">Critique</w:t>
            </w:r>
          </w:p>
        </w:tc>
      </w:tr>
      <w:tr>
        <w:tc>
          <w:tcPr/>
          <w:p>
            <w:pPr>
              <w:pStyle w:val="Compact"/>
              <w:jc w:val="left"/>
            </w:pPr>
            <w:r>
              <w:t xml:space="preserve">RG-CAT-01</w:t>
            </w:r>
          </w:p>
        </w:tc>
        <w:tc>
          <w:tcPr/>
          <w:p>
            <w:pPr>
              <w:pStyle w:val="Compact"/>
              <w:jc w:val="left"/>
            </w:pPr>
            <w:r>
              <w:t xml:space="preserve">CAT — Catalogue Produits &amp; Référentiel Médicaments</w:t>
            </w:r>
          </w:p>
        </w:tc>
        <w:tc>
          <w:tcPr/>
          <w:p>
            <w:pPr>
              <w:pStyle w:val="Compact"/>
              <w:jc w:val="left"/>
            </w:pPr>
            <w:r>
              <w:t xml:space="preserve">Le référentiel produit est unique et centralisé ; les pharmacies ne créent pas de fiches produit libres mais rattachent leur stock à une fiche existante ou soumettent une demande de création validée par un administrateur pharmaceutique GSG.</w:t>
            </w:r>
          </w:p>
        </w:tc>
        <w:tc>
          <w:tcPr/>
          <w:p>
            <w:pPr>
              <w:pStyle w:val="Compact"/>
              <w:jc w:val="left"/>
            </w:pPr>
            <w:r>
              <w:t xml:space="preserve">Critique</w:t>
            </w:r>
          </w:p>
        </w:tc>
      </w:tr>
      <w:tr>
        <w:tc>
          <w:tcPr/>
          <w:p>
            <w:pPr>
              <w:pStyle w:val="Compact"/>
              <w:jc w:val="left"/>
            </w:pPr>
            <w:r>
              <w:t xml:space="preserve">RG-CAT-02</w:t>
            </w:r>
          </w:p>
        </w:tc>
        <w:tc>
          <w:tcPr/>
          <w:p>
            <w:pPr>
              <w:pStyle w:val="Compact"/>
              <w:jc w:val="left"/>
            </w:pPr>
            <w:r>
              <w:t xml:space="preserve">CAT — Catalogue Produits &amp; Référentiel Médicaments</w:t>
            </w:r>
          </w:p>
        </w:tc>
        <w:tc>
          <w:tcPr/>
          <w:p>
            <w:pPr>
              <w:pStyle w:val="Compact"/>
              <w:jc w:val="left"/>
            </w:pPr>
            <w:r>
              <w:t xml:space="preserve">Un produit classé stupéfiant ou psychotrope ne peut être affiché en disponibilité publique sans ordonnance valide associée.</w:t>
            </w:r>
          </w:p>
        </w:tc>
        <w:tc>
          <w:tcPr/>
          <w:p>
            <w:pPr>
              <w:pStyle w:val="Compact"/>
              <w:jc w:val="left"/>
            </w:pPr>
            <w:r>
              <w:t xml:space="preserve">Critique</w:t>
            </w:r>
          </w:p>
        </w:tc>
      </w:tr>
      <w:tr>
        <w:tc>
          <w:tcPr/>
          <w:p>
            <w:pPr>
              <w:pStyle w:val="Compact"/>
              <w:jc w:val="left"/>
            </w:pPr>
            <w:r>
              <w:t xml:space="preserve">RG-CAT-03</w:t>
            </w:r>
          </w:p>
        </w:tc>
        <w:tc>
          <w:tcPr/>
          <w:p>
            <w:pPr>
              <w:pStyle w:val="Compact"/>
              <w:jc w:val="left"/>
            </w:pPr>
            <w:r>
              <w:t xml:space="preserve">CAT — Catalogue Produits &amp; Référentiel Médicaments</w:t>
            </w:r>
          </w:p>
        </w:tc>
        <w:tc>
          <w:tcPr/>
          <w:p>
            <w:pPr>
              <w:pStyle w:val="Compact"/>
              <w:jc w:val="left"/>
            </w:pPr>
            <w:r>
              <w:t xml:space="preserve">Toute modification du statut réglementaire d’un produit (retrait d’AMM, alerte sanitaire) est propagée automatiquement à toutes les fiches de stock qui y sont rattachées.</w:t>
            </w:r>
          </w:p>
        </w:tc>
        <w:tc>
          <w:tcPr/>
          <w:p>
            <w:pPr>
              <w:pStyle w:val="Compact"/>
              <w:jc w:val="left"/>
            </w:pPr>
            <w:r>
              <w:t xml:space="preserve">Critique</w:t>
            </w:r>
          </w:p>
        </w:tc>
      </w:tr>
      <w:tr>
        <w:tc>
          <w:tcPr/>
          <w:p>
            <w:pPr>
              <w:pStyle w:val="Compact"/>
              <w:jc w:val="left"/>
            </w:pPr>
            <w:r>
              <w:t xml:space="preserve">RG-STK-01</w:t>
            </w:r>
          </w:p>
        </w:tc>
        <w:tc>
          <w:tcPr/>
          <w:p>
            <w:pPr>
              <w:pStyle w:val="Compact"/>
              <w:jc w:val="left"/>
            </w:pPr>
            <w:r>
              <w:t xml:space="preserve">STK — Gestion des Stocks, Lots &amp; FEFO</w:t>
            </w:r>
          </w:p>
        </w:tc>
        <w:tc>
          <w:tcPr/>
          <w:p>
            <w:pPr>
              <w:pStyle w:val="Compact"/>
              <w:jc w:val="left"/>
            </w:pPr>
            <w:r>
              <w:t xml:space="preserve">À quantité et produit identiques, le système propose par défaut la sortie du lot dont la date de péremption est la plus proche (FEFO), sauf dérogation explicite du pharmacien.</w:t>
            </w:r>
          </w:p>
        </w:tc>
        <w:tc>
          <w:tcPr/>
          <w:p>
            <w:pPr>
              <w:pStyle w:val="Compact"/>
              <w:jc w:val="left"/>
            </w:pPr>
            <w:r>
              <w:t xml:space="preserve">Critique</w:t>
            </w:r>
          </w:p>
        </w:tc>
      </w:tr>
      <w:tr>
        <w:tc>
          <w:tcPr/>
          <w:p>
            <w:pPr>
              <w:pStyle w:val="Compact"/>
              <w:jc w:val="left"/>
            </w:pPr>
            <w:r>
              <w:t xml:space="preserve">RG-STK-02</w:t>
            </w:r>
          </w:p>
        </w:tc>
        <w:tc>
          <w:tcPr/>
          <w:p>
            <w:pPr>
              <w:pStyle w:val="Compact"/>
              <w:jc w:val="left"/>
            </w:pPr>
            <w:r>
              <w:t xml:space="preserve">STK — Gestion des Stocks, Lots &amp; FEFO</w:t>
            </w:r>
          </w:p>
        </w:tc>
        <w:tc>
          <w:tcPr/>
          <w:p>
            <w:pPr>
              <w:pStyle w:val="Compact"/>
              <w:jc w:val="left"/>
            </w:pPr>
            <w:r>
              <w:t xml:space="preserve">Un lot dont la date de péremption est dépassée est automatiquement retiré de la disponibilité à la vente et signalé pour retrait physique.</w:t>
            </w:r>
          </w:p>
        </w:tc>
        <w:tc>
          <w:tcPr/>
          <w:p>
            <w:pPr>
              <w:pStyle w:val="Compact"/>
              <w:jc w:val="left"/>
            </w:pPr>
            <w:r>
              <w:t xml:space="preserve">Critique</w:t>
            </w:r>
          </w:p>
        </w:tc>
      </w:tr>
      <w:tr>
        <w:tc>
          <w:tcPr/>
          <w:p>
            <w:pPr>
              <w:pStyle w:val="Compact"/>
              <w:jc w:val="left"/>
            </w:pPr>
            <w:r>
              <w:t xml:space="preserve">RG-STK-03</w:t>
            </w:r>
          </w:p>
        </w:tc>
        <w:tc>
          <w:tcPr/>
          <w:p>
            <w:pPr>
              <w:pStyle w:val="Compact"/>
              <w:jc w:val="left"/>
            </w:pPr>
            <w:r>
              <w:t xml:space="preserve">STK — Gestion des Stocks, Lots &amp; FEFO</w:t>
            </w:r>
          </w:p>
        </w:tc>
        <w:tc>
          <w:tcPr/>
          <w:p>
            <w:pPr>
              <w:pStyle w:val="Compact"/>
              <w:jc w:val="left"/>
            </w:pPr>
            <w:r>
              <w:t xml:space="preserve">Toute correction manuelle de stock supérieure à un seuil paramétrable doit être justifiée par un motif et journalisée.</w:t>
            </w:r>
          </w:p>
        </w:tc>
        <w:tc>
          <w:tcPr/>
          <w:p>
            <w:pPr>
              <w:pStyle w:val="Compact"/>
              <w:jc w:val="left"/>
            </w:pPr>
            <w:r>
              <w:t xml:space="preserve">Standard</w:t>
            </w:r>
          </w:p>
        </w:tc>
      </w:tr>
      <w:tr>
        <w:tc>
          <w:tcPr/>
          <w:p>
            <w:pPr>
              <w:pStyle w:val="Compact"/>
              <w:jc w:val="left"/>
            </w:pPr>
            <w:r>
              <w:t xml:space="preserve">RG-STK-04</w:t>
            </w:r>
          </w:p>
        </w:tc>
        <w:tc>
          <w:tcPr/>
          <w:p>
            <w:pPr>
              <w:pStyle w:val="Compact"/>
              <w:jc w:val="left"/>
            </w:pPr>
            <w:r>
              <w:t xml:space="preserve">STK — Gestion des Stocks, Lots &amp; FEFO</w:t>
            </w:r>
          </w:p>
        </w:tc>
        <w:tc>
          <w:tcPr/>
          <w:p>
            <w:pPr>
              <w:pStyle w:val="Compact"/>
              <w:jc w:val="left"/>
            </w:pPr>
            <w:r>
              <w:t xml:space="preserve">Le stock affiché au patient est recalculé en temps réel à chaque mouvement validé en officine.</w:t>
            </w:r>
          </w:p>
        </w:tc>
        <w:tc>
          <w:tcPr/>
          <w:p>
            <w:pPr>
              <w:pStyle w:val="Compact"/>
              <w:jc w:val="left"/>
            </w:pPr>
            <w:r>
              <w:t xml:space="preserve">Critique</w:t>
            </w:r>
          </w:p>
        </w:tc>
      </w:tr>
      <w:tr>
        <w:tc>
          <w:tcPr/>
          <w:p>
            <w:pPr>
              <w:pStyle w:val="Compact"/>
              <w:jc w:val="left"/>
            </w:pPr>
            <w:r>
              <w:t xml:space="preserve">RG-ORD-01</w:t>
            </w:r>
          </w:p>
        </w:tc>
        <w:tc>
          <w:tcPr/>
          <w:p>
            <w:pPr>
              <w:pStyle w:val="Compact"/>
              <w:jc w:val="left"/>
            </w:pPr>
            <w:r>
              <w:t xml:space="preserve">ORD — Ordonnances numériques &amp; Lecture assistée</w:t>
            </w:r>
          </w:p>
        </w:tc>
        <w:tc>
          <w:tcPr/>
          <w:p>
            <w:pPr>
              <w:pStyle w:val="Compact"/>
              <w:jc w:val="left"/>
            </w:pPr>
            <w:r>
              <w:t xml:space="preserve">Aucune extraction automatique issue de l’OCR/IA ne peut déclencher une dispensation sans validation explicite d’un pharmacien habilité.</w:t>
            </w:r>
          </w:p>
        </w:tc>
        <w:tc>
          <w:tcPr/>
          <w:p>
            <w:pPr>
              <w:pStyle w:val="Compact"/>
              <w:jc w:val="left"/>
            </w:pPr>
            <w:r>
              <w:t xml:space="preserve">Critique</w:t>
            </w:r>
          </w:p>
        </w:tc>
      </w:tr>
      <w:tr>
        <w:tc>
          <w:tcPr/>
          <w:p>
            <w:pPr>
              <w:pStyle w:val="Compact"/>
              <w:jc w:val="left"/>
            </w:pPr>
            <w:r>
              <w:t xml:space="preserve">RG-ORD-02</w:t>
            </w:r>
          </w:p>
        </w:tc>
        <w:tc>
          <w:tcPr/>
          <w:p>
            <w:pPr>
              <w:pStyle w:val="Compact"/>
              <w:jc w:val="left"/>
            </w:pPr>
            <w:r>
              <w:t xml:space="preserve">ORD — Ordonnances numériques &amp; Lecture assistée</w:t>
            </w:r>
          </w:p>
        </w:tc>
        <w:tc>
          <w:tcPr/>
          <w:p>
            <w:pPr>
              <w:pStyle w:val="Compact"/>
              <w:jc w:val="left"/>
            </w:pPr>
            <w:r>
              <w:t xml:space="preserve">Une ordonnance pour un produit classé stupéfiant doit être conservée sous forme d’original vérifiable et ne peut être honorée que par retrait physique en officine.</w:t>
            </w:r>
          </w:p>
        </w:tc>
        <w:tc>
          <w:tcPr/>
          <w:p>
            <w:pPr>
              <w:pStyle w:val="Compact"/>
              <w:jc w:val="left"/>
            </w:pPr>
            <w:r>
              <w:t xml:space="preserve">Critique</w:t>
            </w:r>
          </w:p>
        </w:tc>
      </w:tr>
      <w:tr>
        <w:tc>
          <w:tcPr/>
          <w:p>
            <w:pPr>
              <w:pStyle w:val="Compact"/>
              <w:jc w:val="left"/>
            </w:pPr>
            <w:r>
              <w:t xml:space="preserve">RG-ORD-03</w:t>
            </w:r>
          </w:p>
        </w:tc>
        <w:tc>
          <w:tcPr/>
          <w:p>
            <w:pPr>
              <w:pStyle w:val="Compact"/>
              <w:jc w:val="left"/>
            </w:pPr>
            <w:r>
              <w:t xml:space="preserve">ORD — Ordonnances numériques &amp; Lecture assistée</w:t>
            </w:r>
          </w:p>
        </w:tc>
        <w:tc>
          <w:tcPr/>
          <w:p>
            <w:pPr>
              <w:pStyle w:val="Compact"/>
              <w:jc w:val="left"/>
            </w:pPr>
            <w:r>
              <w:t xml:space="preserve">L’application ne formule jamais de suggestion de diagnostic ou de posologie personnalisée ; elle affiche uniquement des informations générales et renvoie vers un professionnel de santé.</w:t>
            </w:r>
          </w:p>
        </w:tc>
        <w:tc>
          <w:tcPr/>
          <w:p>
            <w:pPr>
              <w:pStyle w:val="Compact"/>
              <w:jc w:val="left"/>
            </w:pPr>
            <w:r>
              <w:t xml:space="preserve">Critique</w:t>
            </w:r>
          </w:p>
        </w:tc>
      </w:tr>
      <w:tr>
        <w:tc>
          <w:tcPr/>
          <w:p>
            <w:pPr>
              <w:pStyle w:val="Compact"/>
              <w:jc w:val="left"/>
            </w:pPr>
            <w:r>
              <w:t xml:space="preserve">RG-RES-01</w:t>
            </w:r>
          </w:p>
        </w:tc>
        <w:tc>
          <w:tcPr/>
          <w:p>
            <w:pPr>
              <w:pStyle w:val="Compact"/>
              <w:jc w:val="left"/>
            </w:pPr>
            <w:r>
              <w:t xml:space="preserve">RES — Réservation &amp; Retrait en officine (Click &amp; Collect)</w:t>
            </w:r>
          </w:p>
        </w:tc>
        <w:tc>
          <w:tcPr/>
          <w:p>
            <w:pPr>
              <w:pStyle w:val="Compact"/>
              <w:jc w:val="left"/>
            </w:pPr>
            <w:r>
              <w:t xml:space="preserve">Un produit réservé est décompté du stock disponible affiché aux autres patients pendant toute la durée de la réservation.</w:t>
            </w:r>
          </w:p>
        </w:tc>
        <w:tc>
          <w:tcPr/>
          <w:p>
            <w:pPr>
              <w:pStyle w:val="Compact"/>
              <w:jc w:val="left"/>
            </w:pPr>
            <w:r>
              <w:t xml:space="preserve">Critique</w:t>
            </w:r>
          </w:p>
        </w:tc>
      </w:tr>
      <w:tr>
        <w:tc>
          <w:tcPr/>
          <w:p>
            <w:pPr>
              <w:pStyle w:val="Compact"/>
              <w:jc w:val="left"/>
            </w:pPr>
            <w:r>
              <w:t xml:space="preserve">RG-RES-02</w:t>
            </w:r>
          </w:p>
        </w:tc>
        <w:tc>
          <w:tcPr/>
          <w:p>
            <w:pPr>
              <w:pStyle w:val="Compact"/>
              <w:jc w:val="left"/>
            </w:pPr>
            <w:r>
              <w:t xml:space="preserve">RES — Réservation &amp; Retrait en officine (Click &amp; Collect)</w:t>
            </w:r>
          </w:p>
        </w:tc>
        <w:tc>
          <w:tcPr/>
          <w:p>
            <w:pPr>
              <w:pStyle w:val="Compact"/>
              <w:jc w:val="left"/>
            </w:pPr>
            <w:r>
              <w:t xml:space="preserve">Une réservation non retirée au-delà du délai paramétré est automatiquement annulée et le stock est libéré.</w:t>
            </w:r>
          </w:p>
        </w:tc>
        <w:tc>
          <w:tcPr/>
          <w:p>
            <w:pPr>
              <w:pStyle w:val="Compact"/>
              <w:jc w:val="left"/>
            </w:pPr>
            <w:r>
              <w:t xml:space="preserve">Standard</w:t>
            </w:r>
          </w:p>
        </w:tc>
      </w:tr>
      <w:tr>
        <w:tc>
          <w:tcPr/>
          <w:p>
            <w:pPr>
              <w:pStyle w:val="Compact"/>
              <w:jc w:val="left"/>
            </w:pPr>
            <w:r>
              <w:t xml:space="preserve">RG-LIV-01</w:t>
            </w:r>
          </w:p>
        </w:tc>
        <w:tc>
          <w:tcPr/>
          <w:p>
            <w:pPr>
              <w:pStyle w:val="Compact"/>
              <w:jc w:val="left"/>
            </w:pPr>
            <w:r>
              <w:t xml:space="preserve">LIV — Livraison &amp; Logistique du dernier kilomètre</w:t>
            </w:r>
          </w:p>
        </w:tc>
        <w:tc>
          <w:tcPr/>
          <w:p>
            <w:pPr>
              <w:pStyle w:val="Compact"/>
              <w:jc w:val="left"/>
            </w:pPr>
            <w:r>
              <w:t xml:space="preserve">Un produit nécessitant une chaîne du froid ne peut être confié qu’à un livreur disposant d’un contenant isotherme validé (voir Module 24).</w:t>
            </w:r>
          </w:p>
        </w:tc>
        <w:tc>
          <w:tcPr/>
          <w:p>
            <w:pPr>
              <w:pStyle w:val="Compact"/>
              <w:jc w:val="left"/>
            </w:pPr>
            <w:r>
              <w:t xml:space="preserve">Critique</w:t>
            </w:r>
          </w:p>
        </w:tc>
      </w:tr>
      <w:tr>
        <w:tc>
          <w:tcPr/>
          <w:p>
            <w:pPr>
              <w:pStyle w:val="Compact"/>
              <w:jc w:val="left"/>
            </w:pPr>
            <w:r>
              <w:t xml:space="preserve">RG-LIV-02</w:t>
            </w:r>
          </w:p>
        </w:tc>
        <w:tc>
          <w:tcPr/>
          <w:p>
            <w:pPr>
              <w:pStyle w:val="Compact"/>
              <w:jc w:val="left"/>
            </w:pPr>
            <w:r>
              <w:t xml:space="preserve">LIV — Livraison &amp; Logistique du dernier kilomètre</w:t>
            </w:r>
          </w:p>
        </w:tc>
        <w:tc>
          <w:tcPr/>
          <w:p>
            <w:pPr>
              <w:pStyle w:val="Compact"/>
              <w:jc w:val="left"/>
            </w:pPr>
            <w:r>
              <w:t xml:space="preserve">Toute livraison est clôturée par une preuve de remise (signature électronique, code, ou photo) associée à l’identifiant de la course.</w:t>
            </w:r>
          </w:p>
        </w:tc>
        <w:tc>
          <w:tcPr/>
          <w:p>
            <w:pPr>
              <w:pStyle w:val="Compact"/>
              <w:jc w:val="left"/>
            </w:pPr>
            <w:r>
              <w:t xml:space="preserve">Standard</w:t>
            </w:r>
          </w:p>
        </w:tc>
      </w:tr>
      <w:tr>
        <w:tc>
          <w:tcPr/>
          <w:p>
            <w:pPr>
              <w:pStyle w:val="Compact"/>
              <w:jc w:val="left"/>
            </w:pPr>
            <w:r>
              <w:t xml:space="preserve">RG-PAY-01</w:t>
            </w:r>
          </w:p>
        </w:tc>
        <w:tc>
          <w:tcPr/>
          <w:p>
            <w:pPr>
              <w:pStyle w:val="Compact"/>
              <w:jc w:val="left"/>
            </w:pPr>
            <w:r>
              <w:t xml:space="preserve">PAY — Paiement, Mobile Money &amp; Portefeuille</w:t>
            </w:r>
          </w:p>
        </w:tc>
        <w:tc>
          <w:tcPr/>
          <w:p>
            <w:pPr>
              <w:pStyle w:val="Compact"/>
              <w:jc w:val="left"/>
            </w:pPr>
            <w:r>
              <w:t xml:space="preserve">Aucune commande n’est marquée « payée » tant que la confirmation de l’agrégateur de paiement n’a pas été reçue et vérifiée côté serveur.</w:t>
            </w:r>
          </w:p>
        </w:tc>
        <w:tc>
          <w:tcPr/>
          <w:p>
            <w:pPr>
              <w:pStyle w:val="Compact"/>
              <w:jc w:val="left"/>
            </w:pPr>
            <w:r>
              <w:t xml:space="preserve">Critique</w:t>
            </w:r>
          </w:p>
        </w:tc>
      </w:tr>
      <w:tr>
        <w:tc>
          <w:tcPr/>
          <w:p>
            <w:pPr>
              <w:pStyle w:val="Compact"/>
              <w:jc w:val="left"/>
            </w:pPr>
            <w:r>
              <w:t xml:space="preserve">RG-PAY-02</w:t>
            </w:r>
          </w:p>
        </w:tc>
        <w:tc>
          <w:tcPr/>
          <w:p>
            <w:pPr>
              <w:pStyle w:val="Compact"/>
              <w:jc w:val="left"/>
            </w:pPr>
            <w:r>
              <w:t xml:space="preserve">PAY — Paiement, Mobile Money &amp; Portefeuille</w:t>
            </w:r>
          </w:p>
        </w:tc>
        <w:tc>
          <w:tcPr/>
          <w:p>
            <w:pPr>
              <w:pStyle w:val="Compact"/>
              <w:jc w:val="left"/>
            </w:pPr>
            <w:r>
              <w:t xml:space="preserve">Les frais de service PharmaConnect sont calculés et affichés de manière transparente avant validation du paiement par le patient.</w:t>
            </w:r>
          </w:p>
        </w:tc>
        <w:tc>
          <w:tcPr/>
          <w:p>
            <w:pPr>
              <w:pStyle w:val="Compact"/>
              <w:jc w:val="left"/>
            </w:pPr>
            <w:r>
              <w:t xml:space="preserve">Standard</w:t>
            </w:r>
          </w:p>
        </w:tc>
      </w:tr>
      <w:tr>
        <w:tc>
          <w:tcPr/>
          <w:p>
            <w:pPr>
              <w:pStyle w:val="Compact"/>
              <w:jc w:val="left"/>
            </w:pPr>
            <w:r>
              <w:t xml:space="preserve">RG-BIZ-01</w:t>
            </w:r>
          </w:p>
        </w:tc>
        <w:tc>
          <w:tcPr/>
          <w:p>
            <w:pPr>
              <w:pStyle w:val="Compact"/>
              <w:jc w:val="left"/>
            </w:pPr>
            <w:r>
              <w:t xml:space="preserve">BIZ — PharmaConnect Business — Tableau de bord Officine</w:t>
            </w:r>
          </w:p>
        </w:tc>
        <w:tc>
          <w:tcPr/>
          <w:p>
            <w:pPr>
              <w:pStyle w:val="Compact"/>
              <w:jc w:val="left"/>
            </w:pPr>
            <w:r>
              <w:t xml:space="preserve">Seul le titulaire ou un membre disposant du droit « gestion financière » peut consulter le chiffre d’affaires consolidé de l’officine.</w:t>
            </w:r>
          </w:p>
        </w:tc>
        <w:tc>
          <w:tcPr/>
          <w:p>
            <w:pPr>
              <w:pStyle w:val="Compact"/>
              <w:jc w:val="left"/>
            </w:pPr>
            <w:r>
              <w:t xml:space="preserve">Standard</w:t>
            </w:r>
          </w:p>
        </w:tc>
      </w:tr>
      <w:tr>
        <w:tc>
          <w:tcPr/>
          <w:p>
            <w:pPr>
              <w:pStyle w:val="Compact"/>
              <w:jc w:val="left"/>
            </w:pPr>
            <w:r>
              <w:t xml:space="preserve">RG-ALR-01</w:t>
            </w:r>
          </w:p>
        </w:tc>
        <w:tc>
          <w:tcPr/>
          <w:p>
            <w:pPr>
              <w:pStyle w:val="Compact"/>
              <w:jc w:val="left"/>
            </w:pPr>
            <w:r>
              <w:t xml:space="preserve">ALR — Alertes intelligentes</w:t>
            </w:r>
          </w:p>
        </w:tc>
        <w:tc>
          <w:tcPr/>
          <w:p>
            <w:pPr>
              <w:pStyle w:val="Compact"/>
              <w:jc w:val="left"/>
            </w:pPr>
            <w:r>
              <w:t xml:space="preserve">Une alerte de rupture imminente est déclenchée dès que le stock estimé restant passe sous un seuil de 3 jours de consommation moyenne, sauf paramétrage spécifique du produit.</w:t>
            </w:r>
          </w:p>
        </w:tc>
        <w:tc>
          <w:tcPr/>
          <w:p>
            <w:pPr>
              <w:pStyle w:val="Compact"/>
              <w:jc w:val="left"/>
            </w:pPr>
            <w:r>
              <w:t xml:space="preserve">Standard</w:t>
            </w:r>
          </w:p>
        </w:tc>
      </w:tr>
      <w:tr>
        <w:tc>
          <w:tcPr/>
          <w:p>
            <w:pPr>
              <w:pStyle w:val="Compact"/>
              <w:jc w:val="left"/>
            </w:pPr>
            <w:r>
              <w:t xml:space="preserve">RG-ALR-02</w:t>
            </w:r>
          </w:p>
        </w:tc>
        <w:tc>
          <w:tcPr/>
          <w:p>
            <w:pPr>
              <w:pStyle w:val="Compact"/>
              <w:jc w:val="left"/>
            </w:pPr>
            <w:r>
              <w:t xml:space="preserve">ALR — Alertes intelligentes</w:t>
            </w:r>
          </w:p>
        </w:tc>
        <w:tc>
          <w:tcPr/>
          <w:p>
            <w:pPr>
              <w:pStyle w:val="Compact"/>
              <w:jc w:val="left"/>
            </w:pPr>
            <w:r>
              <w:t xml:space="preserve">Une alerte de péremption à 60 jours reclasse automatiquement le lot concerné en priorité de sortie « élevée » dans le moteur FEFO.</w:t>
            </w:r>
          </w:p>
        </w:tc>
        <w:tc>
          <w:tcPr/>
          <w:p>
            <w:pPr>
              <w:pStyle w:val="Compact"/>
              <w:jc w:val="left"/>
            </w:pPr>
            <w:r>
              <w:t xml:space="preserve">Standard</w:t>
            </w:r>
          </w:p>
        </w:tc>
      </w:tr>
      <w:tr>
        <w:tc>
          <w:tcPr/>
          <w:p>
            <w:pPr>
              <w:pStyle w:val="Compact"/>
              <w:jc w:val="left"/>
            </w:pPr>
            <w:r>
              <w:t xml:space="preserve">RG-IA-01</w:t>
            </w:r>
          </w:p>
        </w:tc>
        <w:tc>
          <w:tcPr/>
          <w:p>
            <w:pPr>
              <w:pStyle w:val="Compact"/>
              <w:jc w:val="left"/>
            </w:pPr>
            <w:r>
              <w:t xml:space="preserve">IA — Prévision de la demande &amp; Réapprovisionnement assisté</w:t>
            </w:r>
          </w:p>
        </w:tc>
        <w:tc>
          <w:tcPr/>
          <w:p>
            <w:pPr>
              <w:pStyle w:val="Compact"/>
              <w:jc w:val="left"/>
            </w:pPr>
            <w:r>
              <w:t xml:space="preserve">Une commande recommandée par le moteur de prévision ne peut jamais être transmise automatiquement à un fournisseur sans validation explicite du pharmacien.</w:t>
            </w:r>
          </w:p>
        </w:tc>
        <w:tc>
          <w:tcPr/>
          <w:p>
            <w:pPr>
              <w:pStyle w:val="Compact"/>
              <w:jc w:val="left"/>
            </w:pPr>
            <w:r>
              <w:t xml:space="preserve">Critique</w:t>
            </w:r>
          </w:p>
        </w:tc>
      </w:tr>
      <w:tr>
        <w:tc>
          <w:tcPr/>
          <w:p>
            <w:pPr>
              <w:pStyle w:val="Compact"/>
              <w:jc w:val="left"/>
            </w:pPr>
            <w:r>
              <w:t xml:space="preserve">RG-IA-02</w:t>
            </w:r>
          </w:p>
        </w:tc>
        <w:tc>
          <w:tcPr/>
          <w:p>
            <w:pPr>
              <w:pStyle w:val="Compact"/>
              <w:jc w:val="left"/>
            </w:pPr>
            <w:r>
              <w:t xml:space="preserve">IA — Prévision de la demande &amp; Réapprovisionnement assisté</w:t>
            </w:r>
          </w:p>
        </w:tc>
        <w:tc>
          <w:tcPr/>
          <w:p>
            <w:pPr>
              <w:pStyle w:val="Compact"/>
              <w:jc w:val="left"/>
            </w:pPr>
            <w:r>
              <w:t xml:space="preserve">Les données utilisées pour l’apprentissage agrégé inter-officines sont anonymisées et ne permettent pas de réidentifier une pharmacie tierce.</w:t>
            </w:r>
          </w:p>
        </w:tc>
        <w:tc>
          <w:tcPr/>
          <w:p>
            <w:pPr>
              <w:pStyle w:val="Compact"/>
              <w:jc w:val="left"/>
            </w:pPr>
            <w:r>
              <w:t xml:space="preserve">Critique</w:t>
            </w:r>
          </w:p>
        </w:tc>
      </w:tr>
      <w:tr>
        <w:tc>
          <w:tcPr/>
          <w:p>
            <w:pPr>
              <w:pStyle w:val="Compact"/>
              <w:jc w:val="left"/>
            </w:pPr>
            <w:r>
              <w:t xml:space="preserve">RG-TRC-01</w:t>
            </w:r>
          </w:p>
        </w:tc>
        <w:tc>
          <w:tcPr/>
          <w:p>
            <w:pPr>
              <w:pStyle w:val="Compact"/>
              <w:jc w:val="left"/>
            </w:pPr>
            <w:r>
              <w:t xml:space="preserve">TRC — Traçabilité &amp; Lutte contre les médicaments contrefaits</w:t>
            </w:r>
          </w:p>
        </w:tc>
        <w:tc>
          <w:tcPr/>
          <w:p>
            <w:pPr>
              <w:pStyle w:val="Compact"/>
              <w:jc w:val="left"/>
            </w:pPr>
            <w:r>
              <w:t xml:space="preserve">Tout produit reçu par une officine partenaire sans code de traçabilité valide est bloqué à la vente jusqu’à régularisation.</w:t>
            </w:r>
          </w:p>
        </w:tc>
        <w:tc>
          <w:tcPr/>
          <w:p>
            <w:pPr>
              <w:pStyle w:val="Compact"/>
              <w:jc w:val="left"/>
            </w:pPr>
            <w:r>
              <w:t xml:space="preserve">Critique</w:t>
            </w:r>
          </w:p>
        </w:tc>
      </w:tr>
      <w:tr>
        <w:tc>
          <w:tcPr/>
          <w:p>
            <w:pPr>
              <w:pStyle w:val="Compact"/>
              <w:jc w:val="left"/>
            </w:pPr>
            <w:r>
              <w:t xml:space="preserve">RG-TRC-02</w:t>
            </w:r>
          </w:p>
        </w:tc>
        <w:tc>
          <w:tcPr/>
          <w:p>
            <w:pPr>
              <w:pStyle w:val="Compact"/>
              <w:jc w:val="left"/>
            </w:pPr>
            <w:r>
              <w:t xml:space="preserve">TRC — Traçabilité &amp; Lutte contre les médicaments contrefaits</w:t>
            </w:r>
          </w:p>
        </w:tc>
        <w:tc>
          <w:tcPr/>
          <w:p>
            <w:pPr>
              <w:pStyle w:val="Compact"/>
              <w:jc w:val="left"/>
            </w:pPr>
            <w:r>
              <w:t xml:space="preserve">Un signalement de produit suspect ouvre automatiquement un dossier de pharmacovigilance et alerte l’officine concernée ainsi que l’administrateur GSG.</w:t>
            </w:r>
          </w:p>
        </w:tc>
        <w:tc>
          <w:tcPr/>
          <w:p>
            <w:pPr>
              <w:pStyle w:val="Compact"/>
              <w:jc w:val="left"/>
            </w:pPr>
            <w:r>
              <w:t xml:space="preserve">Critique</w:t>
            </w:r>
          </w:p>
        </w:tc>
      </w:tr>
      <w:tr>
        <w:tc>
          <w:tcPr/>
          <w:p>
            <w:pPr>
              <w:pStyle w:val="Compact"/>
              <w:jc w:val="left"/>
            </w:pPr>
            <w:r>
              <w:t xml:space="preserve">RG-TRC-03</w:t>
            </w:r>
          </w:p>
        </w:tc>
        <w:tc>
          <w:tcPr/>
          <w:p>
            <w:pPr>
              <w:pStyle w:val="Compact"/>
              <w:jc w:val="left"/>
            </w:pPr>
            <w:r>
              <w:t xml:space="preserve">TRC — Traçabilité &amp; Lutte contre les médicaments contrefaits</w:t>
            </w:r>
          </w:p>
        </w:tc>
        <w:tc>
          <w:tcPr/>
          <w:p>
            <w:pPr>
              <w:pStyle w:val="Compact"/>
              <w:jc w:val="left"/>
            </w:pPr>
            <w:r>
              <w:t xml:space="preserve">Un fournisseur ayant fait l’objet de trois signalements de non-authenticité confirmés sur une période de douze mois est suspendu du marketplace B2B.</w:t>
            </w:r>
          </w:p>
        </w:tc>
        <w:tc>
          <w:tcPr/>
          <w:p>
            <w:pPr>
              <w:pStyle w:val="Compact"/>
              <w:jc w:val="left"/>
            </w:pPr>
            <w:r>
              <w:t xml:space="preserve">Critique</w:t>
            </w:r>
          </w:p>
        </w:tc>
      </w:tr>
      <w:tr>
        <w:tc>
          <w:tcPr/>
          <w:p>
            <w:pPr>
              <w:pStyle w:val="Compact"/>
              <w:jc w:val="left"/>
            </w:pPr>
            <w:r>
              <w:t xml:space="preserve">RG-B2B-01</w:t>
            </w:r>
          </w:p>
        </w:tc>
        <w:tc>
          <w:tcPr/>
          <w:p>
            <w:pPr>
              <w:pStyle w:val="Compact"/>
              <w:jc w:val="left"/>
            </w:pPr>
            <w:r>
              <w:t xml:space="preserve">B2B — Marketplace B2B Grossistes ↔ Pharmacies</w:t>
            </w:r>
          </w:p>
        </w:tc>
        <w:tc>
          <w:tcPr/>
          <w:p>
            <w:pPr>
              <w:pStyle w:val="Compact"/>
              <w:jc w:val="left"/>
            </w:pPr>
            <w:r>
              <w:t xml:space="preserve">Un fournisseur ne peut être référencé sur le marketplace qu’après vérification de son agrément de distribution en gros.</w:t>
            </w:r>
          </w:p>
        </w:tc>
        <w:tc>
          <w:tcPr/>
          <w:p>
            <w:pPr>
              <w:pStyle w:val="Compact"/>
              <w:jc w:val="left"/>
            </w:pPr>
            <w:r>
              <w:t xml:space="preserve">Critique</w:t>
            </w:r>
          </w:p>
        </w:tc>
      </w:tr>
      <w:tr>
        <w:tc>
          <w:tcPr/>
          <w:p>
            <w:pPr>
              <w:pStyle w:val="Compact"/>
              <w:jc w:val="left"/>
            </w:pPr>
            <w:r>
              <w:t xml:space="preserve">RG-B2B-02</w:t>
            </w:r>
          </w:p>
        </w:tc>
        <w:tc>
          <w:tcPr/>
          <w:p>
            <w:pPr>
              <w:pStyle w:val="Compact"/>
              <w:jc w:val="left"/>
            </w:pPr>
            <w:r>
              <w:t xml:space="preserve">B2B — Marketplace B2B Grossistes ↔ Pharmacies</w:t>
            </w:r>
          </w:p>
        </w:tc>
        <w:tc>
          <w:tcPr/>
          <w:p>
            <w:pPr>
              <w:pStyle w:val="Compact"/>
              <w:jc w:val="left"/>
            </w:pPr>
            <w:r>
              <w:t xml:space="preserve">Une commande groupée n’est transmise au fournisseur qu’une fois le seuil minimal de quantité atteint ou la date limite de regroupement expirée.</w:t>
            </w:r>
          </w:p>
        </w:tc>
        <w:tc>
          <w:tcPr/>
          <w:p>
            <w:pPr>
              <w:pStyle w:val="Compact"/>
              <w:jc w:val="left"/>
            </w:pPr>
            <w:r>
              <w:t xml:space="preserve">Standard</w:t>
            </w:r>
          </w:p>
        </w:tc>
      </w:tr>
      <w:tr>
        <w:tc>
          <w:tcPr/>
          <w:p>
            <w:pPr>
              <w:pStyle w:val="Compact"/>
              <w:jc w:val="left"/>
            </w:pPr>
            <w:r>
              <w:t xml:space="preserve">RG-FIN-01</w:t>
            </w:r>
          </w:p>
        </w:tc>
        <w:tc>
          <w:tcPr/>
          <w:p>
            <w:pPr>
              <w:pStyle w:val="Compact"/>
              <w:jc w:val="left"/>
            </w:pPr>
            <w:r>
              <w:t xml:space="preserve">FIN — Financement &amp; Crédit fournisseur pour officines</w:t>
            </w:r>
          </w:p>
        </w:tc>
        <w:tc>
          <w:tcPr/>
          <w:p>
            <w:pPr>
              <w:pStyle w:val="Compact"/>
              <w:jc w:val="left"/>
            </w:pPr>
            <w:r>
              <w:t xml:space="preserve">L’octroi d’une ligne de crédit à une officine requiert un historique minimal d’activité sur la plateforme et est soumis à validation d’un partenaire financier agréé.</w:t>
            </w:r>
          </w:p>
        </w:tc>
        <w:tc>
          <w:tcPr/>
          <w:p>
            <w:pPr>
              <w:pStyle w:val="Compact"/>
              <w:jc w:val="left"/>
            </w:pPr>
            <w:r>
              <w:t xml:space="preserve">Critique</w:t>
            </w:r>
          </w:p>
        </w:tc>
      </w:tr>
      <w:tr>
        <w:tc>
          <w:tcPr/>
          <w:p>
            <w:pPr>
              <w:pStyle w:val="Compact"/>
              <w:jc w:val="left"/>
            </w:pPr>
            <w:r>
              <w:t xml:space="preserve">RG-FIN-02</w:t>
            </w:r>
          </w:p>
        </w:tc>
        <w:tc>
          <w:tcPr/>
          <w:p>
            <w:pPr>
              <w:pStyle w:val="Compact"/>
              <w:jc w:val="left"/>
            </w:pPr>
            <w:r>
              <w:t xml:space="preserve">FIN — Financement &amp; Crédit fournisseur pour officines</w:t>
            </w:r>
          </w:p>
        </w:tc>
        <w:tc>
          <w:tcPr/>
          <w:p>
            <w:pPr>
              <w:pStyle w:val="Compact"/>
              <w:jc w:val="left"/>
            </w:pPr>
            <w:r>
              <w:t xml:space="preserve">Le module de financement n’est accessible qu’aux officines à jour de leur agrément et sans signalement de pharmacovigilance non résolu.</w:t>
            </w:r>
          </w:p>
        </w:tc>
        <w:tc>
          <w:tcPr/>
          <w:p>
            <w:pPr>
              <w:pStyle w:val="Compact"/>
              <w:jc w:val="left"/>
            </w:pPr>
            <w:r>
              <w:t xml:space="preserve">Standard</w:t>
            </w:r>
          </w:p>
        </w:tc>
      </w:tr>
      <w:tr>
        <w:tc>
          <w:tcPr/>
          <w:p>
            <w:pPr>
              <w:pStyle w:val="Compact"/>
              <w:jc w:val="left"/>
            </w:pPr>
            <w:r>
              <w:t xml:space="preserve">RG-CNS-01</w:t>
            </w:r>
          </w:p>
        </w:tc>
        <w:tc>
          <w:tcPr/>
          <w:p>
            <w:pPr>
              <w:pStyle w:val="Compact"/>
              <w:jc w:val="left"/>
            </w:pPr>
            <w:r>
              <w:t xml:space="preserve">CNS — Télé-conseil pharmaceutique &amp; Orientation (non-diagnostic)</w:t>
            </w:r>
          </w:p>
        </w:tc>
        <w:tc>
          <w:tcPr/>
          <w:p>
            <w:pPr>
              <w:pStyle w:val="Compact"/>
              <w:jc w:val="left"/>
            </w:pPr>
            <w:r>
              <w:t xml:space="preserve">L’assistant conversationnel ne formule à aucun moment une recommandation de posologie, de diagnostic ou de choix thérapeutique individualisé ; toute question de cette nature est systématiquement redirigée vers un pharmacien ou un médecin.</w:t>
            </w:r>
          </w:p>
        </w:tc>
        <w:tc>
          <w:tcPr/>
          <w:p>
            <w:pPr>
              <w:pStyle w:val="Compact"/>
              <w:jc w:val="left"/>
            </w:pPr>
            <w:r>
              <w:t xml:space="preserve">Critique</w:t>
            </w:r>
          </w:p>
        </w:tc>
      </w:tr>
      <w:tr>
        <w:tc>
          <w:tcPr/>
          <w:p>
            <w:pPr>
              <w:pStyle w:val="Compact"/>
              <w:jc w:val="left"/>
            </w:pPr>
            <w:r>
              <w:t xml:space="preserve">RG-CNS-02</w:t>
            </w:r>
          </w:p>
        </w:tc>
        <w:tc>
          <w:tcPr/>
          <w:p>
            <w:pPr>
              <w:pStyle w:val="Compact"/>
              <w:jc w:val="left"/>
            </w:pPr>
            <w:r>
              <w:t xml:space="preserve">CNS — Télé-conseil pharmaceutique &amp; Orientation (non-diagnostic)</w:t>
            </w:r>
          </w:p>
        </w:tc>
        <w:tc>
          <w:tcPr/>
          <w:p>
            <w:pPr>
              <w:pStyle w:val="Compact"/>
              <w:jc w:val="left"/>
            </w:pPr>
            <w:r>
              <w:t xml:space="preserve">Toute réponse générée par l’assistant s’appuie exclusivement sur des contenus validés par un pharmacien référent et versionnés dans le référentiel produit.</w:t>
            </w:r>
          </w:p>
        </w:tc>
        <w:tc>
          <w:tcPr/>
          <w:p>
            <w:pPr>
              <w:pStyle w:val="Compact"/>
              <w:jc w:val="left"/>
            </w:pPr>
            <w:r>
              <w:t xml:space="preserve">Critique</w:t>
            </w:r>
          </w:p>
        </w:tc>
      </w:tr>
      <w:tr>
        <w:tc>
          <w:tcPr/>
          <w:p>
            <w:pPr>
              <w:pStyle w:val="Compact"/>
              <w:jc w:val="left"/>
            </w:pPr>
            <w:r>
              <w:t xml:space="preserve">RG-FID-01</w:t>
            </w:r>
          </w:p>
        </w:tc>
        <w:tc>
          <w:tcPr/>
          <w:p>
            <w:pPr>
              <w:pStyle w:val="Compact"/>
              <w:jc w:val="left"/>
            </w:pPr>
            <w:r>
              <w:t xml:space="preserve">FID — Fidélité &amp; Suivi des traitements chroniques</w:t>
            </w:r>
          </w:p>
        </w:tc>
        <w:tc>
          <w:tcPr/>
          <w:p>
            <w:pPr>
              <w:pStyle w:val="Compact"/>
              <w:jc w:val="left"/>
            </w:pPr>
            <w:r>
              <w:t xml:space="preserve">Le renouvellement automatique d’un traitement chronique ne peut être activé sans ordonnance valide couvrant la durée de l’abonnement.</w:t>
            </w:r>
          </w:p>
        </w:tc>
        <w:tc>
          <w:tcPr/>
          <w:p>
            <w:pPr>
              <w:pStyle w:val="Compact"/>
              <w:jc w:val="left"/>
            </w:pPr>
            <w:r>
              <w:t xml:space="preserve">Critique</w:t>
            </w:r>
          </w:p>
        </w:tc>
      </w:tr>
      <w:tr>
        <w:tc>
          <w:tcPr/>
          <w:p>
            <w:pPr>
              <w:pStyle w:val="Compact"/>
              <w:jc w:val="left"/>
            </w:pPr>
            <w:r>
              <w:t xml:space="preserve">RG-TRI-01</w:t>
            </w:r>
          </w:p>
        </w:tc>
        <w:tc>
          <w:tcPr/>
          <w:p>
            <w:pPr>
              <w:pStyle w:val="Compact"/>
              <w:jc w:val="left"/>
            </w:pPr>
            <w:r>
              <w:t xml:space="preserve">TRI — Triage &amp; Orientation d’urgence</w:t>
            </w:r>
          </w:p>
        </w:tc>
        <w:tc>
          <w:tcPr/>
          <w:p>
            <w:pPr>
              <w:pStyle w:val="Compact"/>
              <w:jc w:val="left"/>
            </w:pPr>
            <w:r>
              <w:t xml:space="preserve">Toute réponse indiquant un signe de gravité (détresse respiratoire, perte de connaissance, saignement important, etc.) déclenche systématiquement l’orientation « situation potentiellement urgente », sans possibilité de contournement par l’utilisateur.</w:t>
            </w:r>
          </w:p>
        </w:tc>
        <w:tc>
          <w:tcPr/>
          <w:p>
            <w:pPr>
              <w:pStyle w:val="Compact"/>
              <w:jc w:val="left"/>
            </w:pPr>
            <w:r>
              <w:t xml:space="preserve">Critique</w:t>
            </w:r>
          </w:p>
        </w:tc>
      </w:tr>
      <w:tr>
        <w:tc>
          <w:tcPr/>
          <w:p>
            <w:pPr>
              <w:pStyle w:val="Compact"/>
              <w:jc w:val="left"/>
            </w:pPr>
            <w:r>
              <w:t xml:space="preserve">RG-TRI-02</w:t>
            </w:r>
          </w:p>
        </w:tc>
        <w:tc>
          <w:tcPr/>
          <w:p>
            <w:pPr>
              <w:pStyle w:val="Compact"/>
              <w:jc w:val="left"/>
            </w:pPr>
            <w:r>
              <w:t xml:space="preserve">TRI — Triage &amp; Orientation d’urgence</w:t>
            </w:r>
          </w:p>
        </w:tc>
        <w:tc>
          <w:tcPr/>
          <w:p>
            <w:pPr>
              <w:pStyle w:val="Compact"/>
              <w:jc w:val="left"/>
            </w:pPr>
            <w:r>
              <w:t xml:space="preserve">Le module de triage n’affecte jamais automatiquement un professionnel dans un cas classé urgent ; il oriente exclusivement vers les services d’urgence ou une structure de soins adaptée.</w:t>
            </w:r>
          </w:p>
        </w:tc>
        <w:tc>
          <w:tcPr/>
          <w:p>
            <w:pPr>
              <w:pStyle w:val="Compact"/>
              <w:jc w:val="left"/>
            </w:pPr>
            <w:r>
              <w:t xml:space="preserve">Critique</w:t>
            </w:r>
          </w:p>
        </w:tc>
      </w:tr>
      <w:tr>
        <w:tc>
          <w:tcPr/>
          <w:p>
            <w:pPr>
              <w:pStyle w:val="Compact"/>
              <w:jc w:val="left"/>
            </w:pPr>
            <w:r>
              <w:t xml:space="preserve">RG-TRI-03</w:t>
            </w:r>
          </w:p>
        </w:tc>
        <w:tc>
          <w:tcPr/>
          <w:p>
            <w:pPr>
              <w:pStyle w:val="Compact"/>
              <w:jc w:val="left"/>
            </w:pPr>
            <w:r>
              <w:t xml:space="preserve">TRI — Triage &amp; Orientation d’urgence</w:t>
            </w:r>
          </w:p>
        </w:tc>
        <w:tc>
          <w:tcPr/>
          <w:p>
            <w:pPr>
              <w:pStyle w:val="Compact"/>
              <w:jc w:val="left"/>
            </w:pPr>
            <w:r>
              <w:t xml:space="preserve">Les protocoles de triage sont revus et validés par un comité médical au moins une fois par an ou après tout incident significatif.</w:t>
            </w:r>
          </w:p>
        </w:tc>
        <w:tc>
          <w:tcPr/>
          <w:p>
            <w:pPr>
              <w:pStyle w:val="Compact"/>
              <w:jc w:val="left"/>
            </w:pPr>
            <w:r>
              <w:t xml:space="preserve">Standard</w:t>
            </w:r>
          </w:p>
        </w:tc>
      </w:tr>
      <w:tr>
        <w:tc>
          <w:tcPr/>
          <w:p>
            <w:pPr>
              <w:pStyle w:val="Compact"/>
              <w:jc w:val="left"/>
            </w:pPr>
            <w:r>
              <w:t xml:space="preserve">RG-HOM-01</w:t>
            </w:r>
          </w:p>
        </w:tc>
        <w:tc>
          <w:tcPr/>
          <w:p>
            <w:pPr>
              <w:pStyle w:val="Compact"/>
              <w:jc w:val="left"/>
            </w:pPr>
            <w:r>
              <w:t xml:space="preserve">HOM — PharmaConnect HomeCare — Consultation &amp; Soins à domicile</w:t>
            </w:r>
          </w:p>
        </w:tc>
        <w:tc>
          <w:tcPr/>
          <w:p>
            <w:pPr>
              <w:pStyle w:val="Compact"/>
              <w:jc w:val="left"/>
            </w:pPr>
            <w:r>
              <w:t xml:space="preserve">Une demande classée « urgente » par le Module TRI ne peut pas être traitée par ce module ; elle est bloquée et redirigée vers le circuit d’urgence.</w:t>
            </w:r>
          </w:p>
        </w:tc>
        <w:tc>
          <w:tcPr/>
          <w:p>
            <w:pPr>
              <w:pStyle w:val="Compact"/>
              <w:jc w:val="left"/>
            </w:pPr>
            <w:r>
              <w:t xml:space="preserve">Critique</w:t>
            </w:r>
          </w:p>
        </w:tc>
      </w:tr>
      <w:tr>
        <w:tc>
          <w:tcPr/>
          <w:p>
            <w:pPr>
              <w:pStyle w:val="Compact"/>
              <w:jc w:val="left"/>
            </w:pPr>
            <w:r>
              <w:t xml:space="preserve">RG-HOM-02</w:t>
            </w:r>
          </w:p>
        </w:tc>
        <w:tc>
          <w:tcPr/>
          <w:p>
            <w:pPr>
              <w:pStyle w:val="Compact"/>
              <w:jc w:val="left"/>
            </w:pPr>
            <w:r>
              <w:t xml:space="preserve">HOM — PharmaConnect HomeCare — Consultation &amp; Soins à domicile</w:t>
            </w:r>
          </w:p>
        </w:tc>
        <w:tc>
          <w:tcPr/>
          <w:p>
            <w:pPr>
              <w:pStyle w:val="Compact"/>
              <w:jc w:val="left"/>
            </w:pPr>
            <w:r>
              <w:t xml:space="preserve">La rémunération du professionnel est indépendante du volume de prescriptions ou d’actes complémentaires générés, afin d’éviter tout conflit d’intérêts entre l’acte médical et la vente de produits ou de services additionnels.</w:t>
            </w:r>
          </w:p>
        </w:tc>
        <w:tc>
          <w:tcPr/>
          <w:p>
            <w:pPr>
              <w:pStyle w:val="Compact"/>
              <w:jc w:val="left"/>
            </w:pPr>
            <w:r>
              <w:t xml:space="preserve">Critique</w:t>
            </w:r>
          </w:p>
        </w:tc>
      </w:tr>
      <w:tr>
        <w:tc>
          <w:tcPr/>
          <w:p>
            <w:pPr>
              <w:pStyle w:val="Compact"/>
              <w:jc w:val="left"/>
            </w:pPr>
            <w:r>
              <w:t xml:space="preserve">RG-HOM-03</w:t>
            </w:r>
          </w:p>
        </w:tc>
        <w:tc>
          <w:tcPr/>
          <w:p>
            <w:pPr>
              <w:pStyle w:val="Compact"/>
              <w:jc w:val="left"/>
            </w:pPr>
            <w:r>
              <w:t xml:space="preserve">HOM — PharmaConnect HomeCare — Consultation &amp; Soins à domicile</w:t>
            </w:r>
          </w:p>
        </w:tc>
        <w:tc>
          <w:tcPr/>
          <w:p>
            <w:pPr>
              <w:pStyle w:val="Compact"/>
              <w:jc w:val="left"/>
            </w:pPr>
            <w:r>
              <w:t xml:space="preserve">Une intervention à domicile ne peut être close sans compte-rendu structuré minimal (motif, constantes le cas échéant, décision, suivi éventuel).</w:t>
            </w:r>
          </w:p>
        </w:tc>
        <w:tc>
          <w:tcPr/>
          <w:p>
            <w:pPr>
              <w:pStyle w:val="Compact"/>
              <w:jc w:val="left"/>
            </w:pPr>
            <w:r>
              <w:t xml:space="preserve">Standard</w:t>
            </w:r>
          </w:p>
        </w:tc>
      </w:tr>
      <w:tr>
        <w:tc>
          <w:tcPr/>
          <w:p>
            <w:pPr>
              <w:pStyle w:val="Compact"/>
              <w:jc w:val="left"/>
            </w:pPr>
            <w:r>
              <w:t xml:space="preserve">RG-INF-01</w:t>
            </w:r>
          </w:p>
        </w:tc>
        <w:tc>
          <w:tcPr/>
          <w:p>
            <w:pPr>
              <w:pStyle w:val="Compact"/>
              <w:jc w:val="left"/>
            </w:pPr>
            <w:r>
              <w:t xml:space="preserve">INF — Réseau de professionnels mobiles (médecins, infirmiers, sages-femmes)</w:t>
            </w:r>
          </w:p>
        </w:tc>
        <w:tc>
          <w:tcPr/>
          <w:p>
            <w:pPr>
              <w:pStyle w:val="Compact"/>
              <w:jc w:val="left"/>
            </w:pPr>
            <w:r>
              <w:t xml:space="preserve">Un professionnel ne peut recevoir de demande de soin à domicile ou de téléconsultation qu’après vérification de son inscription active à l’ordre professionnel compétent.</w:t>
            </w:r>
          </w:p>
        </w:tc>
        <w:tc>
          <w:tcPr/>
          <w:p>
            <w:pPr>
              <w:pStyle w:val="Compact"/>
              <w:jc w:val="left"/>
            </w:pPr>
            <w:r>
              <w:t xml:space="preserve">Critique</w:t>
            </w:r>
          </w:p>
        </w:tc>
      </w:tr>
      <w:tr>
        <w:tc>
          <w:tcPr/>
          <w:p>
            <w:pPr>
              <w:pStyle w:val="Compact"/>
              <w:jc w:val="left"/>
            </w:pPr>
            <w:r>
              <w:t xml:space="preserve">RG-INF-02</w:t>
            </w:r>
          </w:p>
        </w:tc>
        <w:tc>
          <w:tcPr/>
          <w:p>
            <w:pPr>
              <w:pStyle w:val="Compact"/>
              <w:jc w:val="left"/>
            </w:pPr>
            <w:r>
              <w:t xml:space="preserve">INF — Réseau de professionnels mobiles (médecins, infirmiers, sages-femmes)</w:t>
            </w:r>
          </w:p>
        </w:tc>
        <w:tc>
          <w:tcPr/>
          <w:p>
            <w:pPr>
              <w:pStyle w:val="Compact"/>
              <w:jc w:val="left"/>
            </w:pPr>
            <w:r>
              <w:t xml:space="preserve">Un acte proposé à un patient doit relever strictement du périmètre légal de compétence du profil professionnel concerné (médecin, infirmier, sage-femme).</w:t>
            </w:r>
          </w:p>
        </w:tc>
        <w:tc>
          <w:tcPr/>
          <w:p>
            <w:pPr>
              <w:pStyle w:val="Compact"/>
              <w:jc w:val="left"/>
            </w:pPr>
            <w:r>
              <w:t xml:space="preserve">Critique</w:t>
            </w:r>
          </w:p>
        </w:tc>
      </w:tr>
      <w:tr>
        <w:tc>
          <w:tcPr/>
          <w:p>
            <w:pPr>
              <w:pStyle w:val="Compact"/>
              <w:jc w:val="left"/>
            </w:pPr>
            <w:r>
              <w:t xml:space="preserve">RG-DSN-01</w:t>
            </w:r>
          </w:p>
        </w:tc>
        <w:tc>
          <w:tcPr/>
          <w:p>
            <w:pPr>
              <w:pStyle w:val="Compact"/>
              <w:jc w:val="left"/>
            </w:pPr>
            <w:r>
              <w:t xml:space="preserve">DSN — Dossier de Santé Numérique Longitudinal</w:t>
            </w:r>
          </w:p>
        </w:tc>
        <w:tc>
          <w:tcPr/>
          <w:p>
            <w:pPr>
              <w:pStyle w:val="Compact"/>
              <w:jc w:val="left"/>
            </w:pPr>
            <w:r>
              <w:t xml:space="preserve">L’accès d’un professionnel au dossier de santé numérique d’un patient requiert un consentement explicite et révocable, hors situation d’urgence documentée.</w:t>
            </w:r>
          </w:p>
        </w:tc>
        <w:tc>
          <w:tcPr/>
          <w:p>
            <w:pPr>
              <w:pStyle w:val="Compact"/>
              <w:jc w:val="left"/>
            </w:pPr>
            <w:r>
              <w:t xml:space="preserve">Critique</w:t>
            </w:r>
          </w:p>
        </w:tc>
      </w:tr>
      <w:tr>
        <w:tc>
          <w:tcPr/>
          <w:p>
            <w:pPr>
              <w:pStyle w:val="Compact"/>
              <w:jc w:val="left"/>
            </w:pPr>
            <w:r>
              <w:t xml:space="preserve">RG-DSN-02</w:t>
            </w:r>
          </w:p>
        </w:tc>
        <w:tc>
          <w:tcPr/>
          <w:p>
            <w:pPr>
              <w:pStyle w:val="Compact"/>
              <w:jc w:val="left"/>
            </w:pPr>
            <w:r>
              <w:t xml:space="preserve">DSN — Dossier de Santé Numérique Longitudinal</w:t>
            </w:r>
          </w:p>
        </w:tc>
        <w:tc>
          <w:tcPr/>
          <w:p>
            <w:pPr>
              <w:pStyle w:val="Compact"/>
              <w:jc w:val="left"/>
            </w:pPr>
            <w:r>
              <w:t xml:space="preserve">Chaque intervention de soin, à domicile, en téléconsultation ou via un établissement partenaire, génère automatiquement un événement dans le dossier du patient concerné.</w:t>
            </w:r>
          </w:p>
        </w:tc>
        <w:tc>
          <w:tcPr/>
          <w:p>
            <w:pPr>
              <w:pStyle w:val="Compact"/>
              <w:jc w:val="left"/>
            </w:pPr>
            <w:r>
              <w:t xml:space="preserve">Standard</w:t>
            </w:r>
          </w:p>
        </w:tc>
      </w:tr>
      <w:tr>
        <w:tc>
          <w:tcPr/>
          <w:p>
            <w:pPr>
              <w:pStyle w:val="Compact"/>
              <w:jc w:val="left"/>
            </w:pPr>
            <w:r>
              <w:t xml:space="preserve">RG-IOT-01</w:t>
            </w:r>
          </w:p>
        </w:tc>
        <w:tc>
          <w:tcPr/>
          <w:p>
            <w:pPr>
              <w:pStyle w:val="Compact"/>
              <w:jc w:val="left"/>
            </w:pPr>
            <w:r>
              <w:t xml:space="preserve">IOT — Télésuivi &amp; Objets médicaux connectés</w:t>
            </w:r>
          </w:p>
        </w:tc>
        <w:tc>
          <w:tcPr/>
          <w:p>
            <w:pPr>
              <w:pStyle w:val="Compact"/>
              <w:jc w:val="left"/>
            </w:pPr>
            <w:r>
              <w:t xml:space="preserve">Seuls des dispositifs médicaux validés et référencés par la plateforme peuvent être connectés au télésuivi ; une mesure issue d’un dispositif non validé est signalée comme non certifiée.</w:t>
            </w:r>
          </w:p>
        </w:tc>
        <w:tc>
          <w:tcPr/>
          <w:p>
            <w:pPr>
              <w:pStyle w:val="Compact"/>
              <w:jc w:val="left"/>
            </w:pPr>
            <w:r>
              <w:t xml:space="preserve">Critique</w:t>
            </w:r>
          </w:p>
        </w:tc>
      </w:tr>
      <w:tr>
        <w:tc>
          <w:tcPr/>
          <w:p>
            <w:pPr>
              <w:pStyle w:val="Compact"/>
              <w:jc w:val="left"/>
            </w:pPr>
            <w:r>
              <w:t xml:space="preserve">RG-IOT-02</w:t>
            </w:r>
          </w:p>
        </w:tc>
        <w:tc>
          <w:tcPr/>
          <w:p>
            <w:pPr>
              <w:pStyle w:val="Compact"/>
              <w:jc w:val="left"/>
            </w:pPr>
            <w:r>
              <w:t xml:space="preserve">IOT — Télésuivi &amp; Objets médicaux connectés</w:t>
            </w:r>
          </w:p>
        </w:tc>
        <w:tc>
          <w:tcPr/>
          <w:p>
            <w:pPr>
              <w:pStyle w:val="Compact"/>
              <w:jc w:val="left"/>
            </w:pPr>
            <w:r>
              <w:t xml:space="preserve">Le dépassement d’un seuil défini pour un patient donné déclenche une alerte au professionnel référent, sans interprétation médicale automatique de la mesure par la plateforme.</w:t>
            </w:r>
          </w:p>
        </w:tc>
        <w:tc>
          <w:tcPr/>
          <w:p>
            <w:pPr>
              <w:pStyle w:val="Compact"/>
              <w:jc w:val="left"/>
            </w:pPr>
            <w:r>
              <w:t xml:space="preserve">Standard</w:t>
            </w:r>
          </w:p>
        </w:tc>
      </w:tr>
      <w:tr>
        <w:tc>
          <w:tcPr/>
          <w:p>
            <w:pPr>
              <w:pStyle w:val="Compact"/>
              <w:jc w:val="left"/>
            </w:pPr>
            <w:r>
              <w:t xml:space="preserve">RG-FAM-01</w:t>
            </w:r>
          </w:p>
        </w:tc>
        <w:tc>
          <w:tcPr/>
          <w:p>
            <w:pPr>
              <w:pStyle w:val="Compact"/>
              <w:jc w:val="left"/>
            </w:pPr>
            <w:r>
              <w:t xml:space="preserve">FAM — PharmaConnect Family &amp; Diaspora</w:t>
            </w:r>
          </w:p>
        </w:tc>
        <w:tc>
          <w:tcPr/>
          <w:p>
            <w:pPr>
              <w:pStyle w:val="Compact"/>
              <w:jc w:val="left"/>
            </w:pPr>
            <w:r>
              <w:t xml:space="preserve">Le souscripteur d’un abonnement familial n’a accès aux informations de santé d’un bénéficiaire majeur qu’avec le consentement explicite de ce dernier, indépendamment de sa participation financière.</w:t>
            </w:r>
          </w:p>
        </w:tc>
        <w:tc>
          <w:tcPr/>
          <w:p>
            <w:pPr>
              <w:pStyle w:val="Compact"/>
              <w:jc w:val="left"/>
            </w:pPr>
            <w:r>
              <w:t xml:space="preserve">Critique</w:t>
            </w:r>
          </w:p>
        </w:tc>
      </w:tr>
      <w:tr>
        <w:tc>
          <w:tcPr/>
          <w:p>
            <w:pPr>
              <w:pStyle w:val="Compact"/>
              <w:jc w:val="left"/>
            </w:pPr>
            <w:r>
              <w:t xml:space="preserve">RG-FAM-02</w:t>
            </w:r>
          </w:p>
        </w:tc>
        <w:tc>
          <w:tcPr/>
          <w:p>
            <w:pPr>
              <w:pStyle w:val="Compact"/>
              <w:jc w:val="left"/>
            </w:pPr>
            <w:r>
              <w:t xml:space="preserve">FAM — PharmaConnect Family &amp; Diaspora</w:t>
            </w:r>
          </w:p>
        </w:tc>
        <w:tc>
          <w:tcPr/>
          <w:p>
            <w:pPr>
              <w:pStyle w:val="Compact"/>
              <w:jc w:val="left"/>
            </w:pPr>
            <w:r>
              <w:t xml:space="preserve">Le paiement international associé à un abonnement familial est traité par un prestataire agréé pour les transactions transfrontalières, distinct des agrégateurs mobile money locaux.</w:t>
            </w:r>
          </w:p>
        </w:tc>
        <w:tc>
          <w:tcPr/>
          <w:p>
            <w:pPr>
              <w:pStyle w:val="Compact"/>
              <w:jc w:val="left"/>
            </w:pPr>
            <w:r>
              <w:t xml:space="preserve">Standard</w:t>
            </w:r>
          </w:p>
        </w:tc>
      </w:tr>
      <w:tr>
        <w:tc>
          <w:tcPr/>
          <w:p>
            <w:pPr>
              <w:pStyle w:val="Compact"/>
              <w:jc w:val="left"/>
            </w:pPr>
            <w:r>
              <w:t xml:space="preserve">RG-HOP-01</w:t>
            </w:r>
          </w:p>
        </w:tc>
        <w:tc>
          <w:tcPr/>
          <w:p>
            <w:pPr>
              <w:pStyle w:val="Compact"/>
              <w:jc w:val="left"/>
            </w:pPr>
            <w:r>
              <w:t xml:space="preserve">HOP — Intégration Hôpitaux, Laboratoires &amp; Imagerie</w:t>
            </w:r>
          </w:p>
        </w:tc>
        <w:tc>
          <w:tcPr/>
          <w:p>
            <w:pPr>
              <w:pStyle w:val="Compact"/>
              <w:jc w:val="left"/>
            </w:pPr>
            <w:r>
              <w:t xml:space="preserve">PharmaConnect ne se substitue à aucun moment à la prise en charge hospitalière ; il oriente et coordonne, sans intervenir dans les décisions cliniques internes à l’établissement partenaire.</w:t>
            </w:r>
          </w:p>
        </w:tc>
        <w:tc>
          <w:tcPr/>
          <w:p>
            <w:pPr>
              <w:pStyle w:val="Compact"/>
              <w:jc w:val="left"/>
            </w:pPr>
            <w:r>
              <w:t xml:space="preserve">Critique</w:t>
            </w:r>
          </w:p>
        </w:tc>
      </w:tr>
      <w:tr>
        <w:tc>
          <w:tcPr/>
          <w:p>
            <w:pPr>
              <w:pStyle w:val="Compact"/>
              <w:jc w:val="left"/>
            </w:pPr>
            <w:r>
              <w:t xml:space="preserve">RG-HOP-02</w:t>
            </w:r>
          </w:p>
        </w:tc>
        <w:tc>
          <w:tcPr/>
          <w:p>
            <w:pPr>
              <w:pStyle w:val="Compact"/>
              <w:jc w:val="left"/>
            </w:pPr>
            <w:r>
              <w:t xml:space="preserve">HOP — Intégration Hôpitaux, Laboratoires &amp; Imagerie</w:t>
            </w:r>
          </w:p>
        </w:tc>
        <w:tc>
          <w:tcPr/>
          <w:p>
            <w:pPr>
              <w:pStyle w:val="Compact"/>
              <w:jc w:val="left"/>
            </w:pPr>
            <w:r>
              <w:t xml:space="preserve">Un résultat d’examen n’est transmis au dossier du patient qu’après validation de la structure partenaire émettrice.</w:t>
            </w:r>
          </w:p>
        </w:tc>
        <w:tc>
          <w:tcPr/>
          <w:p>
            <w:pPr>
              <w:pStyle w:val="Compact"/>
              <w:jc w:val="left"/>
            </w:pPr>
            <w:r>
              <w:t xml:space="preserve">Standard</w:t>
            </w:r>
          </w:p>
        </w:tc>
      </w:tr>
      <w:tr>
        <w:tc>
          <w:tcPr/>
          <w:p>
            <w:pPr>
              <w:pStyle w:val="Compact"/>
              <w:jc w:val="left"/>
            </w:pPr>
            <w:r>
              <w:t xml:space="preserve">RG-ASR-01</w:t>
            </w:r>
          </w:p>
        </w:tc>
        <w:tc>
          <w:tcPr/>
          <w:p>
            <w:pPr>
              <w:pStyle w:val="Compact"/>
              <w:jc w:val="left"/>
            </w:pPr>
            <w:r>
              <w:t xml:space="preserve">ASR — Assurance santé &amp; Tiers-payant</w:t>
            </w:r>
          </w:p>
        </w:tc>
        <w:tc>
          <w:tcPr/>
          <w:p>
            <w:pPr>
              <w:pStyle w:val="Compact"/>
              <w:jc w:val="left"/>
            </w:pPr>
            <w:r>
              <w:t xml:space="preserve">Le montant pris en charge par un tiers-payant est calculé selon les règles contractuelles propres à chaque assureur, paramétrées en back-office et non modifiables par l’officine.</w:t>
            </w:r>
          </w:p>
        </w:tc>
        <w:tc>
          <w:tcPr/>
          <w:p>
            <w:pPr>
              <w:pStyle w:val="Compact"/>
              <w:jc w:val="left"/>
            </w:pPr>
            <w:r>
              <w:t xml:space="preserve">Critique</w:t>
            </w:r>
          </w:p>
        </w:tc>
      </w:tr>
      <w:tr>
        <w:tc>
          <w:tcPr/>
          <w:p>
            <w:pPr>
              <w:pStyle w:val="Compact"/>
              <w:jc w:val="left"/>
            </w:pPr>
            <w:r>
              <w:t xml:space="preserve">RG-PRE-01</w:t>
            </w:r>
          </w:p>
        </w:tc>
        <w:tc>
          <w:tcPr/>
          <w:p>
            <w:pPr>
              <w:pStyle w:val="Compact"/>
              <w:jc w:val="left"/>
            </w:pPr>
            <w:r>
              <w:t xml:space="preserve">PRE — Réseau de prescripteurs &amp; e-prescription</w:t>
            </w:r>
          </w:p>
        </w:tc>
        <w:tc>
          <w:tcPr/>
          <w:p>
            <w:pPr>
              <w:pStyle w:val="Compact"/>
              <w:jc w:val="left"/>
            </w:pPr>
            <w:r>
              <w:t xml:space="preserve">Seul un professionnel de santé inscrit à son ordre et vérifié peut émettre une ordonnance électronique opposable sur la plateforme.</w:t>
            </w:r>
          </w:p>
        </w:tc>
        <w:tc>
          <w:tcPr/>
          <w:p>
            <w:pPr>
              <w:pStyle w:val="Compact"/>
              <w:jc w:val="left"/>
            </w:pPr>
            <w:r>
              <w:t xml:space="preserve">Critique</w:t>
            </w:r>
          </w:p>
        </w:tc>
      </w:tr>
      <w:tr>
        <w:tc>
          <w:tcPr/>
          <w:p>
            <w:pPr>
              <w:pStyle w:val="Compact"/>
              <w:jc w:val="left"/>
            </w:pPr>
            <w:r>
              <w:t xml:space="preserve">RG-CHN-01</w:t>
            </w:r>
          </w:p>
        </w:tc>
        <w:tc>
          <w:tcPr/>
          <w:p>
            <w:pPr>
              <w:pStyle w:val="Compact"/>
              <w:jc w:val="left"/>
            </w:pPr>
            <w:r>
              <w:t xml:space="preserve">CHN — Gestion des chaînes &amp; multi-officines</w:t>
            </w:r>
          </w:p>
        </w:tc>
        <w:tc>
          <w:tcPr/>
          <w:p>
            <w:pPr>
              <w:pStyle w:val="Compact"/>
              <w:jc w:val="left"/>
            </w:pPr>
            <w:r>
              <w:t xml:space="preserve">Un transfert de stock inter-officines génère deux mouvements symétriques tracés (sortie / entrée) et ne peut porter que sur des lots non expirés.</w:t>
            </w:r>
          </w:p>
        </w:tc>
        <w:tc>
          <w:tcPr/>
          <w:p>
            <w:pPr>
              <w:pStyle w:val="Compact"/>
              <w:jc w:val="left"/>
            </w:pPr>
            <w:r>
              <w:t xml:space="preserve">Standard</w:t>
            </w:r>
          </w:p>
        </w:tc>
      </w:tr>
      <w:tr>
        <w:tc>
          <w:tcPr/>
          <w:p>
            <w:pPr>
              <w:pStyle w:val="Compact"/>
              <w:jc w:val="left"/>
            </w:pPr>
            <w:r>
              <w:t xml:space="preserve">RG-REG-01</w:t>
            </w:r>
          </w:p>
        </w:tc>
        <w:tc>
          <w:tcPr/>
          <w:p>
            <w:pPr>
              <w:pStyle w:val="Compact"/>
              <w:jc w:val="left"/>
            </w:pPr>
            <w:r>
              <w:t xml:space="preserve">REG — Module Régulateur &amp; Reporting Pharmacovigilance</w:t>
            </w:r>
          </w:p>
        </w:tc>
        <w:tc>
          <w:tcPr/>
          <w:p>
            <w:pPr>
              <w:pStyle w:val="Compact"/>
              <w:jc w:val="left"/>
            </w:pPr>
            <w:r>
              <w:t xml:space="preserve">Une alerte de rappel de lot diffusée par le régulateur est propagée automatiquement à toutes les officines détenant ce lot, avec blocage immédiat de sa vente.</w:t>
            </w:r>
          </w:p>
        </w:tc>
        <w:tc>
          <w:tcPr/>
          <w:p>
            <w:pPr>
              <w:pStyle w:val="Compact"/>
              <w:jc w:val="left"/>
            </w:pPr>
            <w:r>
              <w:t xml:space="preserve">Critique</w:t>
            </w:r>
          </w:p>
        </w:tc>
      </w:tr>
      <w:tr>
        <w:tc>
          <w:tcPr/>
          <w:p>
            <w:pPr>
              <w:pStyle w:val="Compact"/>
              <w:jc w:val="left"/>
            </w:pPr>
            <w:r>
              <w:t xml:space="preserve">RG-REG-02</w:t>
            </w:r>
          </w:p>
        </w:tc>
        <w:tc>
          <w:tcPr/>
          <w:p>
            <w:pPr>
              <w:pStyle w:val="Compact"/>
              <w:jc w:val="left"/>
            </w:pPr>
            <w:r>
              <w:t xml:space="preserve">REG — Module Régulateur &amp; Reporting Pharmacovigilance</w:t>
            </w:r>
          </w:p>
        </w:tc>
        <w:tc>
          <w:tcPr/>
          <w:p>
            <w:pPr>
              <w:pStyle w:val="Compact"/>
              <w:jc w:val="left"/>
            </w:pPr>
            <w:r>
              <w:t xml:space="preserve">Les données transmises au régulateur respectent le secret médical et ne comportent aucune donnée nominative de patient sans base légale explicite.</w:t>
            </w:r>
          </w:p>
        </w:tc>
        <w:tc>
          <w:tcPr/>
          <w:p>
            <w:pPr>
              <w:pStyle w:val="Compact"/>
              <w:jc w:val="left"/>
            </w:pPr>
            <w:r>
              <w:t xml:space="preserve">Critique</w:t>
            </w:r>
          </w:p>
        </w:tc>
      </w:tr>
      <w:tr>
        <w:tc>
          <w:tcPr/>
          <w:p>
            <w:pPr>
              <w:pStyle w:val="Compact"/>
              <w:jc w:val="left"/>
            </w:pPr>
            <w:r>
              <w:t xml:space="preserve">RG-CSR-01</w:t>
            </w:r>
          </w:p>
        </w:tc>
        <w:tc>
          <w:tcPr/>
          <w:p>
            <w:pPr>
              <w:pStyle w:val="Compact"/>
              <w:jc w:val="left"/>
            </w:pPr>
            <w:r>
              <w:t xml:space="preserve">CSR — Accès solidaire &amp; Programmes d’assistance</w:t>
            </w:r>
          </w:p>
        </w:tc>
        <w:tc>
          <w:tcPr/>
          <w:p>
            <w:pPr>
              <w:pStyle w:val="Compact"/>
              <w:jc w:val="left"/>
            </w:pPr>
            <w:r>
              <w:t xml:space="preserve">L’éligibilité d’un patient au programme solidaire est vérifiée selon des critères définis avec les partenaires et ne peut être auto-déclarée sans validation.</w:t>
            </w:r>
          </w:p>
        </w:tc>
        <w:tc>
          <w:tcPr/>
          <w:p>
            <w:pPr>
              <w:pStyle w:val="Compact"/>
              <w:jc w:val="left"/>
            </w:pPr>
            <w:r>
              <w:t xml:space="preserve">Standard</w:t>
            </w:r>
          </w:p>
        </w:tc>
      </w:tr>
      <w:tr>
        <w:tc>
          <w:tcPr/>
          <w:p>
            <w:pPr>
              <w:pStyle w:val="Compact"/>
              <w:jc w:val="left"/>
            </w:pPr>
            <w:r>
              <w:t xml:space="preserve">RG-RCL-01</w:t>
            </w:r>
          </w:p>
        </w:tc>
        <w:tc>
          <w:tcPr/>
          <w:p>
            <w:pPr>
              <w:pStyle w:val="Compact"/>
              <w:jc w:val="left"/>
            </w:pPr>
            <w:r>
              <w:t xml:space="preserve">RCL — Gestion des rappels de lots</w:t>
            </w:r>
          </w:p>
        </w:tc>
        <w:tc>
          <w:tcPr/>
          <w:p>
            <w:pPr>
              <w:pStyle w:val="Compact"/>
              <w:jc w:val="left"/>
            </w:pPr>
            <w:r>
              <w:t xml:space="preserve">Un lot rappelé est bloqué à la vente sur l’ensemble du réseau dans un délai maximal paramétré à quelques minutes après diffusion de l’alerte.</w:t>
            </w:r>
          </w:p>
        </w:tc>
        <w:tc>
          <w:tcPr/>
          <w:p>
            <w:pPr>
              <w:pStyle w:val="Compact"/>
              <w:jc w:val="left"/>
            </w:pPr>
            <w:r>
              <w:t xml:space="preserve">Critique</w:t>
            </w:r>
          </w:p>
        </w:tc>
      </w:tr>
      <w:tr>
        <w:tc>
          <w:tcPr/>
          <w:p>
            <w:pPr>
              <w:pStyle w:val="Compact"/>
              <w:jc w:val="left"/>
            </w:pPr>
            <w:r>
              <w:t xml:space="preserve">RG-RCL-02</w:t>
            </w:r>
          </w:p>
        </w:tc>
        <w:tc>
          <w:tcPr/>
          <w:p>
            <w:pPr>
              <w:pStyle w:val="Compact"/>
              <w:jc w:val="left"/>
            </w:pPr>
            <w:r>
              <w:t xml:space="preserve">RCL — Gestion des rappels de lots</w:t>
            </w:r>
          </w:p>
        </w:tc>
        <w:tc>
          <w:tcPr/>
          <w:p>
            <w:pPr>
              <w:pStyle w:val="Compact"/>
              <w:jc w:val="left"/>
            </w:pPr>
            <w:r>
              <w:t xml:space="preserve">Toute officine détenant un lot rappelé doit confirmer son retrait physique du linéaire dans le système sous 48 heures.</w:t>
            </w:r>
          </w:p>
        </w:tc>
        <w:tc>
          <w:tcPr/>
          <w:p>
            <w:pPr>
              <w:pStyle w:val="Compact"/>
              <w:jc w:val="left"/>
            </w:pPr>
            <w:r>
              <w:t xml:space="preserve">Critique</w:t>
            </w:r>
          </w:p>
        </w:tc>
      </w:tr>
      <w:tr>
        <w:tc>
          <w:tcPr/>
          <w:p>
            <w:pPr>
              <w:pStyle w:val="Compact"/>
              <w:jc w:val="left"/>
            </w:pPr>
            <w:r>
              <w:t xml:space="preserve">RG-CLD-01</w:t>
            </w:r>
          </w:p>
        </w:tc>
        <w:tc>
          <w:tcPr/>
          <w:p>
            <w:pPr>
              <w:pStyle w:val="Compact"/>
              <w:jc w:val="left"/>
            </w:pPr>
            <w:r>
              <w:t xml:space="preserve">CLD — Chaîne du froid &amp; Produits thermosensibles</w:t>
            </w:r>
          </w:p>
        </w:tc>
        <w:tc>
          <w:tcPr/>
          <w:p>
            <w:pPr>
              <w:pStyle w:val="Compact"/>
              <w:jc w:val="left"/>
            </w:pPr>
            <w:r>
              <w:t xml:space="preserve">Un produit thermosensible ayant subi une rupture de chaîne du froid détectée est automatiquement retiré de la vente et signalé pour destruction contrôlée.</w:t>
            </w:r>
          </w:p>
        </w:tc>
        <w:tc>
          <w:tcPr/>
          <w:p>
            <w:pPr>
              <w:pStyle w:val="Compact"/>
              <w:jc w:val="left"/>
            </w:pPr>
            <w:r>
              <w:t xml:space="preserve">Critique</w:t>
            </w:r>
          </w:p>
        </w:tc>
      </w:tr>
      <w:tr>
        <w:tc>
          <w:tcPr/>
          <w:p>
            <w:pPr>
              <w:pStyle w:val="Compact"/>
              <w:jc w:val="left"/>
            </w:pPr>
            <w:r>
              <w:t xml:space="preserve">RG-ADM-01</w:t>
            </w:r>
          </w:p>
        </w:tc>
        <w:tc>
          <w:tcPr/>
          <w:p>
            <w:pPr>
              <w:pStyle w:val="Compact"/>
              <w:jc w:val="left"/>
            </w:pPr>
            <w:r>
              <w:t xml:space="preserve">ADM — Administration &amp; Back-office GSG</w:t>
            </w:r>
          </w:p>
        </w:tc>
        <w:tc>
          <w:tcPr/>
          <w:p>
            <w:pPr>
              <w:pStyle w:val="Compact"/>
              <w:jc w:val="left"/>
            </w:pPr>
            <w:r>
              <w:t xml:space="preserve">Toute suspension ou réactivation d’une officine par l’administration GSG est journalisée avec motif et notifiée à l’officine concernée.</w:t>
            </w:r>
          </w:p>
        </w:tc>
        <w:tc>
          <w:tcPr/>
          <w:p>
            <w:pPr>
              <w:pStyle w:val="Compact"/>
              <w:jc w:val="left"/>
            </w:pPr>
            <w:r>
              <w:t xml:space="preserve">Critique</w:t>
            </w:r>
          </w:p>
        </w:tc>
      </w:tr>
      <w:tr>
        <w:tc>
          <w:tcPr/>
          <w:p>
            <w:pPr>
              <w:pStyle w:val="Compact"/>
              <w:jc w:val="left"/>
            </w:pPr>
            <w:r>
              <w:t xml:space="preserve">RG-SEC-01</w:t>
            </w:r>
          </w:p>
        </w:tc>
        <w:tc>
          <w:tcPr/>
          <w:p>
            <w:pPr>
              <w:pStyle w:val="Compact"/>
              <w:jc w:val="left"/>
            </w:pPr>
            <w:r>
              <w:t xml:space="preserve">SEC — Sécurité, Conformité &amp; Protection des données de santé</w:t>
            </w:r>
          </w:p>
        </w:tc>
        <w:tc>
          <w:tcPr/>
          <w:p>
            <w:pPr>
              <w:pStyle w:val="Compact"/>
              <w:jc w:val="left"/>
            </w:pPr>
            <w:r>
              <w:t xml:space="preserve">L’accès à l’historique médicamenteux complet d’un patient par un tiers (professionnel de santé, assureur) requiert un consentement explicite et révocable du patient.</w:t>
            </w:r>
          </w:p>
        </w:tc>
        <w:tc>
          <w:tcPr/>
          <w:p>
            <w:pPr>
              <w:pStyle w:val="Compact"/>
              <w:jc w:val="left"/>
            </w:pPr>
            <w:r>
              <w:t xml:space="preserve">Critique</w:t>
            </w:r>
          </w:p>
        </w:tc>
      </w:tr>
      <w:tr>
        <w:tc>
          <w:tcPr/>
          <w:p>
            <w:pPr>
              <w:pStyle w:val="Compact"/>
              <w:jc w:val="left"/>
            </w:pPr>
            <w:r>
              <w:t xml:space="preserve">RG-SEC-02</w:t>
            </w:r>
          </w:p>
        </w:tc>
        <w:tc>
          <w:tcPr/>
          <w:p>
            <w:pPr>
              <w:pStyle w:val="Compact"/>
              <w:jc w:val="left"/>
            </w:pPr>
            <w:r>
              <w:t xml:space="preserve">SEC — Sécurité, Conformité &amp; Protection des données de santé</w:t>
            </w:r>
          </w:p>
        </w:tc>
        <w:tc>
          <w:tcPr/>
          <w:p>
            <w:pPr>
              <w:pStyle w:val="Compact"/>
              <w:jc w:val="left"/>
            </w:pPr>
            <w:r>
              <w:t xml:space="preserve">Toute violation avérée de données de santé fait l’objet d’une notification à l’administration GSG dans un délai maximal de 24 heures.</w:t>
            </w:r>
          </w:p>
        </w:tc>
        <w:tc>
          <w:tcPr/>
          <w:p>
            <w:pPr>
              <w:pStyle w:val="Compact"/>
              <w:jc w:val="left"/>
            </w:pPr>
            <w:r>
              <w:t xml:space="preserve">Critique</w:t>
            </w:r>
          </w:p>
        </w:tc>
      </w:tr>
    </w:tbl>
    <w:p>
      <w:pPr>
        <w:pStyle w:val="BodyText"/>
      </w:pPr>
      <w:r>
        <w:rPr>
          <w:bCs/>
          <w:b/>
        </w:rPr>
        <w:t xml:space="preserve">8. Modèle de données et relations principales</w:t>
      </w:r>
    </w:p>
    <w:p>
      <w:pPr>
        <w:pStyle w:val="BodyText"/>
      </w:pPr>
      <w:r>
        <w:rPr>
          <w:bCs/>
          <w:b/>
        </w:rPr>
        <w:t xml:space="preserve">8.1 Entités principales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Entité</w:t>
            </w:r>
          </w:p>
        </w:tc>
        <w:tc>
          <w:tcPr/>
          <w:p>
            <w:pPr>
              <w:pStyle w:val="Compact"/>
              <w:jc w:val="left"/>
            </w:pPr>
            <w:r>
              <w:rPr>
                <w:bCs/>
                <w:b/>
              </w:rPr>
              <w:t xml:space="preserve">Description</w:t>
            </w:r>
          </w:p>
        </w:tc>
      </w:tr>
      <w:tr>
        <w:tc>
          <w:tcPr/>
          <w:p>
            <w:pPr>
              <w:pStyle w:val="Compact"/>
              <w:jc w:val="left"/>
            </w:pPr>
            <w:r>
              <w:t xml:space="preserve">Utilisateur</w:t>
            </w:r>
          </w:p>
        </w:tc>
        <w:tc>
          <w:tcPr/>
          <w:p>
            <w:pPr>
              <w:pStyle w:val="Compact"/>
              <w:jc w:val="left"/>
            </w:pPr>
            <w:r>
              <w:t xml:space="preserve">Compte de base multi-rôle (patient, membre d’officine, livreur, prescripteur, professionnel mobile, agent grossiste, régulateur, souscripteur diaspora, administrateur GSG).</w:t>
            </w:r>
          </w:p>
        </w:tc>
      </w:tr>
      <w:tr>
        <w:tc>
          <w:tcPr/>
          <w:p>
            <w:pPr>
              <w:pStyle w:val="Compact"/>
              <w:jc w:val="left"/>
            </w:pPr>
            <w:r>
              <w:t xml:space="preserve">Pays / Région / Ville</w:t>
            </w:r>
          </w:p>
        </w:tc>
        <w:tc>
          <w:tcPr/>
          <w:p>
            <w:pPr>
              <w:pStyle w:val="Compact"/>
              <w:jc w:val="left"/>
            </w:pPr>
            <w:r>
              <w:t xml:space="preserve">Hérité du GSG Referential du GSG Platform Kernel (pays, devise, langue), non redéfini ici ; la réglementation et la fiscalité pharmaceutique par pays sont portées par le GSG Referential Engine (code_domaine = pharmaceutique), condition de l’expansion multi-pays au-delà de la Guinée — voir section 9.2.</w:t>
            </w:r>
          </w:p>
        </w:tc>
      </w:tr>
      <w:tr>
        <w:tc>
          <w:tcPr/>
          <w:p>
            <w:pPr>
              <w:pStyle w:val="Compact"/>
              <w:jc w:val="left"/>
            </w:pPr>
            <w:r>
              <w:t xml:space="preserve">Officine</w:t>
            </w:r>
          </w:p>
        </w:tc>
        <w:tc>
          <w:tcPr/>
          <w:p>
            <w:pPr>
              <w:pStyle w:val="Compact"/>
              <w:jc w:val="left"/>
            </w:pPr>
            <w:r>
              <w:t xml:space="preserve">Pharmacie enregistrée : identité légale, licence, localisation, horaires, statut d’agrément, rattachée à une Ville.</w:t>
            </w:r>
          </w:p>
        </w:tc>
      </w:tr>
      <w:tr>
        <w:tc>
          <w:tcPr/>
          <w:p>
            <w:pPr>
              <w:pStyle w:val="Compact"/>
              <w:jc w:val="left"/>
            </w:pPr>
            <w:r>
              <w:t xml:space="preserve">ProduitRéférentiel</w:t>
            </w:r>
          </w:p>
        </w:tc>
        <w:tc>
          <w:tcPr/>
          <w:p>
            <w:pPr>
              <w:pStyle w:val="Compact"/>
              <w:jc w:val="left"/>
            </w:pPr>
            <w:r>
              <w:t xml:space="preserve">Fiche produit normalisée du catalogue central (DCI, dosage, classe ATC, statut réglementaire), contextualisée par pays.</w:t>
            </w:r>
          </w:p>
        </w:tc>
      </w:tr>
      <w:tr>
        <w:tc>
          <w:tcPr/>
          <w:p>
            <w:pPr>
              <w:pStyle w:val="Compact"/>
              <w:jc w:val="left"/>
            </w:pPr>
            <w:r>
              <w:t xml:space="preserve">Lot</w:t>
            </w:r>
          </w:p>
        </w:tc>
        <w:tc>
          <w:tcPr/>
          <w:p>
            <w:pPr>
              <w:pStyle w:val="Compact"/>
              <w:jc w:val="left"/>
            </w:pPr>
            <w:r>
              <w:t xml:space="preserve">Instance physique d’un produit détenue par une officine : quantité, péremption, fournisseur, statut de traçabilité.</w:t>
            </w:r>
          </w:p>
        </w:tc>
      </w:tr>
      <w:tr>
        <w:tc>
          <w:tcPr/>
          <w:p>
            <w:pPr>
              <w:pStyle w:val="Compact"/>
              <w:jc w:val="left"/>
            </w:pPr>
            <w:r>
              <w:t xml:space="preserve">MouvementStock</w:t>
            </w:r>
          </w:p>
        </w:tc>
        <w:tc>
          <w:tcPr/>
          <w:p>
            <w:pPr>
              <w:pStyle w:val="Compact"/>
              <w:jc w:val="left"/>
            </w:pPr>
            <w:r>
              <w:t xml:space="preserve">Événement modifiant la quantité d’un lot (vente, réception, retour, transfert, péremption).</w:t>
            </w:r>
          </w:p>
        </w:tc>
      </w:tr>
      <w:tr>
        <w:tc>
          <w:tcPr/>
          <w:p>
            <w:pPr>
              <w:pStyle w:val="Compact"/>
              <w:jc w:val="left"/>
            </w:pPr>
            <w:r>
              <w:t xml:space="preserve">Commande</w:t>
            </w:r>
          </w:p>
        </w:tc>
        <w:tc>
          <w:tcPr/>
          <w:p>
            <w:pPr>
              <w:pStyle w:val="Compact"/>
              <w:jc w:val="left"/>
            </w:pPr>
            <w:r>
              <w:t xml:space="preserve">Demande d’achat d’un patient : réservation, livraison ou retrait, liée à un ou plusieurs lots.</w:t>
            </w:r>
          </w:p>
        </w:tc>
      </w:tr>
      <w:tr>
        <w:tc>
          <w:tcPr/>
          <w:p>
            <w:pPr>
              <w:pStyle w:val="Compact"/>
              <w:jc w:val="left"/>
            </w:pPr>
            <w:r>
              <w:t xml:space="preserve">Ordonnance</w:t>
            </w:r>
          </w:p>
        </w:tc>
        <w:tc>
          <w:tcPr/>
          <w:p>
            <w:pPr>
              <w:pStyle w:val="Compact"/>
              <w:jc w:val="left"/>
            </w:pPr>
            <w:r>
              <w:t xml:space="preserve">Document prescriptif rattaché à un patient, éventuellement à un prescripteur inscrit, et à une ou plusieurs commandes.</w:t>
            </w:r>
          </w:p>
        </w:tc>
      </w:tr>
      <w:tr>
        <w:tc>
          <w:tcPr/>
          <w:p>
            <w:pPr>
              <w:pStyle w:val="Compact"/>
              <w:jc w:val="left"/>
            </w:pPr>
            <w:r>
              <w:t xml:space="preserve">Paiement</w:t>
            </w:r>
          </w:p>
        </w:tc>
        <w:tc>
          <w:tcPr/>
          <w:p>
            <w:pPr>
              <w:pStyle w:val="Compact"/>
              <w:jc w:val="left"/>
            </w:pPr>
            <w:r>
              <w:t xml:space="preserve">Transaction financière rattachée à une commande ou une prestation de soins, un agrégateur et un statut de réconciliation — local ou international (Module FAM).</w:t>
            </w:r>
          </w:p>
        </w:tc>
      </w:tr>
      <w:tr>
        <w:tc>
          <w:tcPr/>
          <w:p>
            <w:pPr>
              <w:pStyle w:val="Compact"/>
              <w:jc w:val="left"/>
            </w:pPr>
            <w:r>
              <w:t xml:space="preserve">Livraison</w:t>
            </w:r>
          </w:p>
        </w:tc>
        <w:tc>
          <w:tcPr/>
          <w:p>
            <w:pPr>
              <w:pStyle w:val="Compact"/>
              <w:jc w:val="left"/>
            </w:pPr>
            <w:r>
              <w:t xml:space="preserve">Course associée à une commande, un livreur et un statut logistique.</w:t>
            </w:r>
          </w:p>
        </w:tc>
      </w:tr>
      <w:tr>
        <w:tc>
          <w:tcPr/>
          <w:p>
            <w:pPr>
              <w:pStyle w:val="Compact"/>
              <w:jc w:val="left"/>
            </w:pPr>
            <w:r>
              <w:t xml:space="preserve">Fournisseur</w:t>
            </w:r>
          </w:p>
        </w:tc>
        <w:tc>
          <w:tcPr/>
          <w:p>
            <w:pPr>
              <w:pStyle w:val="Compact"/>
              <w:jc w:val="left"/>
            </w:pPr>
            <w:r>
              <w:t xml:space="preserve">Grossiste ou laboratoire référencé sur le marketplace B2B, avec catalogue et évaluations.</w:t>
            </w:r>
          </w:p>
        </w:tc>
      </w:tr>
      <w:tr>
        <w:tc>
          <w:tcPr/>
          <w:p>
            <w:pPr>
              <w:pStyle w:val="Compact"/>
              <w:jc w:val="left"/>
            </w:pPr>
            <w:r>
              <w:t xml:space="preserve">AlerteSanté</w:t>
            </w:r>
          </w:p>
        </w:tc>
        <w:tc>
          <w:tcPr/>
          <w:p>
            <w:pPr>
              <w:pStyle w:val="Compact"/>
              <w:jc w:val="left"/>
            </w:pPr>
            <w:r>
              <w:t xml:space="preserve">Signalement de contrefaçon, rappel de lot ou anomalie de pharmacovigilance, rattaché à un ou plusieurs lots.</w:t>
            </w:r>
          </w:p>
        </w:tc>
      </w:tr>
      <w:tr>
        <w:tc>
          <w:tcPr/>
          <w:p>
            <w:pPr>
              <w:pStyle w:val="Compact"/>
              <w:jc w:val="left"/>
            </w:pPr>
            <w:r>
              <w:t xml:space="preserve">Organisation</w:t>
            </w:r>
          </w:p>
        </w:tc>
        <w:tc>
          <w:tcPr/>
          <w:p>
            <w:pPr>
              <w:pStyle w:val="Compact"/>
              <w:jc w:val="left"/>
            </w:pPr>
            <w:r>
              <w:t xml:space="preserve">Entité de rattachement (groupement de pharmacies, grossiste, établissement de santé, ONG partenaire) gérée via l’Org Registry du GSG Platform Kernel.</w:t>
            </w:r>
          </w:p>
        </w:tc>
      </w:tr>
      <w:tr>
        <w:tc>
          <w:tcPr/>
          <w:p>
            <w:pPr>
              <w:pStyle w:val="Compact"/>
              <w:jc w:val="left"/>
            </w:pPr>
            <w:r>
              <w:t xml:space="preserve">ProfessionnelMobile</w:t>
            </w:r>
          </w:p>
        </w:tc>
        <w:tc>
          <w:tcPr/>
          <w:p>
            <w:pPr>
              <w:pStyle w:val="Compact"/>
              <w:jc w:val="left"/>
            </w:pPr>
            <w:r>
              <w:t xml:space="preserve">Médecin, infirmier ou sage-femme vérifié auprès de son ordre, avec zone de couverture, disponibilités et périmètre d’actes autorisés (Module INF).</w:t>
            </w:r>
          </w:p>
        </w:tc>
      </w:tr>
      <w:tr>
        <w:tc>
          <w:tcPr/>
          <w:p>
            <w:pPr>
              <w:pStyle w:val="Compact"/>
              <w:jc w:val="left"/>
            </w:pPr>
            <w:r>
              <w:t xml:space="preserve">DemandeCare</w:t>
            </w:r>
          </w:p>
        </w:tc>
        <w:tc>
          <w:tcPr/>
          <w:p>
            <w:pPr>
              <w:pStyle w:val="Compact"/>
              <w:jc w:val="left"/>
            </w:pPr>
            <w:r>
              <w:t xml:space="preserve">Demande de téléconsultation ou de soin à domicile, résultat du triage (Module TRI), rattachée à un Patient et, une fois acceptée, à un ProfessionnelMobile.</w:t>
            </w:r>
          </w:p>
        </w:tc>
      </w:tr>
      <w:tr>
        <w:tc>
          <w:tcPr/>
          <w:p>
            <w:pPr>
              <w:pStyle w:val="Compact"/>
              <w:jc w:val="left"/>
            </w:pPr>
            <w:r>
              <w:t xml:space="preserve">EvenementSanté</w:t>
            </w:r>
          </w:p>
        </w:tc>
        <w:tc>
          <w:tcPr/>
          <w:p>
            <w:pPr>
              <w:pStyle w:val="Compact"/>
              <w:jc w:val="left"/>
            </w:pPr>
            <w:r>
              <w:t xml:space="preserve">Ligne du Dossier de Santé Numérique (Module DSN) : intervention, motif, constantes, décision, ordonnance, examen — brique constitutive du parcours de soins longitudinal.</w:t>
            </w:r>
          </w:p>
        </w:tc>
      </w:tr>
      <w:tr>
        <w:tc>
          <w:tcPr/>
          <w:p>
            <w:pPr>
              <w:pStyle w:val="Compact"/>
              <w:jc w:val="left"/>
            </w:pPr>
            <w:r>
              <w:t xml:space="preserve">BénéficiaireFamille</w:t>
            </w:r>
          </w:p>
        </w:tc>
        <w:tc>
          <w:tcPr/>
          <w:p>
            <w:pPr>
              <w:pStyle w:val="Compact"/>
              <w:jc w:val="left"/>
            </w:pPr>
            <w:r>
              <w:t xml:space="preserve">Lien entre un Souscripteur (éventuellement dans un autre pays) et un Patient bénéficiaire d’un abonnement PharmaConnect Family (Module FAM), avec consentement explicite.</w:t>
            </w:r>
          </w:p>
        </w:tc>
      </w:tr>
    </w:tbl>
    <w:p>
      <w:pPr>
        <w:pStyle w:val="BodyText"/>
      </w:pPr>
      <w:r>
        <w:rPr>
          <w:bCs/>
          <w:b/>
        </w:rPr>
        <w:t xml:space="preserve">8.2 Relations structurantes</w:t>
      </w:r>
    </w:p>
    <w:p>
      <w:pPr>
        <w:numPr>
          <w:ilvl w:val="0"/>
          <w:numId w:val="1072"/>
        </w:numPr>
      </w:pPr>
      <w:r>
        <w:t xml:space="preserve">Une Officine possède plusieurs Lots ; un Lot appartient à un seul ProduitRéférentiel et à une seule Officine.</w:t>
      </w:r>
    </w:p>
    <w:p>
      <w:pPr>
        <w:numPr>
          <w:ilvl w:val="0"/>
          <w:numId w:val="1072"/>
        </w:numPr>
      </w:pPr>
      <w:r>
        <w:t xml:space="preserve">Une Commande référence un ou plusieurs Lots au moment de sa validation, avec figement du prix et du numéro de lot pour garantir la traçabilité a posteriori.</w:t>
      </w:r>
    </w:p>
    <w:p>
      <w:pPr>
        <w:numPr>
          <w:ilvl w:val="0"/>
          <w:numId w:val="1072"/>
        </w:numPr>
      </w:pPr>
      <w:r>
        <w:t xml:space="preserve">Une Ordonnance peut donner naissance à une ou plusieurs Commandes (produits répartis entre plusieurs officines en cas de rupture partielle) et/ou être émise à l’issue d’une DemandeCare.</w:t>
      </w:r>
    </w:p>
    <w:p>
      <w:pPr>
        <w:numPr>
          <w:ilvl w:val="0"/>
          <w:numId w:val="1072"/>
        </w:numPr>
      </w:pPr>
      <w:r>
        <w:t xml:space="preserve">Un MouvementStock est toujours rattaché à un Lot et à un Utilisateur auteur de l’action, garantissant l’auditabilité complète.</w:t>
      </w:r>
    </w:p>
    <w:p>
      <w:pPr>
        <w:numPr>
          <w:ilvl w:val="0"/>
          <w:numId w:val="1072"/>
        </w:numPr>
      </w:pPr>
      <w:r>
        <w:t xml:space="preserve">Une AlerteSanté peut être rattachée à un Lot spécifique (rappel), à un ProduitRéférentiel (alerte de classe) ou à une Officine (anomalie de vente).</w:t>
      </w:r>
    </w:p>
    <w:p>
      <w:pPr>
        <w:numPr>
          <w:ilvl w:val="0"/>
          <w:numId w:val="1072"/>
        </w:numPr>
      </w:pPr>
      <w:r>
        <w:t xml:space="preserve">Une Organisation regroupe plusieurs Officines (chaîne), un Fournisseur ou un établissement de santé partenaire (Module HOP) ; elle s’appuie sur l’Org Registry partagé du GSG Platform Kernel, au même titre que les organisations déjà modélisées pour EcoShop, TradeLink Africa et GlobalStock ERP.</w:t>
      </w:r>
    </w:p>
    <w:p>
      <w:pPr>
        <w:numPr>
          <w:ilvl w:val="0"/>
          <w:numId w:val="1072"/>
        </w:numPr>
      </w:pPr>
      <w:r>
        <w:t xml:space="preserve">Un Paiement est rattaché à une seule Commande ou une seule DemandeCare, mais peut mobiliser un Portefeuille GSG Pay partagé entre plusieurs produits du portefeuille.</w:t>
      </w:r>
    </w:p>
    <w:p>
      <w:pPr>
        <w:numPr>
          <w:ilvl w:val="0"/>
          <w:numId w:val="1072"/>
        </w:numPr>
      </w:pPr>
      <w:r>
        <w:t xml:space="preserve">Une DemandeCare résulte toujours d’un triage préalable (Module TRI) et n’est affectée à un ProfessionnelMobile qu’après acceptation explicite de ce dernier ; sa clôture génère un EvenementSanté.</w:t>
      </w:r>
    </w:p>
    <w:p>
      <w:pPr>
        <w:numPr>
          <w:ilvl w:val="0"/>
          <w:numId w:val="1072"/>
        </w:numPr>
      </w:pPr>
      <w:r>
        <w:t xml:space="preserve">Un EvenementSanté est rattaché à un Patient et, selon consentement, consultable par un ProfessionnelMobile ou un BénéficiaireFamille désigné ; il constitue la brique atomique du Dossier de Santé Numérique.</w:t>
      </w:r>
    </w:p>
    <w:p>
      <w:pPr>
        <w:numPr>
          <w:ilvl w:val="0"/>
          <w:numId w:val="1072"/>
        </w:numPr>
      </w:pPr>
      <w:r>
        <w:t xml:space="preserve">Une BénéficiaireFamille relie un Souscripteur situé dans un Pays donné à un Patient situé dans un autre Pays ; le Paiement associé transite par un prestataire international distinct des agrégateurs mobile money locaux.</w:t>
      </w:r>
    </w:p>
    <w:p>
      <w:pPr>
        <w:numPr>
          <w:ilvl w:val="0"/>
          <w:numId w:val="1072"/>
        </w:numPr>
      </w:pPr>
      <w:r>
        <w:t xml:space="preserve">Chaque ProduitRéférentiel, Officine et Organisation est rattaché à un triplet Pays/Région/Ville, permettant la déclinaison progressive du même modèle vers le Sénégal, la Côte d’Ivoire, le Mali ou le Ghana sans refonte structurelle.</w:t>
      </w:r>
    </w:p>
    <w:p>
      <w:pPr>
        <w:pStyle w:val="FirstParagraph"/>
      </w:pPr>
      <w:r>
        <w:rPr>
          <w:bCs/>
          <w:b/>
        </w:rPr>
        <w:t xml:space="preserve">9. Architecture technique recommandée</w:t>
      </w:r>
    </w:p>
    <w:p>
      <w:pPr>
        <w:pStyle w:val="BodyText"/>
      </w:pPr>
      <w:r>
        <w:rPr>
          <w:bCs/>
          <w:b/>
        </w:rPr>
        <w:t xml:space="preserve">9.1 Stack applicative</w:t>
      </w:r>
    </w:p>
    <w:p>
      <w:pPr>
        <w:numPr>
          <w:ilvl w:val="0"/>
          <w:numId w:val="1073"/>
        </w:numPr>
      </w:pPr>
      <w:r>
        <w:t xml:space="preserve">Application mobile patient et application officine en Flutter/Dart, cohérentes avec le choix déjà retenu pour Ecclesias 360, afin de mutualiser les compétences de développement au sein de GSG</w:t>
      </w:r>
    </w:p>
    <w:p>
      <w:pPr>
        <w:numPr>
          <w:ilvl w:val="0"/>
          <w:numId w:val="1073"/>
        </w:numPr>
      </w:pPr>
      <w:r>
        <w:t xml:space="preserve">Backend modulaire en Rust pour les services critiques (moteur de stock, moteur de traçabilité, paiement) et en TypeScript/Node.js pour les services applicatifs à évolution rapide (API patient, notifications), en cohérence avec la pile Rust/TypeScript/Flutter déjà recommandée pour GSG SecureGuard</w:t>
      </w:r>
    </w:p>
    <w:p>
      <w:pPr>
        <w:numPr>
          <w:ilvl w:val="0"/>
          <w:numId w:val="1073"/>
        </w:numPr>
      </w:pPr>
      <w:r>
        <w:t xml:space="preserve">Base de données PostgreSQL avec réplication, complétée par une solution de synchronisation offline-first (type PowerSync, déjà recommandée pour Ecclesias 360) pour la saisie de stock en zone à connectivité intermittente</w:t>
      </w:r>
    </w:p>
    <w:p>
      <w:pPr>
        <w:numPr>
          <w:ilvl w:val="0"/>
          <w:numId w:val="1073"/>
        </w:numPr>
      </w:pPr>
      <w:r>
        <w:t xml:space="preserve">Bus d’événements partagé pour propager en temps réel les changements de stock, les alertes de rappel et les mises à jour de statut de commande entre services</w:t>
      </w:r>
    </w:p>
    <w:p>
      <w:pPr>
        <w:numPr>
          <w:ilvl w:val="0"/>
          <w:numId w:val="1073"/>
        </w:numPr>
      </w:pPr>
      <w:r>
        <w:t xml:space="preserve">Stockage objet sécurisé et chiffré pour les ordonnances téléversées et les pièces d’agrément</w:t>
      </w:r>
    </w:p>
    <w:p>
      <w:pPr>
        <w:pStyle w:val="FirstParagraph"/>
      </w:pPr>
      <w:r>
        <w:rPr>
          <w:bCs/>
          <w:b/>
        </w:rPr>
        <w:t xml:space="preserve">9.2 Interconnexion au GSG Platform Kernel</w:t>
      </w:r>
    </w:p>
    <w:p>
      <w:pPr>
        <w:pStyle w:val="BodyText"/>
      </w:pPr>
      <w:r>
        <w:t xml:space="preserve">PharmaConnect est conçu, dès sa conception initiale, pour s’appuyer nativement sur le GSG Platform Kernel (cahier de conception v3.0) : authentification unique via GSG ID/OIDC, rattachement des officines et groupements à l’Org Registry commun, référentiel pays/devise/langue partagé, diffusion des événements de stock et de commande sur le bus d’événements partagé, et centralisation des journaux d’audit — notamment pour les accès aux données de santé sensibles (Module SEC). Conformément à KER-INT-01 du noyau, PharmaConnect n’étant entamé à aucun stade de développement, cette section suit le gabarit standard défini en section 19 du cahier Kernel et documente une intégration native, dès l’origine.</w:t>
      </w:r>
    </w:p>
    <w:p>
      <w:pPr>
        <w:pStyle w:val="BodyText"/>
      </w:pPr>
      <w:r>
        <w:rPr>
          <w:bCs/>
          <w:b/>
        </w:rPr>
        <w:t xml:space="preserve">Briques du noyau consommées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Brique du noyau</w:t>
            </w:r>
          </w:p>
        </w:tc>
        <w:tc>
          <w:tcPr/>
          <w:p>
            <w:pPr>
              <w:pStyle w:val="Compact"/>
              <w:jc w:val="left"/>
            </w:pPr>
            <w:r>
              <w:rPr>
                <w:bCs/>
                <w:b/>
              </w:rPr>
              <w:t xml:space="preserve">Statut et détail</w:t>
            </w:r>
          </w:p>
        </w:tc>
      </w:tr>
      <w:tr>
        <w:tc>
          <w:tcPr/>
          <w:p>
            <w:pPr>
              <w:pStyle w:val="Compact"/>
              <w:jc w:val="left"/>
            </w:pPr>
            <w:r>
              <w:t xml:space="preserve">GSG ID</w:t>
            </w:r>
          </w:p>
        </w:tc>
        <w:tc>
          <w:tcPr/>
          <w:p>
            <w:pPr>
              <w:pStyle w:val="Compact"/>
              <w:jc w:val="left"/>
            </w:pPr>
            <w:r>
              <w:t xml:space="preserve">Oui — authentification fédérée pour l’ensemble des profils (patient, officine, grossiste, professionnel mobile, régulateur, souscripteur diaspora), en complément du 2FA obligatoire propre aux comptes professionnels.</w:t>
            </w:r>
          </w:p>
        </w:tc>
      </w:tr>
      <w:tr>
        <w:tc>
          <w:tcPr/>
          <w:p>
            <w:pPr>
              <w:pStyle w:val="Compact"/>
              <w:jc w:val="left"/>
            </w:pPr>
            <w:r>
              <w:t xml:space="preserve">Org Registry</w:t>
            </w:r>
          </w:p>
        </w:tc>
        <w:tc>
          <w:tcPr/>
          <w:p>
            <w:pPr>
              <w:pStyle w:val="Compact"/>
              <w:jc w:val="left"/>
            </w:pPr>
            <w:r>
              <w:t xml:space="preserve">Oui — gsg_org_id porté nativement par l’entité Organisation (groupements de pharmacies, grossistes, établissements de santé, ONG partenaires).</w:t>
            </w:r>
          </w:p>
        </w:tc>
      </w:tr>
      <w:tr>
        <w:tc>
          <w:tcPr/>
          <w:p>
            <w:pPr>
              <w:pStyle w:val="Compact"/>
              <w:jc w:val="left"/>
            </w:pPr>
            <w:r>
              <w:t xml:space="preserve">GSG Referential</w:t>
            </w:r>
          </w:p>
        </w:tc>
        <w:tc>
          <w:tcPr/>
          <w:p>
            <w:pPr>
              <w:pStyle w:val="Compact"/>
              <w:jc w:val="left"/>
            </w:pPr>
            <w:r>
              <w:t xml:space="preserve">Oui — pays_id, devise_id, langue_id référencés nativement ; l’entité Pays / Région / Ville (section 8.1) hérite du référentiel du noyau plutôt que d’être redéfinie (voir correction ci-dessous).</w:t>
            </w:r>
          </w:p>
        </w:tc>
      </w:tr>
      <w:tr>
        <w:tc>
          <w:tcPr/>
          <w:p>
            <w:pPr>
              <w:pStyle w:val="Compact"/>
              <w:jc w:val="left"/>
            </w:pPr>
            <w:r>
              <w:t xml:space="preserve">Referential Engine</w:t>
            </w:r>
          </w:p>
        </w:tc>
        <w:tc>
          <w:tcPr/>
          <w:p>
            <w:pPr>
              <w:pStyle w:val="Compact"/>
              <w:jc w:val="left"/>
            </w:pPr>
            <w:r>
              <w:t xml:space="preserve">Oui — code_domaine = pharmaceutique pour la réglementation et la fiscalité par pays (statut réglementaire des produits, contextualisation du référentiel médical CEDEAO), rattaché à l’entité ProduitRéférentiel (Module CAT).</w:t>
            </w:r>
          </w:p>
        </w:tc>
      </w:tr>
      <w:tr>
        <w:tc>
          <w:tcPr/>
          <w:p>
            <w:pPr>
              <w:pStyle w:val="Compact"/>
              <w:jc w:val="left"/>
            </w:pPr>
            <w:r>
              <w:t xml:space="preserve">Bus d’événements</w:t>
            </w:r>
          </w:p>
        </w:tc>
        <w:tc>
          <w:tcPr/>
          <w:p>
            <w:pPr>
              <w:pStyle w:val="Compact"/>
              <w:jc w:val="left"/>
            </w:pPr>
            <w:r>
              <w:t xml:space="preserve">Oui — diffusion des événements de stock, de commande et d’alerte santé ; voir liste ci-dessous.</w:t>
            </w:r>
          </w:p>
        </w:tc>
      </w:tr>
      <w:tr>
        <w:tc>
          <w:tcPr/>
          <w:p>
            <w:pPr>
              <w:pStyle w:val="Compact"/>
              <w:jc w:val="left"/>
            </w:pPr>
            <w:r>
              <w:t xml:space="preserve">Audit</w:t>
            </w:r>
          </w:p>
        </w:tc>
        <w:tc>
          <w:tcPr/>
          <w:p>
            <w:pPr>
              <w:pStyle w:val="Compact"/>
              <w:jc w:val="left"/>
            </w:pPr>
            <w:r>
              <w:t xml:space="preserve">Oui — journalisation infalsifiable des mouvements de stock et des accès aux données de santé sensibles (Module SEC), alignée sur KER-AUD du noyau.</w:t>
            </w:r>
          </w:p>
        </w:tc>
      </w:tr>
      <w:tr>
        <w:tc>
          <w:tcPr/>
          <w:p>
            <w:pPr>
              <w:pStyle w:val="Compact"/>
              <w:jc w:val="left"/>
            </w:pPr>
            <w:r>
              <w:t xml:space="preserve">Billing Core</w:t>
            </w:r>
          </w:p>
        </w:tc>
        <w:tc>
          <w:tcPr/>
          <w:p>
            <w:pPr>
              <w:pStyle w:val="Compact"/>
              <w:jc w:val="left"/>
            </w:pPr>
            <w:r>
              <w:t xml:space="preserve">Non par défaut — PharmaConnect gère son propre modèle par paliers (abonnement officine, commission marketplace, accès conventionné), conformément à KER-BIL-02.</w:t>
            </w:r>
          </w:p>
        </w:tc>
      </w:tr>
      <w:tr>
        <w:tc>
          <w:tcPr/>
          <w:p>
            <w:pPr>
              <w:pStyle w:val="Compact"/>
              <w:jc w:val="left"/>
            </w:pPr>
            <w:r>
              <w:t xml:space="preserve">Design System</w:t>
            </w:r>
          </w:p>
        </w:tc>
        <w:tc>
          <w:tcPr/>
          <w:p>
            <w:pPr>
              <w:pStyle w:val="Compact"/>
              <w:jc w:val="left"/>
            </w:pPr>
            <w:r>
              <w:t xml:space="preserve">Non par défaut — à activer lors d’une itération UI ultérieure, conformément à KER-DES-02.</w:t>
            </w:r>
          </w:p>
        </w:tc>
      </w:tr>
    </w:tbl>
    <w:p>
      <w:pPr>
        <w:pStyle w:val="BodyText"/>
      </w:pPr>
      <w:r>
        <w:rPr>
          <w:bCs/>
          <w:b/>
        </w:rPr>
        <w:t xml:space="preserve">Cartographie des champs hérités du référentiel</w:t>
      </w:r>
    </w:p>
    <w:p>
      <w:pPr>
        <w:numPr>
          <w:ilvl w:val="0"/>
          <w:numId w:val="1074"/>
        </w:numPr>
      </w:pPr>
      <w:r>
        <w:t xml:space="preserve">Organisation.gsg_org_id → Org Registry (identifiant global de l’organisation)</w:t>
      </w:r>
    </w:p>
    <w:p>
      <w:pPr>
        <w:numPr>
          <w:ilvl w:val="0"/>
          <w:numId w:val="1074"/>
        </w:numPr>
      </w:pPr>
      <w:r>
        <w:t xml:space="preserve">Pays / Région / Ville → GSG Referential (pays, devise, langue) et GSG Referential Engine (code_domaine = administratif, pour la hiérarchie région/ville)</w:t>
      </w:r>
    </w:p>
    <w:p>
      <w:pPr>
        <w:numPr>
          <w:ilvl w:val="0"/>
          <w:numId w:val="1074"/>
        </w:numPr>
      </w:pPr>
      <w:r>
        <w:t xml:space="preserve">Tout utilisateur de la plateforme.gsg_id → GSG ID (authentification fédérée)</w:t>
      </w:r>
    </w:p>
    <w:p>
      <w:pPr>
        <w:numPr>
          <w:ilvl w:val="0"/>
          <w:numId w:val="1074"/>
        </w:numPr>
      </w:pPr>
      <w:r>
        <w:t xml:space="preserve">ProduitRéférentiel.statut_reglementaire par pays → GSG Referential Engine (code_domaine = pharmaceutique)</w:t>
      </w:r>
    </w:p>
    <w:p>
      <w:pPr>
        <w:numPr>
          <w:ilvl w:val="0"/>
          <w:numId w:val="1074"/>
        </w:numPr>
      </w:pPr>
      <w:r>
        <w:t xml:space="preserve">Toute donnée montant (Paiement, abonnement, commission marketplace) → stockée en unité mineure entière, conformément à KER-REF-05 du noyau</w:t>
      </w:r>
    </w:p>
    <w:p>
      <w:pPr>
        <w:pStyle w:val="FirstParagraph"/>
      </w:pPr>
      <w:r>
        <w:rPr>
          <w:bCs/>
          <w:b/>
        </w:rPr>
        <w:t xml:space="preserve">Instanciation du Referential Engine</w:t>
      </w:r>
    </w:p>
    <w:p>
      <w:pPr>
        <w:pStyle w:val="BodyText"/>
      </w:pPr>
      <w:r>
        <w:t xml:space="preserve">PharmaConnect instancie le GSG Referential Engine sous le code_domaine pharmaceutique : les nœuds referentiel_hierarchique portent la Liste nationale des médicaments essentiels et sa déclinaison par pays CEDEAO à mesure de l’expansion ; les referentiel_regle rattachées portent le statut réglementaire d’un produit par pays (autorisé, sur ordonnance, retiré), la fiscalité pharmaceutique applicable, et les exigences documentaires d’agrément d’officine propres à chaque pays. La Liste nationale guinéenne des médicaments essentiels, pilotée par la DNPM, constitue la première instanciation réelle de ce domaine.</w:t>
      </w:r>
    </w:p>
    <w:p>
      <w:pPr>
        <w:pStyle w:val="BodyText"/>
      </w:pPr>
      <w:r>
        <w:rPr>
          <w:bCs/>
          <w:b/>
        </w:rPr>
        <w:t xml:space="preserve">Événements publiés et consommés</w:t>
      </w:r>
    </w:p>
    <w:p>
      <w:pPr>
        <w:pStyle w:val="BodyText"/>
      </w:pPr>
      <w:r>
        <w:t xml:space="preserve">PharmaConnect publie vers le bus d’événements du noyau les événements suivants :</w:t>
      </w:r>
    </w:p>
    <w:p>
      <w:pPr>
        <w:numPr>
          <w:ilvl w:val="0"/>
          <w:numId w:val="1075"/>
        </w:numPr>
      </w:pPr>
      <w:r>
        <w:t xml:space="preserve">stock.seuil_atteint / stock.rupture — Module de gestion de stock officine</w:t>
      </w:r>
    </w:p>
    <w:p>
      <w:pPr>
        <w:numPr>
          <w:ilvl w:val="0"/>
          <w:numId w:val="1075"/>
        </w:numPr>
      </w:pPr>
      <w:r>
        <w:t xml:space="preserve">alerte.contrefacon / alerte.rappel_lot — Module AlerteSanté, potentiellement utile aux régulateurs et à d’autres produits du portefeuille</w:t>
      </w:r>
    </w:p>
    <w:p>
      <w:pPr>
        <w:numPr>
          <w:ilvl w:val="0"/>
          <w:numId w:val="1075"/>
        </w:numPr>
      </w:pPr>
      <w:r>
        <w:t xml:space="preserve">commande.effectuee / commande.livree — Module Commande</w:t>
      </w:r>
    </w:p>
    <w:p>
      <w:pPr>
        <w:numPr>
          <w:ilvl w:val="0"/>
          <w:numId w:val="1075"/>
        </w:numPr>
      </w:pPr>
      <w:r>
        <w:t xml:space="preserve">paiement.effectue / paiement.reconcilie — Module FAM</w:t>
      </w:r>
    </w:p>
    <w:p>
      <w:pPr>
        <w:numPr>
          <w:ilvl w:val="0"/>
          <w:numId w:val="1075"/>
        </w:numPr>
      </w:pPr>
      <w:r>
        <w:t xml:space="preserve">kyc.officine_valide — validation de la licence d’exploitation et de l’autorisation d’ouverture</w:t>
      </w:r>
    </w:p>
    <w:p>
      <w:pPr>
        <w:pStyle w:val="FirstParagraph"/>
      </w:pPr>
      <w:r>
        <w:t xml:space="preserve">PharmaConnect ne consomme aujourd’hui aucun événement émis par un autre produit du portefeuille ; ce point sera réévalué si un produit partageant une organisation cliente (par exemple GlobalStock ERP pour un grossiste également client GlobalStock) rejoint le bus.</w:t>
      </w:r>
    </w:p>
    <w:p>
      <w:pPr>
        <w:pStyle w:val="BodyText"/>
      </w:pPr>
      <w:r>
        <w:rPr>
          <w:bCs/>
          <w:b/>
        </w:rPr>
        <w:t xml:space="preserve">Correction apportée à la section 8.1 — élimination d’une duplication avec le noyau</w:t>
      </w:r>
    </w:p>
    <w:p>
      <w:pPr>
        <w:pStyle w:val="BodyText"/>
      </w:pPr>
      <w:r>
        <w:rPr>
          <w:iCs/>
          <w:i/>
        </w:rPr>
        <w:t xml:space="preserve">La version initiale de ce cahier définissait, en</w:t>
      </w:r>
      <w:r>
        <w:rPr>
          <w:bCs/>
          <w:b/>
          <w:iCs/>
          <w:i/>
        </w:rPr>
        <w:t xml:space="preserve"> </w:t>
      </w:r>
      <w:r>
        <w:rPr>
          <w:bCs/>
          <w:b/>
          <w:iCs/>
          <w:i/>
        </w:rPr>
        <w:t xml:space="preserve">section 8.1, une entité Pays / Région / Ville autonome,</w:t>
      </w:r>
      <w:r>
        <w:rPr>
          <w:bCs/>
          <w:b/>
          <w:iCs/>
          <w:i/>
        </w:rPr>
        <w:t xml:space="preserve"> </w:t>
      </w:r>
      <w:r>
        <w:rPr>
          <w:bCs/>
          <w:b/>
          <w:iCs/>
          <w:i/>
        </w:rPr>
        <w:t xml:space="preserve">“</w:t>
      </w:r>
      <w:r>
        <w:rPr>
          <w:bCs/>
          <w:b/>
          <w:iCs/>
          <w:i/>
        </w:rPr>
        <w:t xml:space="preserve">structurant l’ensemble du référentiel (devise, langue, réglementation, fiscalité par pays)</w:t>
      </w:r>
      <w:r>
        <w:rPr>
          <w:bCs/>
          <w:b/>
          <w:iCs/>
          <w:i/>
        </w:rPr>
        <w:t xml:space="preserve">”</w:t>
      </w:r>
      <w:r>
        <w:rPr>
          <w:bCs/>
          <w:b/>
          <w:iCs/>
          <w:i/>
        </w:rPr>
        <w:t xml:space="preserve">. Cette duplication a été corrigée : cette hiérarchie est désormais héritée du GSG Referential et du GSG Re</w:t>
      </w:r>
      <w:r>
        <w:rPr>
          <w:iCs/>
          <w:i/>
        </w:rPr>
        <w:t xml:space="preserve">ferential Engine du noyau (code_domaine = pharmaceutique) plutôt que redéfinie. La mitigation du risque</w:t>
      </w:r>
      <w:r>
        <w:rPr>
          <w:iCs/>
          <w:i/>
        </w:rPr>
        <w:t xml:space="preserve"> </w:t>
      </w:r>
      <w:r>
        <w:rPr>
          <w:iCs/>
          <w:i/>
        </w:rPr>
        <w:t xml:space="preserve">“</w:t>
      </w:r>
      <w:r>
        <w:rPr>
          <w:iCs/>
          <w:i/>
        </w:rPr>
        <w:t xml:space="preserve">Extension multi-pays</w:t>
      </w:r>
      <w:r>
        <w:rPr>
          <w:iCs/>
          <w:i/>
        </w:rPr>
        <w:t xml:space="preserve">”</w:t>
      </w:r>
      <w:r>
        <w:rPr>
          <w:iCs/>
          <w:i/>
        </w:rPr>
        <w:t xml:space="preserve"> </w:t>
      </w:r>
      <w:r>
        <w:rPr>
          <w:iCs/>
          <w:i/>
        </w:rPr>
        <w:t xml:space="preserve">en section 12 a été corrigée dans le même sens.</w:t>
      </w:r>
    </w:p>
    <w:p>
      <w:pPr>
        <w:pStyle w:val="BodyText"/>
      </w:pPr>
      <w:r>
        <w:rPr>
          <w:bCs/>
          <w:b/>
        </w:rPr>
        <w:t xml:space="preserve">État au moment de la rédaction</w:t>
      </w:r>
    </w:p>
    <w:p>
      <w:pPr>
        <w:pStyle w:val="BodyText"/>
      </w:pPr>
      <w:r>
        <w:t xml:space="preserve">PharmaConnect n’est, à la date de rédaction du présent cahier, entamé à aucun stade de développement. Conformément à KER-INT-01 du GSG Platform Kernel, le produit est conçu nativement avec le noyau dès l’origine ; aucun document de migration n’est nécessaire.</w:t>
      </w:r>
    </w:p>
    <w:p>
      <w:pPr>
        <w:pStyle w:val="BodyText"/>
      </w:pPr>
      <w:r>
        <w:rPr>
          <w:bCs/>
          <w:b/>
        </w:rPr>
        <w:t xml:space="preserve">9.3 Sécurité et résilience</w:t>
      </w:r>
    </w:p>
    <w:p>
      <w:pPr>
        <w:numPr>
          <w:ilvl w:val="0"/>
          <w:numId w:val="1076"/>
        </w:numPr>
      </w:pPr>
      <w:r>
        <w:t xml:space="preserve">Chiffrement systématique des données de santé, au repos et en transit</w:t>
      </w:r>
    </w:p>
    <w:p>
      <w:pPr>
        <w:numPr>
          <w:ilvl w:val="0"/>
          <w:numId w:val="1076"/>
        </w:numPr>
      </w:pPr>
      <w:r>
        <w:t xml:space="preserve">Architecture offline-first côté officine pour garantir la continuité de la vente et de la traçabilité même en cas de coupure réseau, avec synchronisation différée</w:t>
      </w:r>
    </w:p>
    <w:p>
      <w:pPr>
        <w:numPr>
          <w:ilvl w:val="0"/>
          <w:numId w:val="1076"/>
        </w:numPr>
      </w:pPr>
      <w:r>
        <w:t xml:space="preserve">Sauvegardes régulières et plan de reprise d’activité proportionné à la criticité des données de santé</w:t>
      </w:r>
    </w:p>
    <w:p>
      <w:pPr>
        <w:numPr>
          <w:ilvl w:val="0"/>
          <w:numId w:val="1076"/>
        </w:numPr>
      </w:pPr>
      <w:r>
        <w:t xml:space="preserve">Journalisation infalsifiable de tous les mouvements de stock et accès aux données sensibles</w:t>
      </w:r>
    </w:p>
    <w:p>
      <w:pPr>
        <w:pStyle w:val="FirstParagraph"/>
      </w:pPr>
      <w:r>
        <w:rPr>
          <w:bCs/>
          <w:b/>
        </w:rPr>
        <w:t xml:space="preserve">10. Modèle économique</w:t>
      </w:r>
    </w:p>
    <w:p>
      <w:pPr>
        <w:pStyle w:val="BodyText"/>
      </w:pPr>
      <w:r>
        <w:t xml:space="preserve">Le modèle économique combine un abonnement SaaS par officine (paliers Découverte / Standard / Pro), une commission sur les transactions du marketplace B2B et de la livraison, ainsi qu’un accès conventionné pour les acteurs institutionnels et régulateurs. Cette architecture tarifaire suit la même logique de paliers déjà retenue pour AssoShop et GlobalStock ERP, adaptée aux spécificités du secteur pharmaceutique.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Palier</w:t>
            </w:r>
          </w:p>
        </w:tc>
        <w:tc>
          <w:tcPr/>
          <w:p>
            <w:pPr>
              <w:pStyle w:val="Compact"/>
              <w:jc w:val="left"/>
            </w:pPr>
            <w:r>
              <w:rPr>
                <w:bCs/>
                <w:b/>
              </w:rPr>
              <w:t xml:space="preserve">Tarification indicative</w:t>
            </w:r>
          </w:p>
        </w:tc>
        <w:tc>
          <w:tcPr/>
          <w:p>
            <w:pPr>
              <w:pStyle w:val="Compact"/>
              <w:jc w:val="left"/>
            </w:pPr>
            <w:r>
              <w:rPr>
                <w:bCs/>
                <w:b/>
              </w:rPr>
              <w:t xml:space="preserve">Contenu</w:t>
            </w:r>
          </w:p>
        </w:tc>
      </w:tr>
      <w:tr>
        <w:tc>
          <w:tcPr/>
          <w:p>
            <w:pPr>
              <w:pStyle w:val="Compact"/>
              <w:jc w:val="left"/>
            </w:pPr>
            <w:r>
              <w:t xml:space="preserve">Découverte (officine)</w:t>
            </w:r>
          </w:p>
        </w:tc>
        <w:tc>
          <w:tcPr/>
          <w:p>
            <w:pPr>
              <w:pStyle w:val="Compact"/>
              <w:jc w:val="left"/>
            </w:pPr>
            <w:r>
              <w:t xml:space="preserve">Gratuit</w:t>
            </w:r>
          </w:p>
        </w:tc>
        <w:tc>
          <w:tcPr/>
          <w:p>
            <w:pPr>
              <w:pStyle w:val="Compact"/>
              <w:jc w:val="left"/>
            </w:pPr>
            <w:r>
              <w:t xml:space="preserve">Fiche officine visible, recherche patient, réservation simple, jusqu’à 200 références</w:t>
            </w:r>
          </w:p>
        </w:tc>
      </w:tr>
      <w:tr>
        <w:tc>
          <w:tcPr/>
          <w:p>
            <w:pPr>
              <w:pStyle w:val="Compact"/>
              <w:jc w:val="left"/>
            </w:pPr>
            <w:r>
              <w:t xml:space="preserve">Standard (officine)</w:t>
            </w:r>
          </w:p>
        </w:tc>
        <w:tc>
          <w:tcPr/>
          <w:p>
            <w:pPr>
              <w:pStyle w:val="Compact"/>
              <w:jc w:val="left"/>
            </w:pPr>
            <w:r>
              <w:t xml:space="preserve">À définir selon marché — facturation mensuelle</w:t>
            </w:r>
          </w:p>
        </w:tc>
        <w:tc>
          <w:tcPr/>
          <w:p>
            <w:pPr>
              <w:pStyle w:val="Compact"/>
              <w:jc w:val="left"/>
            </w:pPr>
            <w:r>
              <w:t xml:space="preserve">Gestion de stock par lot, FEFO, alertes intelligentes, tableau de bord, catalogue illimité</w:t>
            </w:r>
          </w:p>
        </w:tc>
      </w:tr>
      <w:tr>
        <w:tc>
          <w:tcPr/>
          <w:p>
            <w:pPr>
              <w:pStyle w:val="Compact"/>
              <w:jc w:val="left"/>
            </w:pPr>
            <w:r>
              <w:t xml:space="preserve">Pro (officine)</w:t>
            </w:r>
          </w:p>
        </w:tc>
        <w:tc>
          <w:tcPr/>
          <w:p>
            <w:pPr>
              <w:pStyle w:val="Compact"/>
              <w:jc w:val="left"/>
            </w:pPr>
            <w:r>
              <w:t xml:space="preserve">À définir selon marché — facturation mensuelle + commission marketplace</w:t>
            </w:r>
          </w:p>
        </w:tc>
        <w:tc>
          <w:tcPr/>
          <w:p>
            <w:pPr>
              <w:pStyle w:val="Compact"/>
              <w:jc w:val="left"/>
            </w:pPr>
            <w:r>
              <w:t xml:space="preserve">Tout Standard + IA de réapprovisionnement, marketplace B2B, multi-officines, API</w:t>
            </w:r>
          </w:p>
        </w:tc>
      </w:tr>
      <w:tr>
        <w:tc>
          <w:tcPr/>
          <w:p>
            <w:pPr>
              <w:pStyle w:val="Compact"/>
              <w:jc w:val="left"/>
            </w:pPr>
            <w:r>
              <w:t xml:space="preserve">À l’acte (CARE)</w:t>
            </w:r>
          </w:p>
        </w:tc>
        <w:tc>
          <w:tcPr/>
          <w:p>
            <w:pPr>
              <w:pStyle w:val="Compact"/>
              <w:jc w:val="left"/>
            </w:pPr>
            <w:r>
              <w:t xml:space="preserve">Frais de plateforme / commission de service par prestation</w:t>
            </w:r>
          </w:p>
        </w:tc>
        <w:tc>
          <w:tcPr/>
          <w:p>
            <w:pPr>
              <w:pStyle w:val="Compact"/>
              <w:jc w:val="left"/>
            </w:pPr>
            <w:r>
              <w:t xml:space="preserve">Téléconsultation, consultation à domicile, soins infirmiers — rémunération de l’acte séparée de toute vente de produit</w:t>
            </w:r>
          </w:p>
        </w:tc>
      </w:tr>
      <w:tr>
        <w:tc>
          <w:tcPr/>
          <w:p>
            <w:pPr>
              <w:pStyle w:val="Compact"/>
              <w:jc w:val="left"/>
            </w:pPr>
            <w:r>
              <w:t xml:space="preserve">PharmaConnect Family (diaspora)</w:t>
            </w:r>
          </w:p>
        </w:tc>
        <w:tc>
          <w:tcPr/>
          <w:p>
            <w:pPr>
              <w:pStyle w:val="Compact"/>
              <w:jc w:val="left"/>
            </w:pPr>
            <w:r>
              <w:t xml:space="preserve">Abonnement mensuel ou annuel par souscripteur</w:t>
            </w:r>
          </w:p>
        </w:tc>
        <w:tc>
          <w:tcPr/>
          <w:p>
            <w:pPr>
              <w:pStyle w:val="Compact"/>
              <w:jc w:val="left"/>
            </w:pPr>
            <w:r>
              <w:t xml:space="preserve">Suivi de plusieurs bénéficiaires, financement à distance, tarifs préférentiels, rappels, dossier familial</w:t>
            </w:r>
          </w:p>
        </w:tc>
      </w:tr>
      <w:tr>
        <w:tc>
          <w:tcPr/>
          <w:p>
            <w:pPr>
              <w:pStyle w:val="Compact"/>
              <w:jc w:val="left"/>
            </w:pPr>
            <w:r>
              <w:t xml:space="preserve">Entreprises</w:t>
            </w:r>
          </w:p>
        </w:tc>
        <w:tc>
          <w:tcPr/>
          <w:p>
            <w:pPr>
              <w:pStyle w:val="Compact"/>
              <w:jc w:val="left"/>
            </w:pPr>
            <w:r>
              <w:t xml:space="preserve">Contrat B2B annuel</w:t>
            </w:r>
          </w:p>
        </w:tc>
        <w:tc>
          <w:tcPr/>
          <w:p>
            <w:pPr>
              <w:pStyle w:val="Compact"/>
              <w:jc w:val="left"/>
            </w:pPr>
            <w:r>
              <w:t xml:space="preserve">Couverture santé pour salariés : téléconsultation, pharmacie, suivi, reporting agrégé anonymisé</w:t>
            </w:r>
          </w:p>
        </w:tc>
      </w:tr>
      <w:tr>
        <w:tc>
          <w:tcPr/>
          <w:p>
            <w:pPr>
              <w:pStyle w:val="Compact"/>
              <w:jc w:val="left"/>
            </w:pPr>
            <w:r>
              <w:t xml:space="preserve">API santé / Partenaires</w:t>
            </w:r>
          </w:p>
        </w:tc>
        <w:tc>
          <w:tcPr/>
          <w:p>
            <w:pPr>
              <w:pStyle w:val="Compact"/>
              <w:jc w:val="left"/>
            </w:pPr>
            <w:r>
              <w:t xml:space="preserve">Facturation à l’usage ou par abonnement</w:t>
            </w:r>
          </w:p>
        </w:tc>
        <w:tc>
          <w:tcPr/>
          <w:p>
            <w:pPr>
              <w:pStyle w:val="Compact"/>
              <w:jc w:val="left"/>
            </w:pPr>
            <w:r>
              <w:t xml:space="preserve">Accès programmatique au référentiel produit, à la disponibilité agrégée et aux services d’orientation, pour partenaires institutionnels et technologiques</w:t>
            </w:r>
          </w:p>
        </w:tc>
      </w:tr>
      <w:tr>
        <w:tc>
          <w:tcPr/>
          <w:p>
            <w:pPr>
              <w:pStyle w:val="Compact"/>
              <w:jc w:val="left"/>
            </w:pPr>
            <w:r>
              <w:t xml:space="preserve">Institutionnel / Régulateur</w:t>
            </w:r>
          </w:p>
        </w:tc>
        <w:tc>
          <w:tcPr/>
          <w:p>
            <w:pPr>
              <w:pStyle w:val="Compact"/>
              <w:jc w:val="left"/>
            </w:pPr>
            <w:r>
              <w:t xml:space="preserve">Accès conventionné</w:t>
            </w:r>
          </w:p>
        </w:tc>
        <w:tc>
          <w:tcPr/>
          <w:p>
            <w:pPr>
              <w:pStyle w:val="Compact"/>
              <w:jc w:val="left"/>
            </w:pPr>
            <w:r>
              <w:t xml:space="preserve">Module régulateur, reporting agrégé, diffusion des alertes de rappel</w:t>
            </w:r>
          </w:p>
        </w:tc>
      </w:tr>
    </w:tbl>
    <w:p>
      <w:pPr>
        <w:pStyle w:val="BodyText"/>
      </w:pPr>
      <w:r>
        <w:rPr>
          <w:bCs/>
          <w:b/>
        </w:rPr>
        <w:t xml:space="preserve">11. Feuille de route de déploiement</w:t>
      </w:r>
    </w:p>
    <w:p>
      <w:pPr>
        <w:pStyle w:val="BodyText"/>
      </w:pPr>
      <w:r>
        <w:t xml:space="preserve">La feuille de route retient délibérément un démarrage étroit et prudent — prouver l’usage pharmaceutique avant d’ouvrir la branche CARE — plutôt qu’un déploiement simultané des trois branches, jugé prématuré au regard de la validation réglementaire requise pour la télémédecine et les soins à domicile.</w:t>
      </w:r>
    </w:p>
    <w:p>
      <w:pPr>
        <w:pStyle w:val="BodyText"/>
      </w:pPr>
      <w:r>
        <w:rPr>
          <w:bCs/>
          <w:b/>
        </w:rPr>
        <w:t xml:space="preserve">11.1 Quatre phases stratégiques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Phase</w:t>
            </w:r>
          </w:p>
        </w:tc>
        <w:tc>
          <w:tcPr/>
          <w:p>
            <w:pPr>
              <w:pStyle w:val="Compact"/>
              <w:jc w:val="left"/>
            </w:pPr>
            <w:r>
              <w:rPr>
                <w:bCs/>
                <w:b/>
              </w:rPr>
              <w:t xml:space="preserve">Durée indicative</w:t>
            </w:r>
          </w:p>
        </w:tc>
        <w:tc>
          <w:tcPr/>
          <w:p>
            <w:pPr>
              <w:pStyle w:val="Compact"/>
              <w:jc w:val="left"/>
            </w:pPr>
            <w:r>
              <w:rPr>
                <w:bCs/>
                <w:b/>
              </w:rPr>
              <w:t xml:space="preserve">Contenu</w:t>
            </w:r>
          </w:p>
        </w:tc>
      </w:tr>
      <w:tr>
        <w:tc>
          <w:tcPr/>
          <w:p>
            <w:pPr>
              <w:pStyle w:val="Compact"/>
              <w:jc w:val="left"/>
            </w:pPr>
            <w:r>
              <w:t xml:space="preserve">Phase 1 — Guinée : preuve d’usage pharmaceutique</w:t>
            </w:r>
          </w:p>
        </w:tc>
        <w:tc>
          <w:tcPr/>
          <w:p>
            <w:pPr>
              <w:pStyle w:val="Compact"/>
              <w:jc w:val="left"/>
            </w:pPr>
            <w:r>
              <w:t xml:space="preserve">5-7 mois</w:t>
            </w:r>
          </w:p>
        </w:tc>
        <w:tc>
          <w:tcPr/>
          <w:p>
            <w:pPr>
              <w:pStyle w:val="Compact"/>
              <w:jc w:val="left"/>
            </w:pPr>
            <w:r>
              <w:t xml:space="preserve">V1 Recherche + disponibilité + réservation, V2 Gestion de stock officine (FEFO, lots, alertes) — objectif : prouver que les pharmacies sont prêtes à utiliser le système, sans complexité excessive</w:t>
            </w:r>
          </w:p>
        </w:tc>
      </w:tr>
      <w:tr>
        <w:tc>
          <w:tcPr/>
          <w:p>
            <w:pPr>
              <w:pStyle w:val="Compact"/>
              <w:jc w:val="left"/>
            </w:pPr>
            <w:r>
              <w:t xml:space="preserve">Phase 2 — Commerce, services &amp; CARE initial</w:t>
            </w:r>
          </w:p>
        </w:tc>
        <w:tc>
          <w:tcPr/>
          <w:p>
            <w:pPr>
              <w:pStyle w:val="Compact"/>
              <w:jc w:val="left"/>
            </w:pPr>
            <w:r>
              <w:t xml:space="preserve">6-9 mois</w:t>
            </w:r>
          </w:p>
        </w:tc>
        <w:tc>
          <w:tcPr/>
          <w:p>
            <w:pPr>
              <w:pStyle w:val="Compact"/>
              <w:jc w:val="left"/>
            </w:pPr>
            <w:r>
              <w:t xml:space="preserve">V3 Téléconsultation, V4 Médecin à domicile — paiement, livraison, ordonnance numérique, chat pharmacien, abonnement, statistiques, stock avancé</w:t>
            </w:r>
          </w:p>
        </w:tc>
      </w:tr>
      <w:tr>
        <w:tc>
          <w:tcPr/>
          <w:p>
            <w:pPr>
              <w:pStyle w:val="Compact"/>
              <w:jc w:val="left"/>
            </w:pPr>
            <w:r>
              <w:t xml:space="preserve">Phase 3 — Soins étendus &amp; B2B</w:t>
            </w:r>
          </w:p>
        </w:tc>
        <w:tc>
          <w:tcPr/>
          <w:p>
            <w:pPr>
              <w:pStyle w:val="Compact"/>
              <w:jc w:val="left"/>
            </w:pPr>
            <w:r>
              <w:t xml:space="preserve">6-9 mois</w:t>
            </w:r>
          </w:p>
        </w:tc>
        <w:tc>
          <w:tcPr/>
          <w:p>
            <w:pPr>
              <w:pStyle w:val="Compact"/>
              <w:jc w:val="left"/>
            </w:pPr>
            <w:r>
              <w:t xml:space="preserve">V5 Soins infirmiers à domicile + suivi, V6 Laboratoires et examens, V7 PharmaConnect Supply (marketplace B2B : appels d’offres, commandes groupées, comparaison, facturation)</w:t>
            </w:r>
          </w:p>
        </w:tc>
      </w:tr>
      <w:tr>
        <w:tc>
          <w:tcPr/>
          <w:p>
            <w:pPr>
              <w:pStyle w:val="Compact"/>
              <w:jc w:val="left"/>
            </w:pPr>
            <w:r>
              <w:t xml:space="preserve">Phase 4 — Confiance &amp; extension régionale</w:t>
            </w:r>
          </w:p>
        </w:tc>
        <w:tc>
          <w:tcPr/>
          <w:p>
            <w:pPr>
              <w:pStyle w:val="Compact"/>
              <w:jc w:val="left"/>
            </w:pPr>
            <w:r>
              <w:t xml:space="preserve">9-12 mois</w:t>
            </w:r>
          </w:p>
        </w:tc>
        <w:tc>
          <w:tcPr/>
          <w:p>
            <w:pPr>
              <w:pStyle w:val="Compact"/>
              <w:jc w:val="left"/>
            </w:pPr>
            <w:r>
              <w:t xml:space="preserve">V8 Traçabilité pharmaceutique renforcée (PharmaTrace), V9 Extension Afrique de l’Ouest (Sénégal, Côte d’Ivoire, Mali, Sierra Leone, Liberia, Ghana) avec adaptation réglementaire pays par pays</w:t>
            </w:r>
          </w:p>
        </w:tc>
      </w:tr>
    </w:tbl>
    <w:p>
      <w:pPr>
        <w:pStyle w:val="BodyText"/>
      </w:pPr>
      <w:r>
        <w:rPr>
          <w:bCs/>
          <w:b/>
        </w:rPr>
        <w:t xml:space="preserve">11.2 Jalons produit (V1 à V9)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Jalon</w:t>
            </w:r>
          </w:p>
        </w:tc>
        <w:tc>
          <w:tcPr/>
          <w:p>
            <w:pPr>
              <w:pStyle w:val="Compact"/>
              <w:jc w:val="left"/>
            </w:pPr>
            <w:r>
              <w:rPr>
                <w:bCs/>
                <w:b/>
              </w:rPr>
              <w:t xml:space="preserve">Contenu</w:t>
            </w:r>
          </w:p>
        </w:tc>
      </w:tr>
      <w:tr>
        <w:tc>
          <w:tcPr/>
          <w:p>
            <w:pPr>
              <w:pStyle w:val="Compact"/>
              <w:jc w:val="left"/>
            </w:pPr>
            <w:r>
              <w:t xml:space="preserve">V1</w:t>
            </w:r>
          </w:p>
        </w:tc>
        <w:tc>
          <w:tcPr/>
          <w:p>
            <w:pPr>
              <w:pStyle w:val="Compact"/>
              <w:jc w:val="left"/>
            </w:pPr>
            <w:r>
              <w:t xml:space="preserve">Recherche de pharmacies + disponibilité + réservation</w:t>
            </w:r>
          </w:p>
        </w:tc>
      </w:tr>
      <w:tr>
        <w:tc>
          <w:tcPr/>
          <w:p>
            <w:pPr>
              <w:pStyle w:val="Compact"/>
              <w:jc w:val="left"/>
            </w:pPr>
            <w:r>
              <w:t xml:space="preserve">V2</w:t>
            </w:r>
          </w:p>
        </w:tc>
        <w:tc>
          <w:tcPr/>
          <w:p>
            <w:pPr>
              <w:pStyle w:val="Compact"/>
              <w:jc w:val="left"/>
            </w:pPr>
            <w:r>
              <w:t xml:space="preserve">Gestion de stock pharmacie (lots, FEFO, alertes)</w:t>
            </w:r>
          </w:p>
        </w:tc>
      </w:tr>
      <w:tr>
        <w:tc>
          <w:tcPr/>
          <w:p>
            <w:pPr>
              <w:pStyle w:val="Compact"/>
              <w:jc w:val="left"/>
            </w:pPr>
            <w:r>
              <w:t xml:space="preserve">V3</w:t>
            </w:r>
          </w:p>
        </w:tc>
        <w:tc>
          <w:tcPr/>
          <w:p>
            <w:pPr>
              <w:pStyle w:val="Compact"/>
              <w:jc w:val="left"/>
            </w:pPr>
            <w:r>
              <w:t xml:space="preserve">Téléconsultation encadrée</w:t>
            </w:r>
          </w:p>
        </w:tc>
      </w:tr>
      <w:tr>
        <w:tc>
          <w:tcPr/>
          <w:p>
            <w:pPr>
              <w:pStyle w:val="Compact"/>
              <w:jc w:val="left"/>
            </w:pPr>
            <w:r>
              <w:t xml:space="preserve">V4</w:t>
            </w:r>
          </w:p>
        </w:tc>
        <w:tc>
          <w:tcPr/>
          <w:p>
            <w:pPr>
              <w:pStyle w:val="Compact"/>
              <w:jc w:val="left"/>
            </w:pPr>
            <w:r>
              <w:t xml:space="preserve">Médecin à domicile (HomeCare)</w:t>
            </w:r>
          </w:p>
        </w:tc>
      </w:tr>
      <w:tr>
        <w:tc>
          <w:tcPr/>
          <w:p>
            <w:pPr>
              <w:pStyle w:val="Compact"/>
              <w:jc w:val="left"/>
            </w:pPr>
            <w:r>
              <w:t xml:space="preserve">V5</w:t>
            </w:r>
          </w:p>
        </w:tc>
        <w:tc>
          <w:tcPr/>
          <w:p>
            <w:pPr>
              <w:pStyle w:val="Compact"/>
              <w:jc w:val="left"/>
            </w:pPr>
            <w:r>
              <w:t xml:space="preserve">Soins infirmiers à domicile + suivi</w:t>
            </w:r>
          </w:p>
        </w:tc>
      </w:tr>
      <w:tr>
        <w:tc>
          <w:tcPr/>
          <w:p>
            <w:pPr>
              <w:pStyle w:val="Compact"/>
              <w:jc w:val="left"/>
            </w:pPr>
            <w:r>
              <w:t xml:space="preserve">V6</w:t>
            </w:r>
          </w:p>
        </w:tc>
        <w:tc>
          <w:tcPr/>
          <w:p>
            <w:pPr>
              <w:pStyle w:val="Compact"/>
              <w:jc w:val="left"/>
            </w:pPr>
            <w:r>
              <w:t xml:space="preserve">Laboratoires + examens</w:t>
            </w:r>
          </w:p>
        </w:tc>
      </w:tr>
      <w:tr>
        <w:tc>
          <w:tcPr/>
          <w:p>
            <w:pPr>
              <w:pStyle w:val="Compact"/>
              <w:jc w:val="left"/>
            </w:pPr>
            <w:r>
              <w:t xml:space="preserve">V7</w:t>
            </w:r>
          </w:p>
        </w:tc>
        <w:tc>
          <w:tcPr/>
          <w:p>
            <w:pPr>
              <w:pStyle w:val="Compact"/>
              <w:jc w:val="left"/>
            </w:pPr>
            <w:r>
              <w:t xml:space="preserve">Marketplace B2B (PharmaConnect Supply)</w:t>
            </w:r>
          </w:p>
        </w:tc>
      </w:tr>
      <w:tr>
        <w:tc>
          <w:tcPr/>
          <w:p>
            <w:pPr>
              <w:pStyle w:val="Compact"/>
              <w:jc w:val="left"/>
            </w:pPr>
            <w:r>
              <w:t xml:space="preserve">V8</w:t>
            </w:r>
          </w:p>
        </w:tc>
        <w:tc>
          <w:tcPr/>
          <w:p>
            <w:pPr>
              <w:pStyle w:val="Compact"/>
              <w:jc w:val="left"/>
            </w:pPr>
            <w:r>
              <w:t xml:space="preserve">Traçabilité pharmaceutique renforcée (PharmaTrace)</w:t>
            </w:r>
          </w:p>
        </w:tc>
      </w:tr>
      <w:tr>
        <w:tc>
          <w:tcPr/>
          <w:p>
            <w:pPr>
              <w:pStyle w:val="Compact"/>
              <w:jc w:val="left"/>
            </w:pPr>
            <w:r>
              <w:t xml:space="preserve">V9</w:t>
            </w:r>
          </w:p>
        </w:tc>
        <w:tc>
          <w:tcPr/>
          <w:p>
            <w:pPr>
              <w:pStyle w:val="Compact"/>
              <w:jc w:val="left"/>
            </w:pPr>
            <w:r>
              <w:t xml:space="preserve">Extension Afrique de l’Ouest</w:t>
            </w:r>
          </w:p>
        </w:tc>
      </w:tr>
    </w:tbl>
    <w:p>
      <w:pPr>
        <w:pStyle w:val="BodyText"/>
      </w:pPr>
      <w:r>
        <w:rPr>
          <w:bCs/>
          <w:b/>
        </w:rPr>
        <w:t xml:space="preserve">12. Risques et mitigation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Catégorie</w:t>
            </w:r>
          </w:p>
        </w:tc>
        <w:tc>
          <w:tcPr/>
          <w:p>
            <w:pPr>
              <w:pStyle w:val="Compact"/>
              <w:jc w:val="left"/>
            </w:pPr>
            <w:r>
              <w:rPr>
                <w:bCs/>
                <w:b/>
              </w:rPr>
              <w:t xml:space="preserve">Risque</w:t>
            </w:r>
          </w:p>
        </w:tc>
        <w:tc>
          <w:tcPr/>
          <w:p>
            <w:pPr>
              <w:pStyle w:val="Compact"/>
              <w:jc w:val="left"/>
            </w:pPr>
            <w:r>
              <w:rPr>
                <w:bCs/>
                <w:b/>
              </w:rPr>
              <w:t xml:space="preserve">Niveau</w:t>
            </w:r>
          </w:p>
        </w:tc>
        <w:tc>
          <w:tcPr/>
          <w:p>
            <w:pPr>
              <w:pStyle w:val="Compact"/>
              <w:jc w:val="left"/>
            </w:pPr>
            <w:r>
              <w:rPr>
                <w:bCs/>
                <w:b/>
              </w:rPr>
              <w:t xml:space="preserve">Mitigation</w:t>
            </w:r>
          </w:p>
        </w:tc>
      </w:tr>
      <w:tr>
        <w:tc>
          <w:tcPr/>
          <w:p>
            <w:pPr>
              <w:pStyle w:val="Compact"/>
              <w:jc w:val="left"/>
            </w:pPr>
            <w:r>
              <w:t xml:space="preserve">Réglementaire (pharmacie)</w:t>
            </w:r>
          </w:p>
        </w:tc>
        <w:tc>
          <w:tcPr/>
          <w:p>
            <w:pPr>
              <w:pStyle w:val="Compact"/>
              <w:jc w:val="left"/>
            </w:pPr>
            <w:r>
              <w:t xml:space="preserve">Cadre pharmaceutique guinéen en cours de refonte (ateliers DNPM de mai 2026)</w:t>
            </w:r>
          </w:p>
        </w:tc>
        <w:tc>
          <w:tcPr/>
          <w:p>
            <w:pPr>
              <w:pStyle w:val="Compact"/>
              <w:jc w:val="left"/>
            </w:pPr>
            <w:r>
              <w:t xml:space="preserve">Élevé</w:t>
            </w:r>
          </w:p>
        </w:tc>
        <w:tc>
          <w:tcPr/>
          <w:p>
            <w:pPr>
              <w:pStyle w:val="Compact"/>
              <w:jc w:val="left"/>
            </w:pPr>
            <w:r>
              <w:t xml:space="preserve">Veille réglementaire continue, partenariat institutionnel précoce avec la DNPM et l’Ordre National des Pharmaciens</w:t>
            </w:r>
          </w:p>
        </w:tc>
      </w:tr>
      <w:tr>
        <w:tc>
          <w:tcPr/>
          <w:p>
            <w:pPr>
              <w:pStyle w:val="Compact"/>
              <w:jc w:val="left"/>
            </w:pPr>
            <w:r>
              <w:t xml:space="preserve">Réglementaire (télémédecine)</w:t>
            </w:r>
          </w:p>
        </w:tc>
        <w:tc>
          <w:tcPr/>
          <w:p>
            <w:pPr>
              <w:pStyle w:val="Compact"/>
              <w:jc w:val="left"/>
            </w:pPr>
            <w:r>
              <w:t xml:space="preserve">Absence, à ce jour, d’un cadre guinéen stabilisé pour la téléconsultation et les soins à domicile</w:t>
            </w:r>
          </w:p>
        </w:tc>
        <w:tc>
          <w:tcPr/>
          <w:p>
            <w:pPr>
              <w:pStyle w:val="Compact"/>
              <w:jc w:val="left"/>
            </w:pPr>
            <w:r>
              <w:t xml:space="preserve">Critique</w:t>
            </w:r>
          </w:p>
        </w:tc>
        <w:tc>
          <w:tcPr/>
          <w:p>
            <w:pPr>
              <w:pStyle w:val="Compact"/>
              <w:jc w:val="left"/>
            </w:pPr>
            <w:r>
              <w:t xml:space="preserve">Validation du modèle CARE avec les autorités sanitaires et les ordres professionnels avant commercialisation ; alignement sur la gouvernance recommandée par l’OMS (réglementation, sécurité, ressources humaines, infrastructure)</w:t>
            </w:r>
          </w:p>
        </w:tc>
      </w:tr>
      <w:tr>
        <w:tc>
          <w:tcPr/>
          <w:p>
            <w:pPr>
              <w:pStyle w:val="Compact"/>
              <w:jc w:val="left"/>
            </w:pPr>
            <w:r>
              <w:t xml:space="preserve">Médico-légal</w:t>
            </w:r>
          </w:p>
        </w:tc>
        <w:tc>
          <w:tcPr/>
          <w:p>
            <w:pPr>
              <w:pStyle w:val="Compact"/>
              <w:jc w:val="left"/>
            </w:pPr>
            <w:r>
              <w:t xml:space="preserve">Confusion possible entre information et conseil médical individualisé, ou entre triage et diagnostic</w:t>
            </w:r>
          </w:p>
        </w:tc>
        <w:tc>
          <w:tcPr/>
          <w:p>
            <w:pPr>
              <w:pStyle w:val="Compact"/>
              <w:jc w:val="left"/>
            </w:pPr>
            <w:r>
              <w:t xml:space="preserve">Critique</w:t>
            </w:r>
          </w:p>
        </w:tc>
        <w:tc>
          <w:tcPr/>
          <w:p>
            <w:pPr>
              <w:pStyle w:val="Compact"/>
              <w:jc w:val="left"/>
            </w:pPr>
            <w:r>
              <w:t xml:space="preserve">Séparation stricte des périmètres (Modules CNS, TRI), validation systématique par un professionnel, protocoles de triage validés médicalement et audités</w:t>
            </w:r>
          </w:p>
        </w:tc>
      </w:tr>
      <w:tr>
        <w:tc>
          <w:tcPr/>
          <w:p>
            <w:pPr>
              <w:pStyle w:val="Compact"/>
              <w:jc w:val="left"/>
            </w:pPr>
            <w:r>
              <w:t xml:space="preserve">Conflit d’intérêts</w:t>
            </w:r>
          </w:p>
        </w:tc>
        <w:tc>
          <w:tcPr/>
          <w:p>
            <w:pPr>
              <w:pStyle w:val="Compact"/>
              <w:jc w:val="left"/>
            </w:pPr>
            <w:r>
              <w:t xml:space="preserve">Incitation potentielle à prescrire ou à orienter vers des soins additionnels pour maximiser le revenu du professionnel ou de la plateforme</w:t>
            </w:r>
          </w:p>
        </w:tc>
        <w:tc>
          <w:tcPr/>
          <w:p>
            <w:pPr>
              <w:pStyle w:val="Compact"/>
              <w:jc w:val="left"/>
            </w:pPr>
            <w:r>
              <w:t xml:space="preserve">Critique</w:t>
            </w:r>
          </w:p>
        </w:tc>
        <w:tc>
          <w:tcPr/>
          <w:p>
            <w:pPr>
              <w:pStyle w:val="Compact"/>
              <w:jc w:val="left"/>
            </w:pPr>
            <w:r>
              <w:t xml:space="preserve">Rémunération de l’acte médical strictement indépendante du volume de prescriptions ou de ventes générées (RG-HOM-02) ; séparation contractuelle des rôles consultation / prescription / pharmacie / livraison</w:t>
            </w:r>
          </w:p>
        </w:tc>
      </w:tr>
      <w:tr>
        <w:tc>
          <w:tcPr/>
          <w:p>
            <w:pPr>
              <w:pStyle w:val="Compact"/>
              <w:jc w:val="left"/>
            </w:pPr>
            <w:r>
              <w:t xml:space="preserve">Qualité des données</w:t>
            </w:r>
          </w:p>
        </w:tc>
        <w:tc>
          <w:tcPr/>
          <w:p>
            <w:pPr>
              <w:pStyle w:val="Compact"/>
              <w:jc w:val="left"/>
            </w:pPr>
            <w:r>
              <w:t xml:space="preserve">Référentiel produit incomplet ou incohérent au lancement</w:t>
            </w:r>
          </w:p>
        </w:tc>
        <w:tc>
          <w:tcPr/>
          <w:p>
            <w:pPr>
              <w:pStyle w:val="Compact"/>
              <w:jc w:val="left"/>
            </w:pPr>
            <w:r>
              <w:t xml:space="preserve">Moyen</w:t>
            </w:r>
          </w:p>
        </w:tc>
        <w:tc>
          <w:tcPr/>
          <w:p>
            <w:pPr>
              <w:pStyle w:val="Compact"/>
              <w:jc w:val="left"/>
            </w:pPr>
            <w:r>
              <w:t xml:space="preserve">Import initial supervisé, back-office de validation, partenariat avec grossistes pour la donnée source</w:t>
            </w:r>
          </w:p>
        </w:tc>
      </w:tr>
      <w:tr>
        <w:tc>
          <w:tcPr/>
          <w:p>
            <w:pPr>
              <w:pStyle w:val="Compact"/>
              <w:jc w:val="left"/>
            </w:pPr>
            <w:r>
              <w:t xml:space="preserve">Adoption officines</w:t>
            </w:r>
          </w:p>
        </w:tc>
        <w:tc>
          <w:tcPr/>
          <w:p>
            <w:pPr>
              <w:pStyle w:val="Compact"/>
              <w:jc w:val="left"/>
            </w:pPr>
            <w:r>
              <w:t xml:space="preserve">Résistance au changement de pratiques (saisie, scan systématique)</w:t>
            </w:r>
          </w:p>
        </w:tc>
        <w:tc>
          <w:tcPr/>
          <w:p>
            <w:pPr>
              <w:pStyle w:val="Compact"/>
              <w:jc w:val="left"/>
            </w:pPr>
            <w:r>
              <w:t xml:space="preserve">Élevé</w:t>
            </w:r>
          </w:p>
        </w:tc>
        <w:tc>
          <w:tcPr/>
          <w:p>
            <w:pPr>
              <w:pStyle w:val="Compact"/>
              <w:jc w:val="left"/>
            </w:pPr>
            <w:r>
              <w:t xml:space="preserve">Interface simplifiée, accompagnement terrain, valeur immédiate (visibilité, financement)</w:t>
            </w:r>
          </w:p>
        </w:tc>
      </w:tr>
      <w:tr>
        <w:tc>
          <w:tcPr/>
          <w:p>
            <w:pPr>
              <w:pStyle w:val="Compact"/>
              <w:jc w:val="left"/>
            </w:pPr>
            <w:r>
              <w:t xml:space="preserve">Fraude &amp; contrefaçon</w:t>
            </w:r>
          </w:p>
        </w:tc>
        <w:tc>
          <w:tcPr/>
          <w:p>
            <w:pPr>
              <w:pStyle w:val="Compact"/>
              <w:jc w:val="left"/>
            </w:pPr>
            <w:r>
              <w:t xml:space="preserve">Produits falsifiés introduits malgré les contrôles</w:t>
            </w:r>
          </w:p>
        </w:tc>
        <w:tc>
          <w:tcPr/>
          <w:p>
            <w:pPr>
              <w:pStyle w:val="Compact"/>
              <w:jc w:val="left"/>
            </w:pPr>
            <w:r>
              <w:t xml:space="preserve">Élevé</w:t>
            </w:r>
          </w:p>
        </w:tc>
        <w:tc>
          <w:tcPr/>
          <w:p>
            <w:pPr>
              <w:pStyle w:val="Compact"/>
              <w:jc w:val="left"/>
            </w:pPr>
            <w:r>
              <w:t xml:space="preserve">Traçabilité par lot, signalement patient, partenariat avec solution d’authentification portable</w:t>
            </w:r>
          </w:p>
        </w:tc>
      </w:tr>
      <w:tr>
        <w:tc>
          <w:tcPr/>
          <w:p>
            <w:pPr>
              <w:pStyle w:val="Compact"/>
              <w:jc w:val="left"/>
            </w:pPr>
            <w:r>
              <w:t xml:space="preserve">Connectivité</w:t>
            </w:r>
          </w:p>
        </w:tc>
        <w:tc>
          <w:tcPr/>
          <w:p>
            <w:pPr>
              <w:pStyle w:val="Compact"/>
              <w:jc w:val="left"/>
            </w:pPr>
            <w:r>
              <w:t xml:space="preserve">Couverture réseau irrégulière en zone rurale</w:t>
            </w:r>
          </w:p>
        </w:tc>
        <w:tc>
          <w:tcPr/>
          <w:p>
            <w:pPr>
              <w:pStyle w:val="Compact"/>
              <w:jc w:val="left"/>
            </w:pPr>
            <w:r>
              <w:t xml:space="preserve">Moyen</w:t>
            </w:r>
          </w:p>
        </w:tc>
        <w:tc>
          <w:tcPr/>
          <w:p>
            <w:pPr>
              <w:pStyle w:val="Compact"/>
              <w:jc w:val="left"/>
            </w:pPr>
            <w:r>
              <w:t xml:space="preserve">Architecture offline-first pour la saisie de stock et la synchronisation différée, cohérente avec l’approche déjà retenue pour Ecclesias 360 et EduRéussite</w:t>
            </w:r>
          </w:p>
        </w:tc>
      </w:tr>
      <w:tr>
        <w:tc>
          <w:tcPr/>
          <w:p>
            <w:pPr>
              <w:pStyle w:val="Compact"/>
              <w:jc w:val="left"/>
            </w:pPr>
            <w:r>
              <w:t xml:space="preserve">Données de santé sensibles</w:t>
            </w:r>
          </w:p>
        </w:tc>
        <w:tc>
          <w:tcPr/>
          <w:p>
            <w:pPr>
              <w:pStyle w:val="Compact"/>
              <w:jc w:val="left"/>
            </w:pPr>
            <w:r>
              <w:t xml:space="preserve">Risque accru de violation de confidentialité avec l’extension au dossier de santé numérique et au télésuivi</w:t>
            </w:r>
          </w:p>
        </w:tc>
        <w:tc>
          <w:tcPr/>
          <w:p>
            <w:pPr>
              <w:pStyle w:val="Compact"/>
              <w:jc w:val="left"/>
            </w:pPr>
            <w:r>
              <w:t xml:space="preserve">Critique</w:t>
            </w:r>
          </w:p>
        </w:tc>
        <w:tc>
          <w:tcPr/>
          <w:p>
            <w:pPr>
              <w:pStyle w:val="Compact"/>
              <w:jc w:val="left"/>
            </w:pPr>
            <w:r>
              <w:t xml:space="preserve">Chiffrement systématique, consentement granulaire et révocable, journalisation infalsifiable des accès (Modules DSN, SEC)</w:t>
            </w:r>
          </w:p>
        </w:tc>
      </w:tr>
      <w:tr>
        <w:tc>
          <w:tcPr/>
          <w:p>
            <w:pPr>
              <w:pStyle w:val="Compact"/>
              <w:jc w:val="left"/>
            </w:pPr>
            <w:r>
              <w:t xml:space="preserve">Extension multi-pays</w:t>
            </w:r>
          </w:p>
        </w:tc>
        <w:tc>
          <w:tcPr/>
          <w:p>
            <w:pPr>
              <w:pStyle w:val="Compact"/>
              <w:jc w:val="left"/>
            </w:pPr>
            <w:r>
              <w:t xml:space="preserve">Hétérogénéité des cadres réglementaires, monnaies et référentiels médicaux entre pays CEDEAO</w:t>
            </w:r>
          </w:p>
        </w:tc>
        <w:tc>
          <w:tcPr/>
          <w:p>
            <w:pPr>
              <w:pStyle w:val="Compact"/>
              <w:jc w:val="left"/>
            </w:pPr>
            <w:r>
              <w:t xml:space="preserve">Moyen</w:t>
            </w:r>
          </w:p>
        </w:tc>
        <w:tc>
          <w:tcPr/>
          <w:p>
            <w:pPr>
              <w:pStyle w:val="Compact"/>
              <w:jc w:val="left"/>
            </w:pPr>
            <w:r>
              <w:t xml:space="preserve">GSG Referential et Referential Engine du noyau consommés dès la conception (pays, devise, langue, réglementation pharmaceutique par pays), contextualisation du référentiel produit par pays, déploiement pays par pays plutôt que simultané</w:t>
            </w:r>
          </w:p>
        </w:tc>
      </w:tr>
    </w:tbl>
    <w:p>
      <w:pPr>
        <w:pStyle w:val="BodyText"/>
      </w:pPr>
      <w:r>
        <w:rPr>
          <w:bCs/>
          <w:b/>
        </w:rPr>
        <w:t xml:space="preserve">13. Conclusion</w:t>
      </w:r>
    </w:p>
    <w:p>
      <w:pPr>
        <w:pStyle w:val="BodyText"/>
      </w:pPr>
      <w:r>
        <w:t xml:space="preserve">PharmaConnect dépasse le cadre d’un simple annuaire de disponibilité pour se positionner comme l’infrastructure numérique de confiance du circuit pharmaceutique et des soins de proximité en Guinée, puis en Afrique de l’Ouest. Sa différenciation ne repose pas sur une fonctionnalité isolée mais sur la combinaison inédite, au sein d’un même socle technique, de la recherche patient en temps réel, de la gestion de stock FEFO par lot, de l’intelligence de réapprovisionnement, de la traçabilité anti-contrefaçon, du financement des officines et de l’interconnexion native à l’écosystème GSG.</w:t>
      </w:r>
    </w:p>
    <w:p>
      <w:pPr>
        <w:pStyle w:val="BodyText"/>
      </w:pPr>
      <w:r>
        <w:t xml:space="preserve">La version 2.0 de ce cahier assume un changement d’échelle délibéré : de la branche CONNECT PHARMA seule vers une infrastructure à trois branches — CONNECT PHARMA, CONNECT CARE, CONNECT SUPPLY — unifiées par une couche transversale PharmaConnect Intelligence et un principe non négociable, décliné en règles de gestion critiques dans chaque module concerné : l’intelligence artificielle informe, oriente et assiste ; le professionnel de santé décide seul. Ce changement d’échelle s’accompagne volontairement d’un déploiement prudent et séquencé (V1 à V9), qui commence par la preuve d’usage pharmaceutique en Guinée avant d’ouvrir la télémédecine, les soins à domicile, puis le marché diaspora et l’extension régionale — chacune de ces étapes étant conditionnée à une validation explicite avec les autorités sanitaires et les ordres professionnels compétents.</w:t>
      </w:r>
    </w:p>
    <w:p>
      <w:pPr>
        <w:pStyle w:val="BodyText"/>
      </w:pPr>
      <w:r>
        <w:t xml:space="preserve">Le contexte guinéen, marqué par une volonté affirmée de digitalisation, de refonte du cadre pharmaceutique et de souveraineté sanitaire, offre une fenêtre d’opportunité réelle pour construire, en partenariat avec les autorités sanitaires, un standard de référence pour la région : non pas une application de plus, mais le système d’exploitation numérique du circuit de santé pharmaceutique et de proximité ouest-africain.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2026-09-06T03:24:52Z</dcterms:created>
  <dcterms:modified xsi:type="dcterms:W3CDTF">2026-09-06T03:24:52Z</dcterms:modified>
</cp:coreProperties>
</file>

<file path=docProps/custom.xml><?xml version="1.0" encoding="utf-8"?>
<Properties xmlns="http://schemas.openxmlformats.org/officeDocument/2006/custom-properties" xmlns:vt="http://schemas.openxmlformats.org/officeDocument/2006/docPropsVTypes"/>
</file>