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GLOBAL SERVICE GROUPE</w:t>
      </w:r>
    </w:p>
    <w:p>
      <w:pPr>
        <w:pStyle w:val="BodyText"/>
      </w:pPr>
      <w:r>
        <w:rPr>
          <w:bCs/>
          <w:b/>
        </w:rPr>
        <w:t xml:space="preserve">CAHIER DE CONCEPTION</w:t>
      </w:r>
    </w:p>
    <w:p>
      <w:pPr>
        <w:pStyle w:val="BodyText"/>
      </w:pPr>
      <w:r>
        <w:rPr>
          <w:bCs/>
          <w:b/>
        </w:rPr>
        <w:t xml:space="preserve">GSG Platform Kernel</w:t>
      </w:r>
    </w:p>
    <w:p>
      <w:pPr>
        <w:pStyle w:val="BodyText"/>
      </w:pPr>
      <w:r>
        <w:rPr>
          <w:iCs/>
          <w:i/>
        </w:rPr>
        <w:t xml:space="preserve">Le socle générique d’interconnexion et de référentiel commun du portefeuille GSG — identité, organisations, produits, référentiel pays/devise/langue, moteur de variation structurelle, événements, audit</w:t>
      </w:r>
    </w:p>
    <w:p>
      <w:pPr>
        <w:pStyle w:val="BodyText"/>
      </w:pPr>
      <w:r>
        <w:rPr>
          <w:bCs/>
          <w:b/>
        </w:rPr>
        <w:t xml:space="preserve">Version 3.0 — Document zéro-legacy : rédigé comme si aucun produit du portefeuille n’était encore entamé. Fusion du référentiel GSG Core et du Cadre de Référence Multi-Pays, élévation du méta-modèle générique en service du noyau (GSG Referential Engine), tranchée sur la convention de nommage, méthodologie d’intégration native généralisée à tout le portefeuille</w:t>
      </w:r>
    </w:p>
    <w:p>
      <w:pPr>
        <w:pStyle w:val="BodyText"/>
      </w:pPr>
      <w:r>
        <w:t xml:space="preserve">Date : 19 août 2026</w:t>
      </w:r>
    </w:p>
    <w:p>
      <w:pPr>
        <w:pStyle w:val="BodyText"/>
      </w:pPr>
      <w:r>
        <w:rPr>
          <w:iCs/>
          <w:i/>
        </w:rPr>
        <w:t xml:space="preserve">Ce document ne rattache le noyau à aucune application spécifique — il est le socle générique de l’ensemble du portefeuille.</w:t>
      </w:r>
    </w:p>
    <w:bookmarkStart w:id="20" w:name="sommaire"/>
    <w:p>
      <w:pPr>
        <w:pStyle w:val="Heading1"/>
      </w:pPr>
      <w:r>
        <w:rPr>
          <w:bCs/>
          <w:b/>
        </w:rPr>
        <w:t xml:space="preserve">Sommaire</w:t>
      </w:r>
    </w:p>
    <w:p>
      <w:pPr>
        <w:pStyle w:val="FirstParagraph"/>
      </w:pPr>
      <w:r>
        <w:t xml:space="preserve">Note de version — réponse aux deux questions posées</w:t>
      </w:r>
    </w:p>
    <w:p>
      <w:pPr>
        <w:numPr>
          <w:ilvl w:val="0"/>
          <w:numId w:val="1001"/>
        </w:numPr>
      </w:pPr>
      <w:r>
        <w:t xml:space="preserve">Vision et principes du noyau</w:t>
      </w:r>
    </w:p>
    <w:p>
      <w:pPr>
        <w:numPr>
          <w:ilvl w:val="0"/>
          <w:numId w:val="1001"/>
        </w:numPr>
      </w:pPr>
      <w:r>
        <w:t xml:space="preserve">Architecture générale</w:t>
      </w:r>
    </w:p>
    <w:p>
      <w:pPr>
        <w:numPr>
          <w:ilvl w:val="0"/>
          <w:numId w:val="1001"/>
        </w:numPr>
      </w:pPr>
      <w:r>
        <w:t xml:space="preserve">GSG ID — identité et authentification fédérée</w:t>
      </w:r>
    </w:p>
    <w:p>
      <w:pPr>
        <w:numPr>
          <w:ilvl w:val="0"/>
          <w:numId w:val="1001"/>
        </w:numPr>
      </w:pPr>
      <w:r>
        <w:t xml:space="preserve">Registre central des organisations clientes</w:t>
      </w:r>
    </w:p>
    <w:p>
      <w:pPr>
        <w:numPr>
          <w:ilvl w:val="0"/>
          <w:numId w:val="1001"/>
        </w:numPr>
      </w:pPr>
      <w:r>
        <w:t xml:space="preserve">Registre central des produits GSG</w:t>
      </w:r>
    </w:p>
    <w:p>
      <w:pPr>
        <w:numPr>
          <w:ilvl w:val="0"/>
          <w:numId w:val="1001"/>
        </w:numPr>
      </w:pPr>
      <w:r>
        <w:t xml:space="preserve">GSG Referential — pays, devises, langues, blocs régionaux</w:t>
      </w:r>
    </w:p>
    <w:p>
      <w:pPr>
        <w:numPr>
          <w:ilvl w:val="0"/>
          <w:numId w:val="1001"/>
        </w:numPr>
      </w:pPr>
      <w:r>
        <w:t xml:space="preserve">GSG Referential — unités administratives et villes</w:t>
      </w:r>
    </w:p>
    <w:p>
      <w:pPr>
        <w:numPr>
          <w:ilvl w:val="0"/>
          <w:numId w:val="1001"/>
        </w:numPr>
      </w:pPr>
      <w:r>
        <w:t xml:space="preserve">GSG Referential Engine — méta-modèle générique par domaine</w:t>
      </w:r>
    </w:p>
    <w:p>
      <w:pPr>
        <w:numPr>
          <w:ilvl w:val="0"/>
          <w:numId w:val="1001"/>
        </w:numPr>
      </w:pPr>
      <w:r>
        <w:t xml:space="preserve">Héritage des paramètres régionaux</w:t>
      </w:r>
    </w:p>
    <w:p>
      <w:pPr>
        <w:numPr>
          <w:ilvl w:val="0"/>
          <w:numId w:val="1001"/>
        </w:numPr>
      </w:pPr>
      <w:r>
        <w:t xml:space="preserve">AppConfig et consommation côté client</w:t>
      </w:r>
    </w:p>
    <w:p>
      <w:pPr>
        <w:numPr>
          <w:ilvl w:val="0"/>
          <w:numId w:val="1001"/>
        </w:numPr>
      </w:pPr>
      <w:r>
        <w:t xml:space="preserve">Bus d’événements inter-produits</w:t>
      </w:r>
    </w:p>
    <w:p>
      <w:pPr>
        <w:numPr>
          <w:ilvl w:val="0"/>
          <w:numId w:val="1001"/>
        </w:numPr>
      </w:pPr>
      <w:r>
        <w:t xml:space="preserve">Audit et gouvernance des données inter-produits</w:t>
      </w:r>
    </w:p>
    <w:p>
      <w:pPr>
        <w:numPr>
          <w:ilvl w:val="0"/>
          <w:numId w:val="1001"/>
        </w:numPr>
      </w:pPr>
      <w:r>
        <w:t xml:space="preserve">Facturation unifiée (brique différée par défaut)</w:t>
      </w:r>
    </w:p>
    <w:p>
      <w:pPr>
        <w:numPr>
          <w:ilvl w:val="0"/>
          <w:numId w:val="1001"/>
        </w:numPr>
      </w:pPr>
      <w:r>
        <w:t xml:space="preserve">Design System GSG (brique cosmétique, non urgente)</w:t>
      </w:r>
    </w:p>
    <w:p>
      <w:pPr>
        <w:numPr>
          <w:ilvl w:val="0"/>
          <w:numId w:val="1001"/>
        </w:numPr>
      </w:pPr>
      <w:r>
        <w:t xml:space="preserve">Méthodologie d’intégration native et d’intégration a posteriori</w:t>
      </w:r>
    </w:p>
    <w:p>
      <w:pPr>
        <w:numPr>
          <w:ilvl w:val="0"/>
          <w:numId w:val="1001"/>
        </w:numPr>
      </w:pPr>
      <w:r>
        <w:t xml:space="preserve">Convention de nommage et table de correspondance</w:t>
      </w:r>
    </w:p>
    <w:p>
      <w:pPr>
        <w:numPr>
          <w:ilvl w:val="0"/>
          <w:numId w:val="1001"/>
        </w:numPr>
      </w:pPr>
      <w:r>
        <w:t xml:space="preserve">Feuille de route de déploiement du noyau</w:t>
      </w:r>
    </w:p>
    <w:p>
      <w:pPr>
        <w:numPr>
          <w:ilvl w:val="0"/>
          <w:numId w:val="1001"/>
        </w:numPr>
      </w:pPr>
      <w:r>
        <w:t xml:space="preserve">Impact attendu</w:t>
      </w:r>
    </w:p>
    <w:p>
      <w:pPr>
        <w:numPr>
          <w:ilvl w:val="0"/>
          <w:numId w:val="1001"/>
        </w:numPr>
      </w:pPr>
      <w:r>
        <w:t xml:space="preserve">Gabarit d’intégration Kernel pour les cahiers de conception produits</w:t>
      </w:r>
    </w:p>
    <w:bookmarkEnd w:id="20"/>
    <w:bookmarkStart w:id="21" w:name="X3333cf9f95bab29acb8a2bd0bfc6ea19c509475"/>
    <w:p>
      <w:pPr>
        <w:pStyle w:val="Heading1"/>
      </w:pPr>
      <w:r>
        <w:rPr>
          <w:bCs/>
          <w:b/>
        </w:rPr>
        <w:t xml:space="preserve">Note de version — réponse aux deux questions posées</w:t>
      </w:r>
    </w:p>
    <w:p>
      <w:pPr>
        <w:pStyle w:val="FirstParagraph"/>
      </w:pPr>
      <w:r>
        <w:rPr>
          <w:iCs/>
          <w:i/>
        </w:rPr>
        <w:t xml:space="preserve">Question 1 : le GSG Platform Kernel v1.1 et le Cadre de Référence Multi-Pays ont-ils été conçus ensemble ? Réponse : non — voir la fusion opérée ci-dessous. Question 2 : le cahier Kernel doit-il rester écrit comme si un projet (EcoShop) était déjà entamé ? Réponse : non — cette version 3.0 est un document zéro-legacy, et le sort d’EcoShop est traité à part, dans un document de migration dédié.</w:t>
      </w:r>
    </w:p>
    <w:p>
      <w:pPr>
        <w:pStyle w:val="BodyText"/>
      </w:pPr>
      <w:r>
        <w:t xml:space="preserve">Les deux documents sources ont été produits indépendamment, à des moments différents, sans référence croisée. La section « GSG Core » du Kernel v1.1 définissait son propre référentiel géographique, monétaire et linguistique — tables countries, currencies, languages, locales, en anglais, alignées sur ISO 3166-1 / ISO 4217 / ISO 639-1 / BCP 47. Le Cadre de Référence Multi-Pays, extrait et généralisé à partir du référentiel pédagogique d’EduRéussite, définissait de son côté un référentiel distinct — tables pays, devise, langue, bloc_regional, en français, également aligné sur les mêmes standards ISO, mais avec un schéma différent et un apport que GSG Core n’avait pas : un méta-modèle générique (referentiel_hierarchique, referentiel_regle, corpus_versionne, corpus_element) capable de modéliser n’importe quelle variation structurelle entre pays, dans n’importe quel domaine métier.</w:t>
      </w:r>
    </w:p>
    <w:p>
      <w:pPr>
        <w:pStyle w:val="BodyText"/>
      </w:pPr>
      <w:r>
        <w:t xml:space="preserve">Le résultat de cette absence de coordination était concret et sérieux : deux schémas concurrents pour la même donnée pivot (le pays, sa devise, sa langue), deux conventions de nommage incompatibles à l’endroit précis du système censé garantir la cohérence entre tous les produits GSG, et l’outil le plus puissant du Cadre — le moteur générique — relégué au rang de méthodologie à « consulter » plutôt qu’intégré comme un service que les produits appellent réellement. La version 2.0 de ce document a corrigé ce point par trois décisions, conservées et récapitulées ci-dessous.</w:t>
      </w:r>
    </w:p>
    <w:p>
      <w:pPr>
        <w:numPr>
          <w:ilvl w:val="0"/>
          <w:numId w:val="1002"/>
        </w:numPr>
      </w:pPr>
      <w:r>
        <w:t xml:space="preserve">Fusion du référentiel pays/devise/langue/bloc régional : le Cadre de Référence Multi-Pays devient l’unique source ; les apports réels de GSG Core qui manquaient au Cadre (précision monétaire en unité mineure, taux de change, gabarit d’adresse, unités administratives, villes, locales BCP 47, traductions, chaîne d’héritage, AppConfig) sont conservés mais rattachés à ce référentiel unique.</w:t>
      </w:r>
    </w:p>
    <w:p>
      <w:pPr>
        <w:numPr>
          <w:ilvl w:val="0"/>
          <w:numId w:val="1002"/>
        </w:numPr>
      </w:pPr>
      <w:r>
        <w:t xml:space="preserve">Élévation du méta-modèle générique en service officiel du noyau — le GSG Referential Engine — exposé par adaptateur au même titre que GSG ID ou le bus d’événements, et non plus décrit comme un document que chaque cahier doit consulter de son côté.</w:t>
      </w:r>
    </w:p>
    <w:p>
      <w:pPr>
        <w:numPr>
          <w:ilvl w:val="0"/>
          <w:numId w:val="1002"/>
        </w:numPr>
      </w:pPr>
      <w:r>
        <w:t xml:space="preserve">Convention de nommage tranchée : le français pour le référentiel métier partagé (aligné sur le Cadre et sur l’ensemble des cahiers déjà rédigés), l’anglais conservé uniquement pour l’infrastructure technique générique (services, identifiants, API).</w:t>
      </w:r>
    </w:p>
    <w:p>
      <w:pPr>
        <w:pStyle w:val="FirstParagraph"/>
      </w:pPr>
      <w:r>
        <w:t xml:space="preserve">Cette version 3.0 ajoute une quatrième décision, distincte et tout aussi structurante : le cahier Kernel ne doit plus jamais être écrit en fonction de l’état d’avancement d’un produit particulier — y compris EcoShop, seul projet du portefeuille entamé à ce jour. L’ancienne section « Stratégie de rétro-intégration », qui consacrait un cas d’école EcoShop au cœur même du socle générique, est remplacée par une méthodologie d’intégration réutilisable pour tout produit, présente ou futur (section 15). La question spécifique d’EcoShop — a posteriori léger ou migration complète — est tranchée séparément, dans un document de migration propre à ce produit, qui ne fait pas partie du présent cahier. De même, chaque cahier de conception produit doit désormais intégrer nativement, dès sa rédaction, une section décrivant les briques du noyau qu’il consomme, selon un gabarit commun — voir la note de clôture en fin de document.</w:t>
      </w:r>
    </w:p>
    <w:p>
      <w:pPr>
        <w:pStyle w:val="BodyText"/>
      </w:pPr>
      <w:r>
        <w:t xml:space="preserve">Le reste de l’architecture du noyau — GSG ID, Org Registry, bus d’événements, audit, facturation différée, Design System — est repris sans changement de fond, ajusté uniquement pour la cohérence terminologique avec les décisions ci-dessus.</w:t>
      </w:r>
    </w:p>
    <w:bookmarkEnd w:id="21"/>
    <w:bookmarkStart w:id="22" w:name="vision-et-principes-du-noyau"/>
    <w:p>
      <w:pPr>
        <w:pStyle w:val="Heading1"/>
      </w:pPr>
      <w:r>
        <w:rPr>
          <w:bCs/>
          <w:b/>
        </w:rPr>
        <w:t xml:space="preserve">1. Vision et principes du noyau</w:t>
      </w:r>
    </w:p>
    <w:p>
      <w:pPr>
        <w:pStyle w:val="FirstParagraph"/>
      </w:pPr>
      <w:r>
        <w:t xml:space="preserve">Le GSG Platform Kernel n’est pas un produit vendu au client final : c’est une couche d’infrastructure interne partagée par l’ensemble du portefeuille GSG, quel qu’il soit — actuel ou futur. Son unique raison d’être est d’éviter que chaque produit ne réimplémente séparément l’authentification, la gestion des organisations, le référentiel pays/devise/langue, la modélisation des variations structurelles inter-pays, l’audit et les mécanismes transverses déjà nécessaires dans chacun des cahiers existants.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KER-VIS-01</w:t>
            </w:r>
          </w:p>
        </w:tc>
        <w:tc>
          <w:tcPr/>
          <w:p>
            <w:pPr>
              <w:pStyle w:val="Compact"/>
              <w:jc w:val="left"/>
            </w:pPr>
            <w:r>
              <w:t xml:space="preserve">Le noyau doit toujours être intégré de façon additive aux produits existants : jamais de refonte du système d’authentification, du schéma de données ou de la logique métier déjà en production, sauf décision commerciale explicite et motivée.</w:t>
            </w:r>
          </w:p>
        </w:tc>
      </w:tr>
      <w:tr>
        <w:tc>
          <w:tcPr/>
          <w:p>
            <w:pPr>
              <w:pStyle w:val="Compact"/>
              <w:jc w:val="left"/>
            </w:pPr>
            <w:r>
              <w:rPr>
                <w:bCs/>
                <w:b/>
              </w:rPr>
              <w:t xml:space="preserve">KER-VIS-02</w:t>
            </w:r>
          </w:p>
        </w:tc>
        <w:tc>
          <w:tcPr/>
          <w:p>
            <w:pPr>
              <w:pStyle w:val="Compact"/>
              <w:jc w:val="left"/>
            </w:pPr>
            <w:r>
              <w:t xml:space="preserve">Chaque produit GSG conserve sa propre base de données et son autonomie technique complète ; seules l’identité, les métadonnées d’organisation, le référentiel partagé, les événements et l’audit peuvent traverser les frontières entre produits.</w:t>
            </w:r>
          </w:p>
        </w:tc>
      </w:tr>
      <w:tr>
        <w:tc>
          <w:tcPr/>
          <w:p>
            <w:pPr>
              <w:pStyle w:val="Compact"/>
              <w:jc w:val="left"/>
            </w:pPr>
            <w:r>
              <w:rPr>
                <w:bCs/>
                <w:b/>
              </w:rPr>
              <w:t xml:space="preserve">KER-VIS-03</w:t>
            </w:r>
          </w:p>
        </w:tc>
        <w:tc>
          <w:tcPr/>
          <w:p>
            <w:pPr>
              <w:pStyle w:val="Compact"/>
              <w:jc w:val="left"/>
            </w:pPr>
            <w:r>
              <w:t xml:space="preserve">Le noyau doit être conçu pour fonctionner avec des bases de données hétérogènes selon les produits (PostgreSQL, Firestore, etc.), exclusivement via des API et des événements — jamais par accès direct d’un produit à la base de données d’un autre.</w:t>
            </w:r>
          </w:p>
        </w:tc>
      </w:tr>
      <w:tr>
        <w:tc>
          <w:tcPr/>
          <w:p>
            <w:pPr>
              <w:pStyle w:val="Compact"/>
              <w:jc w:val="left"/>
            </w:pPr>
            <w:r>
              <w:rPr>
                <w:bCs/>
                <w:b/>
              </w:rPr>
              <w:t xml:space="preserve">KER-VIS-04</w:t>
            </w:r>
          </w:p>
        </w:tc>
        <w:tc>
          <w:tcPr/>
          <w:p>
            <w:pPr>
              <w:pStyle w:val="Compact"/>
              <w:jc w:val="left"/>
            </w:pPr>
            <w:r>
              <w:t xml:space="preserve">Un produit qui n’intègre aucune brique du noyau doit rester pleinement fonctionnel de façon autonome ; l’intégration au noyau est toujours une option, jamais une dépendance obligatoire.</w:t>
            </w:r>
          </w:p>
        </w:tc>
      </w:tr>
      <w:tr>
        <w:tc>
          <w:tcPr/>
          <w:p>
            <w:pPr>
              <w:pStyle w:val="Compact"/>
              <w:jc w:val="left"/>
            </w:pPr>
            <w:r>
              <w:rPr>
                <w:bCs/>
                <w:b/>
              </w:rPr>
              <w:t xml:space="preserve">KER-VIS-05</w:t>
            </w:r>
          </w:p>
        </w:tc>
        <w:tc>
          <w:tcPr/>
          <w:p>
            <w:pPr>
              <w:pStyle w:val="Compact"/>
              <w:jc w:val="left"/>
            </w:pPr>
            <w:r>
              <w:t xml:space="preserve">Le noyau porte un seul référentiel structurel pays/devise/langue/bloc régional/produit, jamais dupliqué — ni par produit, ni par une brique du noyau lui-même. Ce principe s’applique au noyau autant qu’aux produits qu’il sert.</w:t>
            </w:r>
          </w:p>
        </w:tc>
      </w:tr>
      <w:tr>
        <w:tc>
          <w:tcPr/>
          <w:p>
            <w:pPr>
              <w:pStyle w:val="Compact"/>
              <w:jc w:val="left"/>
            </w:pPr>
            <w:r>
              <w:rPr>
                <w:bCs/>
                <w:b/>
              </w:rPr>
              <w:t xml:space="preserve">KER-VIS-06</w:t>
            </w:r>
          </w:p>
        </w:tc>
        <w:tc>
          <w:tcPr/>
          <w:p>
            <w:pPr>
              <w:pStyle w:val="Compact"/>
              <w:jc w:val="left"/>
            </w:pPr>
            <w:r>
              <w:t xml:space="preserve">Le présent cahier n’est jamais rédigé en fonction de l’état d’avancement d’un produit particulier, même déjà en production. Toute question spécifique à un produit existant (intégration a posteriori, migration) fait l’objet d’un document séparé, propre à ce produit, jamais d’une section de ce cahier.</w:t>
            </w:r>
          </w:p>
        </w:tc>
      </w:tr>
    </w:tbl>
    <w:bookmarkEnd w:id="22"/>
    <w:bookmarkStart w:id="23" w:name="architecture-générale"/>
    <w:p>
      <w:pPr>
        <w:pStyle w:val="Heading1"/>
      </w:pPr>
      <w:r>
        <w:rPr>
          <w:bCs/>
          <w:b/>
        </w:rPr>
        <w:t xml:space="preserve">2. Architecture générale</w:t>
      </w:r>
    </w:p>
    <w:p>
      <w:pPr>
        <w:pStyle w:val="FirstParagraph"/>
      </w:pPr>
      <w:r>
        <w:t xml:space="preserve">L’architecture se structure en quatre couches : GSG ID (identité), Kernel Services (Org Registry, Registre Produits, GSG Referential, GSG Referential Engine, Event Bus, Audit, Billing Core en option), Adaptateurs par produit, puis les Produits eux-mêmes, chacun conservant son cœur applicatif inchangé.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KER-ARC-01</w:t>
            </w:r>
          </w:p>
        </w:tc>
        <w:tc>
          <w:tcPr/>
          <w:p>
            <w:pPr>
              <w:pStyle w:val="Compact"/>
              <w:jc w:val="left"/>
            </w:pPr>
            <w:r>
              <w:t xml:space="preserve">Chaque produit intègre le noyau exclusivement via un adaptateur dédié (SDK léger ou appels API REST), jamais par modification directe de son cœur applicatif existant.</w:t>
            </w:r>
          </w:p>
        </w:tc>
      </w:tr>
      <w:tr>
        <w:tc>
          <w:tcPr/>
          <w:p>
            <w:pPr>
              <w:pStyle w:val="Compact"/>
              <w:jc w:val="left"/>
            </w:pPr>
            <w:r>
              <w:rPr>
                <w:bCs/>
                <w:b/>
              </w:rPr>
              <w:t xml:space="preserve">KER-ARC-02</w:t>
            </w:r>
          </w:p>
        </w:tc>
        <w:tc>
          <w:tcPr/>
          <w:p>
            <w:pPr>
              <w:pStyle w:val="Compact"/>
              <w:jc w:val="left"/>
            </w:pPr>
            <w:r>
              <w:t xml:space="preserve">Le noyau est versionné indépendamment de chaque produit, avec compatibilité descendante garantie pendant au moins douze mois après toute évolution majeure de son API.</w:t>
            </w:r>
          </w:p>
        </w:tc>
      </w:tr>
      <w:tr>
        <w:tc>
          <w:tcPr/>
          <w:p>
            <w:pPr>
              <w:pStyle w:val="Compact"/>
              <w:jc w:val="left"/>
            </w:pPr>
            <w:r>
              <w:rPr>
                <w:bCs/>
                <w:b/>
              </w:rPr>
              <w:t xml:space="preserve">KER-ARC-03</w:t>
            </w:r>
          </w:p>
        </w:tc>
        <w:tc>
          <w:tcPr/>
          <w:p>
            <w:pPr>
              <w:pStyle w:val="Compact"/>
              <w:jc w:val="left"/>
            </w:pPr>
            <w:r>
              <w:t xml:space="preserve">La disponibilité du noyau ne doit jamais conditionner la disponibilité d’un produit : une panne du noyau dégrade au pire les fonctions transverses (SSO, référentiel, audit centralisé), jamais le fonctionnement métier autonome d’un produit.</w:t>
            </w:r>
          </w:p>
        </w:tc>
      </w:tr>
    </w:tbl>
    <w:bookmarkEnd w:id="23"/>
    <w:bookmarkStart w:id="24" w:name="Xd04d83960d0a4dd39a2f8266b0671e2a56ffa8c"/>
    <w:p>
      <w:pPr>
        <w:pStyle w:val="Heading1"/>
      </w:pPr>
      <w:r>
        <w:rPr>
          <w:bCs/>
          <w:b/>
        </w:rPr>
        <w:t xml:space="preserve">3. GSG ID — identité et authentification fédérée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KER-ID-01</w:t>
            </w:r>
          </w:p>
        </w:tc>
        <w:tc>
          <w:tcPr/>
          <w:p>
            <w:pPr>
              <w:pStyle w:val="Compact"/>
              <w:jc w:val="left"/>
            </w:pPr>
            <w:r>
              <w:t xml:space="preserve">GSG ID est un fournisseur d’identité central (OIDC/OAuth2) permettant à un utilisateur de s’authentifier une seule fois pour accéder à l’ensemble des produits GSG auxquels son organisation est abonnée.</w:t>
            </w:r>
          </w:p>
        </w:tc>
      </w:tr>
      <w:tr>
        <w:tc>
          <w:tcPr/>
          <w:p>
            <w:pPr>
              <w:pStyle w:val="Compact"/>
              <w:jc w:val="left"/>
            </w:pPr>
            <w:r>
              <w:rPr>
                <w:bCs/>
                <w:b/>
              </w:rPr>
              <w:t xml:space="preserve">KER-ID-02</w:t>
            </w:r>
          </w:p>
        </w:tc>
        <w:tc>
          <w:tcPr/>
          <w:p>
            <w:pPr>
              <w:pStyle w:val="Compact"/>
              <w:jc w:val="left"/>
            </w:pPr>
            <w:r>
              <w:t xml:space="preserve">L’intégration à un produit déjà en production se fait par ajout d’une simple table de correspondance (external_user_id ↔ gsg_id), sans suppression ni modification du système d’authentification déjà en place.</w:t>
            </w:r>
          </w:p>
        </w:tc>
      </w:tr>
      <w:tr>
        <w:tc>
          <w:tcPr/>
          <w:p>
            <w:pPr>
              <w:pStyle w:val="Compact"/>
              <w:jc w:val="left"/>
            </w:pPr>
            <w:r>
              <w:rPr>
                <w:bCs/>
                <w:b/>
              </w:rPr>
              <w:t xml:space="preserve">KER-ID-03</w:t>
            </w:r>
          </w:p>
        </w:tc>
        <w:tc>
          <w:tcPr/>
          <w:p>
            <w:pPr>
              <w:pStyle w:val="Compact"/>
              <w:jc w:val="left"/>
            </w:pPr>
            <w:r>
              <w:t xml:space="preserve">Pour tout produit déjà en production, la connexion via GSG ID est proposée comme une option supplémentaire à côté du système existant, jamais comme un remplacement imposé aux utilisateurs déjà actifs.</w:t>
            </w:r>
          </w:p>
        </w:tc>
      </w:tr>
      <w:tr>
        <w:tc>
          <w:tcPr/>
          <w:p>
            <w:pPr>
              <w:pStyle w:val="Compact"/>
              <w:jc w:val="left"/>
            </w:pPr>
            <w:r>
              <w:rPr>
                <w:bCs/>
                <w:b/>
              </w:rPr>
              <w:t xml:space="preserve">KER-ID-04</w:t>
            </w:r>
          </w:p>
        </w:tc>
        <w:tc>
          <w:tcPr/>
          <w:p>
            <w:pPr>
              <w:pStyle w:val="Compact"/>
              <w:jc w:val="left"/>
            </w:pPr>
            <w:r>
              <w:t xml:space="preserve">L’authentification multifacteur (MFA) est implémentée une seule fois au niveau du noyau et réutilisée par tous les produits qui y sont connectés, sans réimplémentation produit par produit.</w:t>
            </w:r>
          </w:p>
        </w:tc>
      </w:tr>
      <w:tr>
        <w:tc>
          <w:tcPr/>
          <w:p>
            <w:pPr>
              <w:pStyle w:val="Compact"/>
              <w:jc w:val="left"/>
            </w:pPr>
            <w:r>
              <w:rPr>
                <w:bCs/>
                <w:b/>
              </w:rPr>
              <w:t xml:space="preserve">KER-ID-05</w:t>
            </w:r>
          </w:p>
        </w:tc>
        <w:tc>
          <w:tcPr/>
          <w:p>
            <w:pPr>
              <w:pStyle w:val="Compact"/>
              <w:jc w:val="left"/>
            </w:pPr>
            <w:r>
              <w:t xml:space="preserve">Le profil utilisateur du noyau porte les références pays_id, unite_administrative_id, ville_id, langue_id, devise_id et fuseau_horaire vers le GSG Referential (section 6), afin que ces informations soient résolues une seule fois et partagées par tous les produits plutôt que ressaisies dans chacun.</w:t>
            </w:r>
          </w:p>
        </w:tc>
      </w:tr>
      <w:tr>
        <w:tc>
          <w:tcPr/>
          <w:p>
            <w:pPr>
              <w:pStyle w:val="Compact"/>
              <w:jc w:val="left"/>
            </w:pPr>
            <w:r>
              <w:rPr>
                <w:bCs/>
                <w:b/>
              </w:rPr>
              <w:t xml:space="preserve">KER-ID-06</w:t>
            </w:r>
          </w:p>
        </w:tc>
        <w:tc>
          <w:tcPr/>
          <w:p>
            <w:pPr>
              <w:pStyle w:val="Compact"/>
              <w:jc w:val="left"/>
            </w:pPr>
            <w:r>
              <w:t xml:space="preserve">Les numéros de téléphone sont stockés et validés au format international E.164 (indicatif + numéro, ex. +224XXXXXXXX) dans le profil utilisateur du noyau, condition nécessaire à la fiabilité des flux d’authentification par OTP utilisés dans l’ensemble de l’écosystème GSG.</w:t>
            </w:r>
          </w:p>
        </w:tc>
      </w:tr>
      <w:tr>
        <w:tc>
          <w:tcPr/>
          <w:p>
            <w:pPr>
              <w:pStyle w:val="Compact"/>
              <w:jc w:val="left"/>
            </w:pPr>
            <w:r>
              <w:rPr>
                <w:bCs/>
                <w:b/>
              </w:rPr>
              <w:t xml:space="preserve">KER-ID-07</w:t>
            </w:r>
          </w:p>
        </w:tc>
        <w:tc>
          <w:tcPr/>
          <w:p>
            <w:pPr>
              <w:pStyle w:val="Compact"/>
              <w:jc w:val="left"/>
            </w:pPr>
            <w:r>
              <w:t xml:space="preserve">GSG ID ne génère et ne vérifie jamais lui-même un code OTP. Chaque produit du portefeuille authentifie nativement ses utilisateurs via Supabase Auth (signInWithOtp/verifyOtp — SMS, WhatsApp via Twilio, Magic Link ou code OTP email), conformément à son propre modèle d’authentification. GSG ID vérifie ensuite la signature du jeton de la session Supabase déjà authentifiée (JWKS du projet Supabase concerné, liste blanche stricte de projets autorisés) avant de la relier à un profil GSG ID existant ou d’en créer un — application directe de KER-ID-02 (intégration a posteriori par simple table de correspondance), jamais un mécanisme distinct.</w:t>
            </w:r>
          </w:p>
        </w:tc>
      </w:tr>
    </w:tbl>
    <w:p>
      <w:pPr>
        <w:pStyle w:val="BodyText"/>
      </w:pPr>
      <w:r>
        <w:rPr>
          <w:iCs/>
          <w:i/>
        </w:rPr>
        <w:t xml:space="preserve">Note de convention (ajoutée le 26/08/2026 — recommandation, pas une règle KER-XXX-NN obligatoire) : pour la saisie du téléphone décrite par KER-ID-06, les produits du portefeuille sont invités à séparer la saisie de l’indicatif pays et celle du numéro local — plutôt qu’un champ texte unique laissé à la rédaction libre de l’utilisateur — et à normaliser au format E.164 via un point unique côté client, avant tout appel d’authentification. PharmaConnect (module auth — sélecteur d’indicatif pays dédié et Validators.normalizeE164()) sert de première implémentation de référence portefeuille pour cette convention. Elle ne devient un standard obligatoire que sur décision explicite de l’équipe kernel — auquel cas elle recevra un numéro de règle propre selon la convention déjà en vigueur dans ce registre (Annexe A), jamais assumée sans y être enregistrée.</w:t>
      </w:r>
    </w:p>
    <w:bookmarkEnd w:id="24"/>
    <w:bookmarkStart w:id="25" w:name="X08508dd84e3a8e51823236c58f68b26d92e69d3"/>
    <w:p>
      <w:pPr>
        <w:pStyle w:val="Heading1"/>
      </w:pPr>
      <w:r>
        <w:rPr>
          <w:bCs/>
          <w:b/>
        </w:rPr>
        <w:t xml:space="preserve">4. Registre central des organisations clientes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KER-ORG-01</w:t>
            </w:r>
          </w:p>
        </w:tc>
        <w:tc>
          <w:tcPr/>
          <w:p>
            <w:pPr>
              <w:pStyle w:val="Compact"/>
              <w:jc w:val="left"/>
            </w:pPr>
            <w:r>
              <w:t xml:space="preserve">Un registre central des organisations clientes (Org Registry) attribue un identifiant global gsg_org_id à chaque organisation cliente du portefeuille GSG.</w:t>
            </w:r>
          </w:p>
        </w:tc>
      </w:tr>
      <w:tr>
        <w:tc>
          <w:tcPr/>
          <w:p>
            <w:pPr>
              <w:pStyle w:val="Compact"/>
              <w:jc w:val="left"/>
            </w:pPr>
            <w:r>
              <w:rPr>
                <w:bCs/>
                <w:b/>
              </w:rPr>
              <w:t xml:space="preserve">KER-ORG-02</w:t>
            </w:r>
          </w:p>
        </w:tc>
        <w:tc>
          <w:tcPr/>
          <w:p>
            <w:pPr>
              <w:pStyle w:val="Compact"/>
              <w:jc w:val="left"/>
            </w:pPr>
            <w:r>
              <w:t xml:space="preserve">L’intégration d’un produit existant consiste uniquement à ajouter un champ de référence gsg_org_id à sa table ou son document organisation déjà en place ; la structure interne de cette table n’est jamais modifiée ni remplacée.</w:t>
            </w:r>
          </w:p>
        </w:tc>
      </w:tr>
      <w:tr>
        <w:tc>
          <w:tcPr/>
          <w:p>
            <w:pPr>
              <w:pStyle w:val="Compact"/>
              <w:jc w:val="left"/>
            </w:pPr>
            <w:r>
              <w:rPr>
                <w:bCs/>
                <w:b/>
              </w:rPr>
              <w:t xml:space="preserve">KER-ORG-03</w:t>
            </w:r>
          </w:p>
        </w:tc>
        <w:tc>
          <w:tcPr/>
          <w:p>
            <w:pPr>
              <w:pStyle w:val="Compact"/>
              <w:jc w:val="left"/>
            </w:pPr>
            <w:r>
              <w:t xml:space="preserve">Une organisation peut être abonnée à un sous-ensemble quelconque des produits GSG ; le registre central ne doit jamais imposer qu’une organisation utilise l’intégralité du portefeuille.</w:t>
            </w:r>
          </w:p>
        </w:tc>
      </w:tr>
      <w:tr>
        <w:tc>
          <w:tcPr/>
          <w:p>
            <w:pPr>
              <w:pStyle w:val="Compact"/>
              <w:jc w:val="left"/>
            </w:pPr>
            <w:r>
              <w:rPr>
                <w:bCs/>
                <w:b/>
              </w:rPr>
              <w:t xml:space="preserve">KER-ORG-04</w:t>
            </w:r>
          </w:p>
        </w:tc>
        <w:tc>
          <w:tcPr/>
          <w:p>
            <w:pPr>
              <w:pStyle w:val="Compact"/>
              <w:jc w:val="left"/>
            </w:pPr>
            <w:r>
              <w:t xml:space="preserve">Chaque organisation porte ses propres références pays_id, unite_administrative_id, ville_id, devise_id, langue_id et fuseau_horaire vers le GSG Referential, indépendantes de celles de sa maison mère éventuelle — une organisation peut ainsi ouvrir une agence dans un autre pays sans qu’aucune ligne de code applicatif ne soit modifiée dans les produits qui la servent.</w:t>
            </w:r>
          </w:p>
        </w:tc>
      </w:tr>
    </w:tbl>
    <w:bookmarkEnd w:id="25"/>
    <w:bookmarkStart w:id="26" w:name="registre-central-des-produits-gsg"/>
    <w:p>
      <w:pPr>
        <w:pStyle w:val="Heading1"/>
      </w:pPr>
      <w:r>
        <w:rPr>
          <w:bCs/>
          <w:b/>
        </w:rPr>
        <w:t xml:space="preserve">5. Registre central des produits GSG</w:t>
      </w:r>
    </w:p>
    <w:p>
      <w:pPr>
        <w:pStyle w:val="FirstParagraph"/>
      </w:pPr>
      <w:r>
        <w:t xml:space="preserve">Le v1.1 de ce document répétait, à chaque section, une liste en texte libre du portefeuille (« Ecclesias 360, EduRéussite, GlobalStock ERP, AssoShop, TradeLink Africa, EcoShop, SecureGuard »), avec de légères variations d’une occurrence à l’autre. Le Cadre de Référence Multi-Pays définissait de son côté une table produit formelle, sans que le Kernel v1.1 ne s’y rattache. Cette version corrige les deux problèmes en adoptant la table produit du Cadre comme registre officiel et unique du portefeuille.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KER-PROD-01</w:t>
            </w:r>
          </w:p>
        </w:tc>
        <w:tc>
          <w:tcPr/>
          <w:p>
            <w:pPr>
              <w:pStyle w:val="Compact"/>
              <w:jc w:val="left"/>
            </w:pPr>
            <w:r>
              <w:t xml:space="preserve">Le registre des produits GSG (table produit : id, code, nom) est la source unique de la liste des produits du portefeuille ; toute mention du portefeuille dans un cahier de conception ou un document transversal s’y réfère plutôt que de répéter une liste en texte libre.</w:t>
            </w:r>
          </w:p>
        </w:tc>
      </w:tr>
      <w:tr>
        <w:tc>
          <w:tcPr/>
          <w:p>
            <w:pPr>
              <w:pStyle w:val="Compact"/>
              <w:jc w:val="left"/>
            </w:pPr>
            <w:r>
              <w:rPr>
                <w:bCs/>
                <w:b/>
              </w:rPr>
              <w:t xml:space="preserve">KER-PROD-02</w:t>
            </w:r>
          </w:p>
        </w:tc>
        <w:tc>
          <w:tcPr/>
          <w:p>
            <w:pPr>
              <w:pStyle w:val="Compact"/>
              <w:jc w:val="left"/>
            </w:pPr>
            <w:r>
              <w:t xml:space="preserve">La table produit_pays_deploiement (produit_id, pays_id, statut : lancé │ en test │ planifié │ non prioritaire, phase, date_statut) porte la trajectoire de déploiement propre à chaque produit, pays par pays ; ce statut n’est jamais un attribut du pays lui-même.</w:t>
            </w:r>
          </w:p>
        </w:tc>
      </w:tr>
      <w:tr>
        <w:tc>
          <w:tcPr/>
          <w:p>
            <w:pPr>
              <w:pStyle w:val="Compact"/>
              <w:jc w:val="left"/>
            </w:pPr>
            <w:r>
              <w:rPr>
                <w:bCs/>
                <w:b/>
              </w:rPr>
              <w:t xml:space="preserve">KER-PROD-03</w:t>
            </w:r>
          </w:p>
        </w:tc>
        <w:tc>
          <w:tcPr/>
          <w:p>
            <w:pPr>
              <w:pStyle w:val="Compact"/>
              <w:jc w:val="left"/>
            </w:pPr>
            <w:r>
              <w:t xml:space="preserve">L’ajout d’un nouveau produit au portefeuille GSG est un ajout de ligne dans la table produit, jamais une modification du schéma du noyau.</w:t>
            </w:r>
          </w:p>
        </w:tc>
      </w:tr>
      <w:tr>
        <w:tc>
          <w:tcPr/>
          <w:p>
            <w:pPr>
              <w:pStyle w:val="Compact"/>
              <w:jc w:val="left"/>
            </w:pPr>
            <w:r>
              <w:rPr>
                <w:bCs/>
                <w:b/>
              </w:rPr>
              <w:t xml:space="preserve">KER-PROD-04</w:t>
            </w:r>
          </w:p>
        </w:tc>
        <w:tc>
          <w:tcPr/>
          <w:p>
            <w:pPr>
              <w:pStyle w:val="Compact"/>
              <w:jc w:val="left"/>
            </w:pPr>
            <w:r>
              <w:t xml:space="preserve">Chaque produit du registre déclare les briques du noyau qu’il consomme effectivement (GSG ID, Org Registry, GSG Referential, Referential Engine, Event Bus, Audit, Billing, Design System), afin que l’impact d’une évolution du noyau soit mesurable produit par produit plutôt qu’estimé.</w:t>
            </w:r>
          </w:p>
        </w:tc>
      </w:tr>
    </w:tbl>
    <w:bookmarkEnd w:id="26"/>
    <w:bookmarkStart w:id="27" w:name="Xdfae6d259837eb5d21105741a9a366896505b99"/>
    <w:p>
      <w:pPr>
        <w:pStyle w:val="Heading1"/>
      </w:pPr>
      <w:r>
        <w:rPr>
          <w:bCs/>
          <w:b/>
        </w:rPr>
        <w:t xml:space="preserve">6. GSG Referential — pays, devises, langues, blocs régionaux</w:t>
      </w:r>
    </w:p>
    <w:p>
      <w:pPr>
        <w:pStyle w:val="FirstParagraph"/>
      </w:pPr>
      <w:r>
        <w:rPr>
          <w:iCs/>
          <w:i/>
        </w:rPr>
        <w:t xml:space="preserve">Décision de fusion : GSG Core (v1.1) est retiré du noyau en tant que référentiel autonome. Le référentiel pays/devise/langue/bloc régional du Cadre de Référence Multi-Pays devient l’unique source pour l’ensemble du portefeuille GSG, y compris pour les produits déjà spécifiés en anglais dans la v1.1.</w:t>
      </w:r>
    </w:p>
    <w:p>
      <w:pPr>
        <w:pStyle w:val="BodyText"/>
      </w:pPr>
      <w:r>
        <w:t xml:space="preserve">Comparés terme à terme, les deux schémas décrivaient la même réalité — pays, devise, langue — avec un recouvrement quasi total : countries/pays, currencies/devise, languages/langue, country_currencies/pays_devise, country_languages/pays_langue. Aucun des deux schémas ne l’emporte sur l’autre par supériorité technique ; la décision est prise pour éliminer la duplication, pas parce qu’un des deux modèles était erroné. Les apports réels de GSG Core absents du Cadre initial (décimales monétaires, taux de change, gabarit d’adresse, fuseau horaire) sont conservés et rattachés au schéma unique.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KER-REF-01</w:t>
            </w:r>
          </w:p>
        </w:tc>
        <w:tc>
          <w:tcPr/>
          <w:p>
            <w:pPr>
              <w:pStyle w:val="Compact"/>
              <w:jc w:val="left"/>
            </w:pPr>
            <w:r>
              <w:t xml:space="preserve">Le référentiel pays (id, code_iso ISO 3166-1 alpha-2, nom, organisme_regional_principal, notes_souverainete) est l’unique source de vérité pays pour l’ensemble du portefeuille GSG ; aucune table métier d’aucun produit ne stocke un nom de pays en texte libre.</w:t>
            </w:r>
          </w:p>
        </w:tc>
      </w:tr>
      <w:tr>
        <w:tc>
          <w:tcPr/>
          <w:p>
            <w:pPr>
              <w:pStyle w:val="Compact"/>
              <w:jc w:val="left"/>
            </w:pPr>
            <w:r>
              <w:rPr>
                <w:bCs/>
                <w:b/>
              </w:rPr>
              <w:t xml:space="preserve">KER-REF-02</w:t>
            </w:r>
          </w:p>
        </w:tc>
        <w:tc>
          <w:tcPr/>
          <w:p>
            <w:pPr>
              <w:pStyle w:val="Compact"/>
              <w:jc w:val="left"/>
            </w:pPr>
            <w:r>
              <w:t xml:space="preserve">Le référentiel devise (id, code_iso4217, nom, zone_monetaire, decimales) est aligné sur ISO 4217 et porte le nombre de décimales officiel de chaque devise, absent de la proposition initiale du Cadre — le franc guinéen et le franc CFA en ont zéro, le dinar koweïtien en a trois.</w:t>
            </w:r>
          </w:p>
        </w:tc>
      </w:tr>
      <w:tr>
        <w:tc>
          <w:tcPr/>
          <w:p>
            <w:pPr>
              <w:pStyle w:val="Compact"/>
              <w:jc w:val="left"/>
            </w:pPr>
            <w:r>
              <w:rPr>
                <w:bCs/>
                <w:b/>
              </w:rPr>
              <w:t xml:space="preserve">KER-REF-03</w:t>
            </w:r>
          </w:p>
        </w:tc>
        <w:tc>
          <w:tcPr/>
          <w:p>
            <w:pPr>
              <w:pStyle w:val="Compact"/>
              <w:jc w:val="left"/>
            </w:pPr>
            <w:r>
              <w:t xml:space="preserve">La relation pays_devise (pays_id, devise_id, date_debut, date_fin, devise_principale) reste modélisée en many-to-many datée, un pays pouvant faire circuler plusieurs devises et une devise pouvant être partagée par plusieurs pays (zones UEMOA/XOF, CEMAC/XAF).</w:t>
            </w:r>
          </w:p>
        </w:tc>
      </w:tr>
      <w:tr>
        <w:tc>
          <w:tcPr/>
          <w:p>
            <w:pPr>
              <w:pStyle w:val="Compact"/>
              <w:jc w:val="left"/>
            </w:pPr>
            <w:r>
              <w:rPr>
                <w:bCs/>
                <w:b/>
              </w:rPr>
              <w:t xml:space="preserve">KER-REF-04</w:t>
            </w:r>
          </w:p>
        </w:tc>
        <w:tc>
          <w:tcPr/>
          <w:p>
            <w:pPr>
              <w:pStyle w:val="Compact"/>
              <w:jc w:val="left"/>
            </w:pPr>
            <w:r>
              <w:t xml:space="preserve">La table taux_change (devise_base, devise_cible, taux, valide_du, valide_au, source) est l’unique source de taux de change de la plateforme ; si aucun taux valide n’existe pour une paire de devises à un instant donné, le système refuse explicitement l’opération plutôt que de supposer une parité 1:1.</w:t>
            </w:r>
          </w:p>
        </w:tc>
      </w:tr>
      <w:tr>
        <w:tc>
          <w:tcPr/>
          <w:p>
            <w:pPr>
              <w:pStyle w:val="Compact"/>
              <w:jc w:val="left"/>
            </w:pPr>
            <w:r>
              <w:rPr>
                <w:bCs/>
                <w:b/>
              </w:rPr>
              <w:t xml:space="preserve">KER-REF-05</w:t>
            </w:r>
          </w:p>
        </w:tc>
        <w:tc>
          <w:tcPr/>
          <w:p>
            <w:pPr>
              <w:pStyle w:val="Compact"/>
              <w:jc w:val="left"/>
            </w:pPr>
            <w:r>
              <w:t xml:space="preserve">Règle absolue de précision monétaire : tout montant est stocké en unité mineure entière, jamais en nombre à virgule flottante, dans tous les produits du portefeuille qui manipulent de l’argent (TradeLink Africa, AssoShop, GlobalStock ERP, futur Wallet B2B) — conformément à la pratique standard de l’industrie fintech.</w:t>
            </w:r>
          </w:p>
        </w:tc>
      </w:tr>
      <w:tr>
        <w:tc>
          <w:tcPr/>
          <w:p>
            <w:pPr>
              <w:pStyle w:val="Compact"/>
              <w:jc w:val="left"/>
            </w:pPr>
            <w:r>
              <w:rPr>
                <w:bCs/>
                <w:b/>
              </w:rPr>
              <w:t xml:space="preserve">KER-REF-06</w:t>
            </w:r>
          </w:p>
        </w:tc>
        <w:tc>
          <w:tcPr/>
          <w:p>
            <w:pPr>
              <w:pStyle w:val="Compact"/>
              <w:jc w:val="left"/>
            </w:pPr>
            <w:r>
              <w:t xml:space="preserve">Le référentiel langue (id, code_iso639, nom) et la relation pays_langue (pays_id, langue_id, statut : officielle │ nationale │ enseignement_initial │ véhiculaire, ordre) sont repris tels que définis dans le Cadre de Référence Multi-Pays, sans modification.</w:t>
            </w:r>
          </w:p>
        </w:tc>
      </w:tr>
      <w:tr>
        <w:tc>
          <w:tcPr/>
          <w:p>
            <w:pPr>
              <w:pStyle w:val="Compact"/>
              <w:jc w:val="left"/>
            </w:pPr>
            <w:r>
              <w:rPr>
                <w:bCs/>
                <w:b/>
              </w:rPr>
              <w:t xml:space="preserve">KER-REF-07</w:t>
            </w:r>
          </w:p>
        </w:tc>
        <w:tc>
          <w:tcPr/>
          <w:p>
            <w:pPr>
              <w:pStyle w:val="Compact"/>
              <w:jc w:val="left"/>
            </w:pPr>
            <w:r>
              <w:t xml:space="preserve">Le référentiel bloc_regional (id, code, nom, type : économique │ juridique │ monétaire │ examinateur) et pays_bloc_regional (pays_id, bloc_regional_id, date_adhesion, date_retrait, statut_actuel) entrent au noyau tels quels ; le retrait effectif du Mali, du Burkina Faso et du Niger de la CEDEAO le 29 janvier 2025 reste le cas d’école justifiant une période d’appartenance datée plutôt qu’un attribut statique.</w:t>
            </w:r>
          </w:p>
        </w:tc>
      </w:tr>
      <w:tr>
        <w:tc>
          <w:tcPr/>
          <w:p>
            <w:pPr>
              <w:pStyle w:val="Compact"/>
              <w:jc w:val="left"/>
            </w:pPr>
            <w:r>
              <w:rPr>
                <w:bCs/>
                <w:b/>
              </w:rPr>
              <w:t xml:space="preserve">KER-REF-08</w:t>
            </w:r>
          </w:p>
        </w:tc>
        <w:tc>
          <w:tcPr/>
          <w:p>
            <w:pPr>
              <w:pStyle w:val="Compact"/>
              <w:jc w:val="left"/>
            </w:pPr>
            <w:r>
              <w:t xml:space="preserve">Chaque devise est rattachée, lorsqu’applicable, à sa zone monétaire régulatrice via zone_monetaire (ex. XOF → BCEAO, XAF → BEAC), afin de faciliter l’application différenciée des règles de conformité déjà identifiées dans le cahier TradeLink Africa.</w:t>
            </w:r>
          </w:p>
        </w:tc>
      </w:tr>
      <w:tr>
        <w:tc>
          <w:tcPr/>
          <w:p>
            <w:pPr>
              <w:pStyle w:val="Compact"/>
              <w:jc w:val="left"/>
            </w:pPr>
            <w:r>
              <w:rPr>
                <w:bCs/>
                <w:b/>
              </w:rPr>
              <w:t xml:space="preserve">KER-REF-09</w:t>
            </w:r>
          </w:p>
        </w:tc>
        <w:tc>
          <w:tcPr/>
          <w:p>
            <w:pPr>
              <w:pStyle w:val="Compact"/>
              <w:jc w:val="left"/>
            </w:pPr>
            <w:r>
              <w:t xml:space="preserve">Un gabarit de format d’adresse postale par pays (adresse_gabarit, porté sur la table pays) et un fuseau horaire IANA par pays (ex. Africa/Conakry, Africa/Dakar) complètent le référentiel — ces deux champs, absents du Cadre initial, restent nécessaires à AssoShop, à la logistique de TradeLink Africa et à tout calcul temporel du noyau.</w:t>
            </w:r>
          </w:p>
        </w:tc>
      </w:tr>
    </w:tbl>
    <w:bookmarkEnd w:id="27"/>
    <w:bookmarkStart w:id="28" w:name="Xabb0ba1a0dfba7da29074da7f48c0b0255eeac0"/>
    <w:p>
      <w:pPr>
        <w:pStyle w:val="Heading1"/>
      </w:pPr>
      <w:r>
        <w:rPr>
          <w:bCs/>
          <w:b/>
        </w:rPr>
        <w:t xml:space="preserve">7. GSG Referential — unités administratives et villes</w:t>
      </w:r>
    </w:p>
    <w:p>
      <w:pPr>
        <w:pStyle w:val="FirstParagraph"/>
      </w:pPr>
      <w:r>
        <w:t xml:space="preserve">Le Kernel v1.1 proposait une table administrative_units dédiée (id, country_id, parent_id, name, type, code) pour modéliser la hiérarchie région → préfecture → sous-préfecture, sans savoir qu’elle recréait exactement, en anglais et sous une forme moins générale, ce que le méta-modèle referentiel_hierarchique du Cadre fait déjà pour n’importe quel domaine. C’est la deuxième duplication structurelle trouvée entre les deux documents, et la plus significative : elle aurait produit deux mécanismes d’arbre auto-référencé à maintenir en parallèle pour le même besoin.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KER-ADM-01</w:t>
            </w:r>
          </w:p>
        </w:tc>
        <w:tc>
          <w:tcPr/>
          <w:p>
            <w:pPr>
              <w:pStyle w:val="Compact"/>
              <w:jc w:val="left"/>
            </w:pPr>
            <w:r>
              <w:t xml:space="preserve">La hiérarchie administrative interne à un pays (région, préfecture, sous-préfecture, département, état, comté…) n’est pas modélisée par une table dédiée : elle est portée par le référentiel générique referentiel_hierarchique (section 8) avec code_domaine = « administratif » et produit_id nul, car elle est transversale à tout le portefeuille et non spécifique à un produit.</w:t>
            </w:r>
          </w:p>
        </w:tc>
      </w:tr>
      <w:tr>
        <w:tc>
          <w:tcPr/>
          <w:p>
            <w:pPr>
              <w:pStyle w:val="Compact"/>
              <w:jc w:val="left"/>
            </w:pPr>
            <w:r>
              <w:rPr>
                <w:bCs/>
                <w:b/>
              </w:rPr>
              <w:t xml:space="preserve">KER-ADM-02</w:t>
            </w:r>
          </w:p>
        </w:tc>
        <w:tc>
          <w:tcPr/>
          <w:p>
            <w:pPr>
              <w:pStyle w:val="Compact"/>
              <w:jc w:val="left"/>
            </w:pPr>
            <w:r>
              <w:t xml:space="preserve">Cette décision élimine une duplication identifiée lors de la fusion : administrative_units (v1.1) et referentiel_hierarchique (Cadre) sont isomorphes — même structure auto-référencée, même besoin de rang normalisé, même variabilité de profondeur d’un pays à l’autre — sans qu’aucun des deux documents sources ne l’ait signalé.</w:t>
            </w:r>
          </w:p>
        </w:tc>
      </w:tr>
      <w:tr>
        <w:tc>
          <w:tcPr/>
          <w:p>
            <w:pPr>
              <w:pStyle w:val="Compact"/>
              <w:jc w:val="left"/>
            </w:pPr>
            <w:r>
              <w:rPr>
                <w:bCs/>
                <w:b/>
              </w:rPr>
              <w:t xml:space="preserve">KER-ADM-03</w:t>
            </w:r>
          </w:p>
        </w:tc>
        <w:tc>
          <w:tcPr/>
          <w:p>
            <w:pPr>
              <w:pStyle w:val="Compact"/>
              <w:jc w:val="left"/>
            </w:pPr>
            <w:r>
              <w:t xml:space="preserve">La table ville reste une entité dédiée, distincte du référentiel générique, car elle est référencée très fréquemment par les modules métier (adresses, livraison, points de vente) et bénéficie d’un accès direct indexé plutôt que d’une remontée d’arbre à chaque requête ; elle porte une référence optionnelle vers le nœud referentiel_hierarchique (code_domaine = « administratif ») auquel elle appartient.</w:t>
            </w:r>
          </w:p>
        </w:tc>
      </w:tr>
      <w:tr>
        <w:tc>
          <w:tcPr/>
          <w:p>
            <w:pPr>
              <w:pStyle w:val="Compact"/>
              <w:jc w:val="left"/>
            </w:pPr>
            <w:r>
              <w:rPr>
                <w:bCs/>
                <w:b/>
              </w:rPr>
              <w:t xml:space="preserve">KER-ADM-04</w:t>
            </w:r>
          </w:p>
        </w:tc>
        <w:tc>
          <w:tcPr/>
          <w:p>
            <w:pPr>
              <w:pStyle w:val="Compact"/>
              <w:jc w:val="left"/>
            </w:pPr>
            <w:r>
              <w:t xml:space="preserve">Chaque enregistrement du référentiel (pays, devise, langue, bloc_regional, nœud administratif, ville) porte un indicateur est_actif, permettant de désactiver une entité sans la supprimer, afin de préserver l’intégrité référentielle des données déjà rattachées.</w:t>
            </w:r>
          </w:p>
        </w:tc>
      </w:tr>
    </w:tbl>
    <w:bookmarkEnd w:id="28"/>
    <w:bookmarkStart w:id="31" w:name="X08040e7ad9b9f062153682f0f07a2b05c53ac8c"/>
    <w:p>
      <w:pPr>
        <w:pStyle w:val="Heading1"/>
      </w:pPr>
      <w:r>
        <w:rPr>
          <w:bCs/>
          <w:b/>
        </w:rPr>
        <w:t xml:space="preserve">8. GSG Referential Engine — méta-modèle générique par domaine</w:t>
      </w:r>
    </w:p>
    <w:p>
      <w:pPr>
        <w:pStyle w:val="FirstParagraph"/>
      </w:pPr>
      <w:r>
        <w:rPr>
          <w:iCs/>
          <w:i/>
        </w:rPr>
        <w:t xml:space="preserve">Décision d’élévation : le méta-modèle générique du Cadre de Référence Multi-Pays (referentiel_hierarchique, referentiel_regle, corpus_versionne, corpus_element), jusqu’ici décrit comme une méthodologie que chaque cahier « doit consulter », devient officiellement un service du noyau — le GSG Referential Engine — exposé par adaptateur au même titre que GSG ID, l’Org Registry ou le bus d’événements.</w:t>
      </w:r>
    </w:p>
    <w:p>
      <w:pPr>
        <w:pStyle w:val="BodyText"/>
      </w:pPr>
      <w:r>
        <w:t xml:space="preserve">Ce moteur est l’apport le plus structurant du Cadre de Référence Multi-Pays : quatre tables sans aucune référence à un domaine métier dans leur structure, le domaine s’exprimant uniquement par un champ code_domaine. Un produit qui a besoin de modéliser une variation structurelle par pays — cycles scolaires (EduRéussite), régimes fiscaux et formes juridiques (GlobalStock ERP), statuts associatifs (AssoShop), zones et plafonds commerciaux (TradeLink Africa), statuts légaux des cultes (Ecclesias 360, extension future), et désormais la hiérarchie administrative elle-même (section 7) — consomme ce service plutôt que de recréer sa propre table métier équivalente.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KER-ENG-01</w:t>
            </w:r>
          </w:p>
        </w:tc>
        <w:tc>
          <w:tcPr/>
          <w:p>
            <w:pPr>
              <w:pStyle w:val="Compact"/>
              <w:jc w:val="left"/>
            </w:pPr>
            <w:r>
              <w:t xml:space="preserve">Découplage référentiel structurel / contenu versionné : toute donnée décrivant la structure d’un pays (ce qui change rarement) est modélisée indépendamment du temps ; toute donnée de contenu ou de réglementation qui évolue périodiquement (programme scolaire, barème fiscal annuel) est explicitement versionnée et rattachée au référentiel structurel sans jamais le modifier.</w:t>
            </w:r>
          </w:p>
        </w:tc>
      </w:tr>
      <w:tr>
        <w:tc>
          <w:tcPr/>
          <w:p>
            <w:pPr>
              <w:pStyle w:val="Compact"/>
              <w:jc w:val="left"/>
            </w:pPr>
            <w:r>
              <w:rPr>
                <w:bCs/>
                <w:b/>
              </w:rPr>
              <w:t xml:space="preserve">KER-ENG-02</w:t>
            </w:r>
          </w:p>
        </w:tc>
        <w:tc>
          <w:tcPr/>
          <w:p>
            <w:pPr>
              <w:pStyle w:val="Compact"/>
              <w:jc w:val="left"/>
            </w:pPr>
            <w:r>
              <w:t xml:space="preserve">Typologie par domaine et par famille de système : chaque pays est rattaché à une ou plusieurs familles de système selon le domaine considéré (système éducatif francophone/anglophone/lusophone/arabophone ; tradition juridique OHADA/common law/lusophone) ; un nouveau pays hérite par défaut des règles de sa famille et ne nécessite que la saisie de ses spécificités.</w:t>
            </w:r>
          </w:p>
        </w:tc>
      </w:tr>
      <w:tr>
        <w:tc>
          <w:tcPr/>
          <w:p>
            <w:pPr>
              <w:pStyle w:val="Compact"/>
              <w:jc w:val="left"/>
            </w:pPr>
            <w:r>
              <w:rPr>
                <w:bCs/>
                <w:b/>
              </w:rPr>
              <w:t xml:space="preserve">KER-ENG-03</w:t>
            </w:r>
          </w:p>
        </w:tc>
        <w:tc>
          <w:tcPr/>
          <w:p>
            <w:pPr>
              <w:pStyle w:val="Compact"/>
              <w:jc w:val="left"/>
            </w:pPr>
            <w:r>
              <w:t xml:space="preserve">Normalisation inter-pays par rang continu : toute hiérarchie qui varie en profondeur d’un pays à l’autre porte un rang normalisé, entier et continu, permettant la comparaison ou la migration d’une donnée entre pays sans dépendre des appellations locales ; ce rang n’est jamais montré à l’utilisateur final.</w:t>
            </w:r>
          </w:p>
        </w:tc>
      </w:tr>
      <w:tr>
        <w:tc>
          <w:tcPr/>
          <w:p>
            <w:pPr>
              <w:pStyle w:val="Compact"/>
              <w:jc w:val="left"/>
            </w:pPr>
            <w:r>
              <w:rPr>
                <w:bCs/>
                <w:b/>
              </w:rPr>
              <w:t xml:space="preserve">KER-ENG-04</w:t>
            </w:r>
          </w:p>
        </w:tc>
        <w:tc>
          <w:tcPr/>
          <w:p>
            <w:pPr>
              <w:pStyle w:val="Compact"/>
              <w:jc w:val="left"/>
            </w:pPr>
            <w:r>
              <w:t xml:space="preserve">Aucune variation pays codée en dur : aucune condition de la forme « si pays = X » n’apparaît dans le code applicatif d’un produit GSG. Toute variation entre pays s’exprime exclusivement par des données du référentiel ; l’ajout d’un pays ne doit jamais nécessiter une mise à jour du code.</w:t>
            </w:r>
          </w:p>
        </w:tc>
      </w:tr>
      <w:tr>
        <w:tc>
          <w:tcPr/>
          <w:p>
            <w:pPr>
              <w:pStyle w:val="Compact"/>
              <w:jc w:val="left"/>
            </w:pPr>
            <w:r>
              <w:rPr>
                <w:bCs/>
                <w:b/>
              </w:rPr>
              <w:t xml:space="preserve">KER-ENG-05</w:t>
            </w:r>
          </w:p>
        </w:tc>
        <w:tc>
          <w:tcPr/>
          <w:p>
            <w:pPr>
              <w:pStyle w:val="Compact"/>
              <w:jc w:val="left"/>
            </w:pPr>
            <w:r>
              <w:t xml:space="preserve">Organisme réglementaire explicite et traçable : chaque règle ou donnée structurelle rattachée à un pays identifie l’organisme qui la certifie ou la réglemente (ministère national, organisme régional comme la CEDEAO, l’UEMOA, l’OHADA ou le WAEC).</w:t>
            </w:r>
          </w:p>
        </w:tc>
      </w:tr>
      <w:tr>
        <w:tc>
          <w:tcPr/>
          <w:p>
            <w:pPr>
              <w:pStyle w:val="Compact"/>
              <w:jc w:val="left"/>
            </w:pPr>
            <w:r>
              <w:rPr>
                <w:bCs/>
                <w:b/>
              </w:rPr>
              <w:t xml:space="preserve">KER-ENG-06</w:t>
            </w:r>
          </w:p>
        </w:tc>
        <w:tc>
          <w:tcPr/>
          <w:p>
            <w:pPr>
              <w:pStyle w:val="Compact"/>
              <w:jc w:val="left"/>
            </w:pPr>
            <w:r>
              <w:t xml:space="preserve">Traçabilité et niveau de confiance de toute donnée pays : chaque donnée du référentiel porte un statut de confiance (Élevée, Moyenne, À vérifier), une source et une date de dernière vérification ; aucune donnée « À vérifier » n’est utilisée en production sans validation explicite.</w:t>
            </w:r>
          </w:p>
        </w:tc>
      </w:tr>
      <w:tr>
        <w:tc>
          <w:tcPr/>
          <w:p>
            <w:pPr>
              <w:pStyle w:val="Compact"/>
              <w:jc w:val="left"/>
            </w:pPr>
            <w:r>
              <w:rPr>
                <w:bCs/>
                <w:b/>
              </w:rPr>
              <w:t xml:space="preserve">KER-ENG-07</w:t>
            </w:r>
          </w:p>
        </w:tc>
        <w:tc>
          <w:tcPr/>
          <w:p>
            <w:pPr>
              <w:pStyle w:val="Compact"/>
              <w:jc w:val="left"/>
            </w:pPr>
            <w:r>
              <w:t xml:space="preserve">Gouvernance et workflow de validation : toute modification du référentiel structurel (ajout de pays, de règle, de bloc régional) suit un workflow Brouillon → Révision → Validation → Publication, porté par un back-office transversal commun à tous les produits GSG plutôt que par un module ad hoc de chaque produit.</w:t>
            </w:r>
          </w:p>
        </w:tc>
      </w:tr>
      <w:tr>
        <w:tc>
          <w:tcPr/>
          <w:p>
            <w:pPr>
              <w:pStyle w:val="Compact"/>
              <w:jc w:val="left"/>
            </w:pPr>
            <w:r>
              <w:rPr>
                <w:bCs/>
                <w:b/>
              </w:rPr>
              <w:t xml:space="preserve">KER-ENG-08</w:t>
            </w:r>
          </w:p>
        </w:tc>
        <w:tc>
          <w:tcPr/>
          <w:p>
            <w:pPr>
              <w:pStyle w:val="Compact"/>
              <w:jc w:val="left"/>
            </w:pPr>
            <w:r>
              <w:t xml:space="preserve">Le moteur est exposé par adaptateur au même titre que les autres briques du noyau ; un produit consomme referentiel_hierarchique, referentiel_regle, corpus_versionne et corpus_element via API plutôt que de redéfinir sa propre table métier équivalente — c’est la correction directe de la duplication décrite en section 7.</w:t>
            </w:r>
          </w:p>
        </w:tc>
      </w:tr>
      <w:tr>
        <w:tc>
          <w:tcPr/>
          <w:p>
            <w:pPr>
              <w:pStyle w:val="Compact"/>
              <w:jc w:val="left"/>
            </w:pPr>
            <w:r>
              <w:rPr>
                <w:bCs/>
                <w:b/>
              </w:rPr>
              <w:t xml:space="preserve">KER-ENG-09</w:t>
            </w:r>
          </w:p>
        </w:tc>
        <w:tc>
          <w:tcPr/>
          <w:p>
            <w:pPr>
              <w:pStyle w:val="Compact"/>
              <w:jc w:val="left"/>
            </w:pPr>
            <w:r>
              <w:t xml:space="preserve">Chaque produit qui instancie le moteur déclare son ou ses code_domaine dans son propre cahier de conception (education, fiscal, juridique, associatif, commercial_paiement, cultuel_legal, administratif pour le noyau lui-même) ; ce document ne redéfinit pas les instanciations déjà détaillées dans le Cadre de Référence Multi-Pays et les cahiers produits, il les rattache formellement au noyau.</w:t>
            </w:r>
          </w:p>
        </w:tc>
      </w:tr>
    </w:tbl>
    <w:bookmarkStart w:id="29" w:name="les-quatre-tables-du-moteur"/>
    <w:p>
      <w:pPr>
        <w:pStyle w:val="Heading2"/>
      </w:pPr>
      <w:r>
        <w:rPr>
          <w:bCs/>
          <w:b/>
        </w:rPr>
        <w:t xml:space="preserve">Les quatre tables du moteur</w:t>
      </w:r>
    </w:p>
    <w:p>
      <w:pPr>
        <w:pStyle w:val="FirstParagraph"/>
      </w:pPr>
      <w:r>
        <w:rPr>
          <w:iCs/>
          <w:i/>
          <w:bCs/>
          <w:b/>
        </w:rPr>
        <w:t xml:space="preserve">Table : referentiel_hierarchique</w:t>
      </w:r>
    </w:p>
    <w:p>
      <w:pPr>
        <w:pStyle w:val="BodyText"/>
      </w:pPr>
      <w:r>
        <w:rPr>
          <w:iCs/>
          <w:i/>
        </w:rPr>
        <w:t xml:space="preserve">Arbre auto-référencé représentant n’importe quelle hiérarchie qui varie d’un pays à l’autre.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Champ</w:t>
            </w:r>
          </w:p>
        </w:tc>
        <w:tc>
          <w:tcPr/>
          <w:p>
            <w:pPr>
              <w:pStyle w:val="Compact"/>
              <w:jc w:val="left"/>
            </w:pPr>
            <w:r>
              <w:rPr>
                <w:bCs/>
                <w:b/>
              </w:rPr>
              <w:t xml:space="preserve">Description</w:t>
            </w:r>
          </w:p>
        </w:tc>
      </w:tr>
      <w:tr>
        <w:tc>
          <w:tcPr/>
          <w:p>
            <w:pPr>
              <w:pStyle w:val="Compact"/>
              <w:jc w:val="left"/>
            </w:pPr>
            <w:r>
              <w:rPr>
                <w:bCs/>
                <w:b/>
              </w:rPr>
              <w:t xml:space="preserve">id / pays_id / produit_id</w:t>
            </w:r>
          </w:p>
        </w:tc>
        <w:tc>
          <w:tcPr/>
          <w:p>
            <w:pPr>
              <w:pStyle w:val="Compact"/>
              <w:jc w:val="left"/>
            </w:pPr>
            <w:r>
              <w:t xml:space="preserve">identifiants ; produit_id nul pour un nœud transversal (ex. administratif)</w:t>
            </w:r>
          </w:p>
        </w:tc>
      </w:tr>
      <w:tr>
        <w:tc>
          <w:tcPr/>
          <w:p>
            <w:pPr>
              <w:pStyle w:val="Compact"/>
              <w:jc w:val="left"/>
            </w:pPr>
            <w:r>
              <w:rPr>
                <w:bCs/>
                <w:b/>
              </w:rPr>
              <w:t xml:space="preserve">code_domaine</w:t>
            </w:r>
          </w:p>
        </w:tc>
        <w:tc>
          <w:tcPr/>
          <w:p>
            <w:pPr>
              <w:pStyle w:val="Compact"/>
              <w:jc w:val="left"/>
            </w:pPr>
            <w:r>
              <w:t xml:space="preserve">discriminant métier : education, fiscal, juridique, associatif, commercial_paiement, administratif…</w:t>
            </w:r>
          </w:p>
        </w:tc>
      </w:tr>
      <w:tr>
        <w:tc>
          <w:tcPr/>
          <w:p>
            <w:pPr>
              <w:pStyle w:val="Compact"/>
              <w:jc w:val="left"/>
            </w:pPr>
            <w:r>
              <w:rPr>
                <w:bCs/>
                <w:b/>
              </w:rPr>
              <w:t xml:space="preserve">parent_id</w:t>
            </w:r>
          </w:p>
        </w:tc>
        <w:tc>
          <w:tcPr/>
          <w:p>
            <w:pPr>
              <w:pStyle w:val="Compact"/>
              <w:jc w:val="left"/>
            </w:pPr>
            <w:r>
              <w:t xml:space="preserve">auto-référence — nul pour un nœud racine, renseigné pour un nœud enfant</w:t>
            </w:r>
          </w:p>
        </w:tc>
      </w:tr>
      <w:tr>
        <w:tc>
          <w:tcPr/>
          <w:p>
            <w:pPr>
              <w:pStyle w:val="Compact"/>
              <w:jc w:val="left"/>
            </w:pPr>
            <w:r>
              <w:rPr>
                <w:bCs/>
                <w:b/>
              </w:rPr>
              <w:t xml:space="preserve">appellation_locale / rang_normalise / ordre</w:t>
            </w:r>
          </w:p>
        </w:tc>
        <w:tc>
          <w:tcPr/>
          <w:p>
            <w:pPr>
              <w:pStyle w:val="Compact"/>
              <w:jc w:val="left"/>
            </w:pPr>
            <w:r>
              <w:t xml:space="preserve">nom local du nœud, rang continu inter-pays, position ordinale</w:t>
            </w:r>
          </w:p>
        </w:tc>
      </w:tr>
      <w:tr>
        <w:tc>
          <w:tcPr/>
          <w:p>
            <w:pPr>
              <w:pStyle w:val="Compact"/>
              <w:jc w:val="left"/>
            </w:pPr>
            <w:r>
              <w:rPr>
                <w:bCs/>
                <w:b/>
              </w:rPr>
              <w:t xml:space="preserve">est_noeud_terminal / metadata</w:t>
            </w:r>
          </w:p>
        </w:tc>
        <w:tc>
          <w:tcPr/>
          <w:p>
            <w:pPr>
              <w:pStyle w:val="Compact"/>
              <w:jc w:val="left"/>
            </w:pPr>
            <w:r>
              <w:t xml:space="preserve">vrai si le nœud peut porter une referentiel_regle ; champ libre structuré</w:t>
            </w:r>
          </w:p>
        </w:tc>
      </w:tr>
    </w:tbl>
    <w:p>
      <w:pPr>
        <w:pStyle w:val="BodyText"/>
      </w:pPr>
      <w:r>
        <w:rPr>
          <w:iCs/>
          <w:i/>
          <w:bCs/>
          <w:b/>
        </w:rPr>
        <w:t xml:space="preserve">Table : referentiel_regle</w:t>
      </w:r>
    </w:p>
    <w:p>
      <w:pPr>
        <w:pStyle w:val="BodyText"/>
      </w:pPr>
      <w:r>
        <w:rPr>
          <w:iCs/>
          <w:i/>
        </w:rPr>
        <w:t xml:space="preserve">Règle rattachée à un nœud terminal : examen, taux de TVA, seuil d’agrément, plafond réglementaire.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Champ</w:t>
            </w:r>
          </w:p>
        </w:tc>
        <w:tc>
          <w:tcPr/>
          <w:p>
            <w:pPr>
              <w:pStyle w:val="Compact"/>
              <w:jc w:val="left"/>
            </w:pPr>
            <w:r>
              <w:rPr>
                <w:bCs/>
                <w:b/>
              </w:rPr>
              <w:t xml:space="preserve">Description</w:t>
            </w:r>
          </w:p>
        </w:tc>
      </w:tr>
      <w:tr>
        <w:tc>
          <w:tcPr/>
          <w:p>
            <w:pPr>
              <w:pStyle w:val="Compact"/>
              <w:jc w:val="left"/>
            </w:pPr>
            <w:r>
              <w:rPr>
                <w:bCs/>
                <w:b/>
              </w:rPr>
              <w:t xml:space="preserve">id / referentiel_hierarchique_id</w:t>
            </w:r>
          </w:p>
        </w:tc>
        <w:tc>
          <w:tcPr/>
          <w:p>
            <w:pPr>
              <w:pStyle w:val="Compact"/>
              <w:jc w:val="left"/>
            </w:pPr>
            <w:r>
              <w:t xml:space="preserve">identifiant ; clé vers un nœud où est_noeud_terminal = vrai</w:t>
            </w:r>
          </w:p>
        </w:tc>
      </w:tr>
      <w:tr>
        <w:tc>
          <w:tcPr/>
          <w:p>
            <w:pPr>
              <w:pStyle w:val="Compact"/>
              <w:jc w:val="left"/>
            </w:pPr>
            <w:r>
              <w:rPr>
                <w:bCs/>
                <w:b/>
              </w:rPr>
              <w:t xml:space="preserve">code_domaine / nom / sigle</w:t>
            </w:r>
          </w:p>
        </w:tc>
        <w:tc>
          <w:tcPr/>
          <w:p>
            <w:pPr>
              <w:pStyle w:val="Compact"/>
              <w:jc w:val="left"/>
            </w:pPr>
            <w:r>
              <w:t xml:space="preserve">même discriminant que le nœud associé ; libellé et sigle de la règle</w:t>
            </w:r>
          </w:p>
        </w:tc>
      </w:tr>
      <w:tr>
        <w:tc>
          <w:tcPr/>
          <w:p>
            <w:pPr>
              <w:pStyle w:val="Compact"/>
              <w:jc w:val="left"/>
            </w:pPr>
            <w:r>
              <w:rPr>
                <w:bCs/>
                <w:b/>
              </w:rPr>
              <w:t xml:space="preserve">organisme_certificateur / valeur / metadata</w:t>
            </w:r>
          </w:p>
        </w:tc>
        <w:tc>
          <w:tcPr/>
          <w:p>
            <w:pPr>
              <w:pStyle w:val="Compact"/>
              <w:jc w:val="left"/>
            </w:pPr>
            <w:r>
              <w:t xml:space="preserve">organisme responsable ; valeur numérique ou codifiée ; attributs additionnels</w:t>
            </w:r>
          </w:p>
        </w:tc>
      </w:tr>
    </w:tbl>
    <w:p>
      <w:pPr>
        <w:pStyle w:val="BodyText"/>
      </w:pPr>
      <w:r>
        <w:rPr>
          <w:iCs/>
          <w:i/>
          <w:bCs/>
          <w:b/>
        </w:rPr>
        <w:t xml:space="preserve">Table : corpus_versionne</w:t>
      </w:r>
    </w:p>
    <w:p>
      <w:pPr>
        <w:pStyle w:val="BodyText"/>
      </w:pPr>
      <w:r>
        <w:rPr>
          <w:iCs/>
          <w:i/>
        </w:rPr>
        <w:t xml:space="preserve">Généralisation du programme scolaire versionné : contenu ou réglementation renouvelé périodiquement.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Champ</w:t>
            </w:r>
          </w:p>
        </w:tc>
        <w:tc>
          <w:tcPr/>
          <w:p>
            <w:pPr>
              <w:pStyle w:val="Compact"/>
              <w:jc w:val="left"/>
            </w:pPr>
            <w:r>
              <w:rPr>
                <w:bCs/>
                <w:b/>
              </w:rPr>
              <w:t xml:space="preserve">Description</w:t>
            </w:r>
          </w:p>
        </w:tc>
      </w:tr>
      <w:tr>
        <w:tc>
          <w:tcPr/>
          <w:p>
            <w:pPr>
              <w:pStyle w:val="Compact"/>
              <w:jc w:val="left"/>
            </w:pPr>
            <w:r>
              <w:rPr>
                <w:bCs/>
                <w:b/>
              </w:rPr>
              <w:t xml:space="preserve">id / pays_id / produit_id / code_domaine</w:t>
            </w:r>
          </w:p>
        </w:tc>
        <w:tc>
          <w:tcPr/>
          <w:p>
            <w:pPr>
              <w:pStyle w:val="Compact"/>
              <w:jc w:val="left"/>
            </w:pPr>
            <w:r>
              <w:t xml:space="preserve">identifiants et discriminant</w:t>
            </w:r>
          </w:p>
        </w:tc>
      </w:tr>
      <w:tr>
        <w:tc>
          <w:tcPr/>
          <w:p>
            <w:pPr>
              <w:pStyle w:val="Compact"/>
              <w:jc w:val="left"/>
            </w:pPr>
            <w:r>
              <w:rPr>
                <w:bCs/>
                <w:b/>
              </w:rPr>
              <w:t xml:space="preserve">libelle_version / statut / date_publication</w:t>
            </w:r>
          </w:p>
        </w:tc>
        <w:tc>
          <w:tcPr/>
          <w:p>
            <w:pPr>
              <w:pStyle w:val="Compact"/>
              <w:jc w:val="left"/>
            </w:pPr>
            <w:r>
              <w:t xml:space="preserve">ex. « Année scolaire 2026-2027 » ; brouillon │ publié │ archivé ; date</w:t>
            </w:r>
          </w:p>
        </w:tc>
      </w:tr>
    </w:tbl>
    <w:p>
      <w:pPr>
        <w:pStyle w:val="BodyText"/>
      </w:pPr>
      <w:r>
        <w:rPr>
          <w:iCs/>
          <w:i/>
          <w:bCs/>
          <w:b/>
        </w:rPr>
        <w:t xml:space="preserve">Table : corpus_element</w:t>
      </w:r>
    </w:p>
    <w:p>
      <w:pPr>
        <w:pStyle w:val="BodyText"/>
      </w:pPr>
      <w:r>
        <w:rPr>
          <w:iCs/>
          <w:i/>
        </w:rPr>
        <w:t xml:space="preserve">Élément de contenu rattaché à un corpus_versionne et à un nœud du référentiel hiérarchique.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Champ</w:t>
            </w:r>
          </w:p>
        </w:tc>
        <w:tc>
          <w:tcPr/>
          <w:p>
            <w:pPr>
              <w:pStyle w:val="Compact"/>
              <w:jc w:val="left"/>
            </w:pPr>
            <w:r>
              <w:rPr>
                <w:bCs/>
                <w:b/>
              </w:rPr>
              <w:t xml:space="preserve">Description</w:t>
            </w:r>
          </w:p>
        </w:tc>
      </w:tr>
      <w:tr>
        <w:tc>
          <w:tcPr/>
          <w:p>
            <w:pPr>
              <w:pStyle w:val="Compact"/>
              <w:jc w:val="left"/>
            </w:pPr>
            <w:r>
              <w:rPr>
                <w:bCs/>
                <w:b/>
              </w:rPr>
              <w:t xml:space="preserve">id / corpus_versionne_id / referentiel_hierarchique_id</w:t>
            </w:r>
          </w:p>
        </w:tc>
        <w:tc>
          <w:tcPr/>
          <w:p>
            <w:pPr>
              <w:pStyle w:val="Compact"/>
              <w:jc w:val="left"/>
            </w:pPr>
            <w:r>
              <w:t xml:space="preserve">identifiants et clés étrangères</w:t>
            </w:r>
          </w:p>
        </w:tc>
      </w:tr>
      <w:tr>
        <w:tc>
          <w:tcPr/>
          <w:p>
            <w:pPr>
              <w:pStyle w:val="Compact"/>
              <w:jc w:val="left"/>
            </w:pPr>
            <w:r>
              <w:rPr>
                <w:bCs/>
                <w:b/>
              </w:rPr>
              <w:t xml:space="preserve">nom / valeur_ou_coefficient / metadata</w:t>
            </w:r>
          </w:p>
        </w:tc>
        <w:tc>
          <w:tcPr/>
          <w:p>
            <w:pPr>
              <w:pStyle w:val="Compact"/>
              <w:jc w:val="left"/>
            </w:pPr>
            <w:r>
              <w:t xml:space="preserve">nom de l’élément ; pondération ou valeur ; champ libre</w:t>
            </w:r>
          </w:p>
        </w:tc>
      </w:tr>
    </w:tbl>
    <w:bookmarkEnd w:id="29"/>
    <w:bookmarkStart w:id="30" w:name="Xb766a737ef01158576489ed33837ef59898d772"/>
    <w:p>
      <w:pPr>
        <w:pStyle w:val="Heading2"/>
      </w:pPr>
      <w:r>
        <w:rPr>
          <w:bCs/>
          <w:b/>
        </w:rPr>
        <w:t xml:space="preserve">Check-list d’adoption pour un nouveau produit GSG</w:t>
      </w:r>
    </w:p>
    <w:p>
      <w:pPr>
        <w:numPr>
          <w:ilvl w:val="0"/>
          <w:numId w:val="1003"/>
        </w:numPr>
      </w:pPr>
      <w:r>
        <w:t xml:space="preserve">Identifier le ou les domaines pertinents pour le produit et leur attribuer un code_domaine unique.</w:t>
      </w:r>
    </w:p>
    <w:p>
      <w:pPr>
        <w:numPr>
          <w:ilvl w:val="0"/>
          <w:numId w:val="1003"/>
        </w:numPr>
      </w:pPr>
      <w:r>
        <w:t xml:space="preserve">Réutiliser telle quelle la table pays existante et ses tables satellites (devise, langue, bloc régional) : ne jamais recréer un référentiel pays propre au produit.</w:t>
      </w:r>
    </w:p>
    <w:p>
      <w:pPr>
        <w:numPr>
          <w:ilvl w:val="0"/>
          <w:numId w:val="1003"/>
        </w:numPr>
      </w:pPr>
      <w:r>
        <w:t xml:space="preserve">Définir le ou les arbres referentiel_hierarchique nécessaires au domaine, avec leur code_domaine dédié, en s’appuyant sur le mécanisme générique plutôt que sur des tables métier spécifiques.</w:t>
      </w:r>
    </w:p>
    <w:p>
      <w:pPr>
        <w:numPr>
          <w:ilvl w:val="0"/>
          <w:numId w:val="1003"/>
        </w:numPr>
      </w:pPr>
      <w:r>
        <w:t xml:space="preserve">Rattacher les referentiel_regle pertinentes aux nœuds terminaux de ces arbres.</w:t>
      </w:r>
    </w:p>
    <w:p>
      <w:pPr>
        <w:numPr>
          <w:ilvl w:val="0"/>
          <w:numId w:val="1003"/>
        </w:numPr>
      </w:pPr>
      <w:r>
        <w:t xml:space="preserve">Définir le corpus_versionne adapté au contenu qui se renouvelle périodiquement dans ce domaine, et y rattacher les corpus_element correspondants.</w:t>
      </w:r>
    </w:p>
    <w:p>
      <w:pPr>
        <w:numPr>
          <w:ilvl w:val="0"/>
          <w:numId w:val="1003"/>
        </w:numPr>
      </w:pPr>
      <w:r>
        <w:t xml:space="preserve">Renseigner produit_pays_deploiement pour piloter la trajectoire d’expansion du produit, indépendamment du statut des autres produits GSG sur les mêmes pays.</w:t>
      </w:r>
    </w:p>
    <w:p>
      <w:pPr>
        <w:numPr>
          <w:ilvl w:val="0"/>
          <w:numId w:val="1003"/>
        </w:numPr>
      </w:pPr>
      <w:r>
        <w:t xml:space="preserve">Documenter systématiquement le niveau de confiance, la source et la date de vérification de chaque donnée saisie (KER-ENG-06).</w:t>
      </w:r>
    </w:p>
    <w:bookmarkEnd w:id="30"/>
    <w:bookmarkEnd w:id="31"/>
    <w:bookmarkStart w:id="32" w:name="héritage-des-paramètres-régionaux"/>
    <w:p>
      <w:pPr>
        <w:pStyle w:val="Heading1"/>
      </w:pPr>
      <w:r>
        <w:rPr>
          <w:bCs/>
          <w:b/>
        </w:rPr>
        <w:t xml:space="preserve">9. Héritage des paramètres régionaux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KER-INH-01</w:t>
            </w:r>
          </w:p>
        </w:tc>
        <w:tc>
          <w:tcPr/>
          <w:p>
            <w:pPr>
              <w:pStyle w:val="Compact"/>
              <w:jc w:val="left"/>
            </w:pPr>
            <w:r>
              <w:t xml:space="preserve">La résolution des paramètres régionaux (langue, devise, fuseau horaire, format de date/nombre) suit un ordre de priorité strict : Utilisateur → Organisation/Agence → Pays → Global. Le premier niveau où un paramètre est explicitement défini l’emporte.</w:t>
            </w:r>
          </w:p>
        </w:tc>
      </w:tr>
      <w:tr>
        <w:tc>
          <w:tcPr/>
          <w:p>
            <w:pPr>
              <w:pStyle w:val="Compact"/>
              <w:jc w:val="left"/>
            </w:pPr>
            <w:r>
              <w:rPr>
                <w:bCs/>
                <w:b/>
              </w:rPr>
              <w:t xml:space="preserve">KER-INH-02</w:t>
            </w:r>
          </w:p>
        </w:tc>
        <w:tc>
          <w:tcPr/>
          <w:p>
            <w:pPr>
              <w:pStyle w:val="Compact"/>
              <w:jc w:val="left"/>
            </w:pPr>
            <w:r>
              <w:t xml:space="preserve">Un paramètre non défini à un niveau n’est jamais traité comme une valeur arbitraire codée en dur ; la résolution doit remonter la chaîne d’héritage jusqu’à trouver une valeur explicite, y compris jusqu’au niveau Global.</w:t>
            </w:r>
          </w:p>
        </w:tc>
      </w:tr>
      <w:tr>
        <w:tc>
          <w:tcPr/>
          <w:p>
            <w:pPr>
              <w:pStyle w:val="Compact"/>
              <w:jc w:val="left"/>
            </w:pPr>
            <w:r>
              <w:rPr>
                <w:bCs/>
                <w:b/>
              </w:rPr>
              <w:t xml:space="preserve">KER-INH-03</w:t>
            </w:r>
          </w:p>
        </w:tc>
        <w:tc>
          <w:tcPr/>
          <w:p>
            <w:pPr>
              <w:pStyle w:val="Compact"/>
              <w:jc w:val="left"/>
            </w:pPr>
            <w:r>
              <w:t xml:space="preserve">Toute organisation cliente peut créer des agences localisées différemment de son siège sans dupliquer le code applicatif, le mécanisme d’héritage s’appliquant identiquement à chaque niveau.</w:t>
            </w:r>
          </w:p>
        </w:tc>
      </w:tr>
    </w:tbl>
    <w:bookmarkEnd w:id="32"/>
    <w:bookmarkStart w:id="33" w:name="appconfig-et-consommation-côté-client"/>
    <w:p>
      <w:pPr>
        <w:pStyle w:val="Heading1"/>
      </w:pPr>
      <w:r>
        <w:rPr>
          <w:bCs/>
          <w:b/>
        </w:rPr>
        <w:t xml:space="preserve">10. AppConfig et consommation côté client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KER-CFG-01</w:t>
            </w:r>
          </w:p>
        </w:tc>
        <w:tc>
          <w:tcPr/>
          <w:p>
            <w:pPr>
              <w:pStyle w:val="Compact"/>
              <w:jc w:val="left"/>
            </w:pPr>
            <w:r>
              <w:t xml:space="preserve">Aucune application cliente (Flutter, web) ne doit contenir de branchement conditionnel sur un pays codé en dur ; elle reçoit un objet de configuration résolu (AppConfig : pays, devise, langue, locale, fuseau_horaire, format_date, format_nombre, adresse_gabarit, fournisseurs_paiement) depuis le noyau.</w:t>
            </w:r>
          </w:p>
        </w:tc>
      </w:tr>
      <w:tr>
        <w:tc>
          <w:tcPr/>
          <w:p>
            <w:pPr>
              <w:pStyle w:val="Compact"/>
              <w:jc w:val="left"/>
            </w:pPr>
            <w:r>
              <w:rPr>
                <w:bCs/>
                <w:b/>
              </w:rPr>
              <w:t xml:space="preserve">KER-CFG-02</w:t>
            </w:r>
          </w:p>
        </w:tc>
        <w:tc>
          <w:tcPr/>
          <w:p>
            <w:pPr>
              <w:pStyle w:val="Compact"/>
              <w:jc w:val="left"/>
            </w:pPr>
            <w:r>
              <w:t xml:space="preserve">L’AppConfig est calculé côté serveur, en appliquant la chaîne d’héritage (KER-INH-01), et transmis en un seul appel au démarrage de l’application, jamais reconstruit indépendamment par chaque client.</w:t>
            </w:r>
          </w:p>
        </w:tc>
      </w:tr>
      <w:tr>
        <w:tc>
          <w:tcPr/>
          <w:p>
            <w:pPr>
              <w:pStyle w:val="Compact"/>
              <w:jc w:val="left"/>
            </w:pPr>
            <w:r>
              <w:rPr>
                <w:bCs/>
                <w:b/>
              </w:rPr>
              <w:t xml:space="preserve">KER-CFG-03</w:t>
            </w:r>
          </w:p>
        </w:tc>
        <w:tc>
          <w:tcPr/>
          <w:p>
            <w:pPr>
              <w:pStyle w:val="Compact"/>
              <w:jc w:val="left"/>
            </w:pPr>
            <w:r>
              <w:t xml:space="preserve">L’AppConfig inclut le gabarit de format d’adresse postale par pays (KER-REF-09), point nécessaire pour AssoShop, TradeLink Africa et toute fonctionnalité de logistique.</w:t>
            </w:r>
          </w:p>
        </w:tc>
      </w:tr>
      <w:tr>
        <w:tc>
          <w:tcPr/>
          <w:p>
            <w:pPr>
              <w:pStyle w:val="Compact"/>
              <w:jc w:val="left"/>
            </w:pPr>
            <w:r>
              <w:rPr>
                <w:bCs/>
                <w:b/>
              </w:rPr>
              <w:t xml:space="preserve">KER-CFG-04</w:t>
            </w:r>
          </w:p>
        </w:tc>
        <w:tc>
          <w:tcPr/>
          <w:p>
            <w:pPr>
              <w:pStyle w:val="Compact"/>
              <w:jc w:val="left"/>
            </w:pPr>
            <w:r>
              <w:t xml:space="preserve">Les numéros de téléphone affichés ou saisis côté client sont systématiquement validés au format E.164 (KER-ID-06) ; l’indicatif téléphonique du pays sert uniquement à préremplir l’interface, jamais à lui seul de règle de validation.</w:t>
            </w:r>
          </w:p>
        </w:tc>
      </w:tr>
    </w:tbl>
    <w:bookmarkEnd w:id="33"/>
    <w:bookmarkStart w:id="34" w:name="bus-dévénements-inter-produits"/>
    <w:p>
      <w:pPr>
        <w:pStyle w:val="Heading1"/>
      </w:pPr>
      <w:r>
        <w:rPr>
          <w:bCs/>
          <w:b/>
        </w:rPr>
        <w:t xml:space="preserve">11. Bus d’événements inter-produits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KER-EVT-01</w:t>
            </w:r>
          </w:p>
        </w:tc>
        <w:tc>
          <w:tcPr/>
          <w:p>
            <w:pPr>
              <w:pStyle w:val="Compact"/>
              <w:jc w:val="left"/>
            </w:pPr>
            <w:r>
              <w:t xml:space="preserve">Les événements inter-produits transitent par un bus léger (Redis Streams ou NATS), selon un schéma d’événement commun : type, gsg_org_id, horodatage, charge utile, produit source.</w:t>
            </w:r>
          </w:p>
        </w:tc>
      </w:tr>
      <w:tr>
        <w:tc>
          <w:tcPr/>
          <w:p>
            <w:pPr>
              <w:pStyle w:val="Compact"/>
              <w:jc w:val="left"/>
            </w:pPr>
            <w:r>
              <w:rPr>
                <w:bCs/>
                <w:b/>
              </w:rPr>
              <w:t xml:space="preserve">KER-EVT-02</w:t>
            </w:r>
          </w:p>
        </w:tc>
        <w:tc>
          <w:tcPr/>
          <w:p>
            <w:pPr>
              <w:pStyle w:val="Compact"/>
              <w:jc w:val="left"/>
            </w:pPr>
            <w:r>
              <w:t xml:space="preserve">Chaque produit choisit librement les événements qu’il publie et ceux qu’il consomme ; l’absence de connexion au bus ne doit jamais bloquer le fonctionnement autonome d’un produit.</w:t>
            </w:r>
          </w:p>
        </w:tc>
      </w:tr>
      <w:tr>
        <w:tc>
          <w:tcPr/>
          <w:p>
            <w:pPr>
              <w:pStyle w:val="Compact"/>
              <w:jc w:val="left"/>
            </w:pPr>
            <w:r>
              <w:rPr>
                <w:bCs/>
                <w:b/>
              </w:rPr>
              <w:t xml:space="preserve">KER-EVT-03</w:t>
            </w:r>
          </w:p>
        </w:tc>
        <w:tc>
          <w:tcPr/>
          <w:p>
            <w:pPr>
              <w:pStyle w:val="Compact"/>
              <w:jc w:val="left"/>
            </w:pPr>
            <w:r>
              <w:t xml:space="preserve">Exemple de référence : un événement « collaborateur.depart » émis par un futur module RH peut déclencher automatiquement l’Offboarding Guard de SecureGuard, sans couplage direct de code entre les deux produits.</w:t>
            </w:r>
          </w:p>
        </w:tc>
      </w:tr>
    </w:tbl>
    <w:bookmarkEnd w:id="34"/>
    <w:bookmarkStart w:id="35" w:name="X1fba9aa4b85fe24e718d797b6d43f59c97d3d4e"/>
    <w:p>
      <w:pPr>
        <w:pStyle w:val="Heading1"/>
      </w:pPr>
      <w:r>
        <w:rPr>
          <w:bCs/>
          <w:b/>
        </w:rPr>
        <w:t xml:space="preserve">12. Audit et gouvernance des données inter-produits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KER-AUD-01</w:t>
            </w:r>
          </w:p>
        </w:tc>
        <w:tc>
          <w:tcPr/>
          <w:p>
            <w:pPr>
              <w:pStyle w:val="Compact"/>
              <w:jc w:val="left"/>
            </w:pPr>
            <w:r>
              <w:t xml:space="preserve">Un journal d’audit centralisé optionnel permet de consulter, pour une organisation donnée, les actions significatives réalisées sur l’ensemble des produits GSG auxquels elle est abonnée.</w:t>
            </w:r>
          </w:p>
        </w:tc>
      </w:tr>
      <w:tr>
        <w:tc>
          <w:tcPr/>
          <w:p>
            <w:pPr>
              <w:pStyle w:val="Compact"/>
              <w:jc w:val="left"/>
            </w:pPr>
            <w:r>
              <w:rPr>
                <w:bCs/>
                <w:b/>
              </w:rPr>
              <w:t xml:space="preserve">KER-AUD-02</w:t>
            </w:r>
          </w:p>
        </w:tc>
        <w:tc>
          <w:tcPr/>
          <w:p>
            <w:pPr>
              <w:pStyle w:val="Compact"/>
              <w:jc w:val="left"/>
            </w:pPr>
            <w:r>
              <w:t xml:space="preserve">La nature des données partagées entre produits pour une même organisation doit être documentée explicitement et communiquée à l’organisation cliente, conformément au principe de Privacy by Design déjà retenu pour SecureGuard.</w:t>
            </w:r>
          </w:p>
        </w:tc>
      </w:tr>
      <w:tr>
        <w:tc>
          <w:tcPr/>
          <w:p>
            <w:pPr>
              <w:pStyle w:val="Compact"/>
              <w:jc w:val="left"/>
            </w:pPr>
            <w:r>
              <w:rPr>
                <w:bCs/>
                <w:b/>
              </w:rPr>
              <w:t xml:space="preserve">KER-AUD-03</w:t>
            </w:r>
          </w:p>
        </w:tc>
        <w:tc>
          <w:tcPr/>
          <w:p>
            <w:pPr>
              <w:pStyle w:val="Compact"/>
              <w:jc w:val="left"/>
            </w:pPr>
            <w:r>
              <w:t xml:space="preserve">Aucune donnée métier sensible (contenu financier, données de santé, données scolaires nominatives) ne doit transiter par le bus d’événements sans finalité explicite et base légale documentée.</w:t>
            </w:r>
          </w:p>
        </w:tc>
      </w:tr>
      <w:tr>
        <w:tc>
          <w:tcPr/>
          <w:p>
            <w:pPr>
              <w:pStyle w:val="Compact"/>
              <w:jc w:val="left"/>
            </w:pPr>
            <w:r>
              <w:rPr>
                <w:bCs/>
                <w:b/>
              </w:rPr>
              <w:t xml:space="preserve">KER-AUD-04</w:t>
            </w:r>
          </w:p>
        </w:tc>
        <w:tc>
          <w:tcPr/>
          <w:p>
            <w:pPr>
              <w:pStyle w:val="Compact"/>
              <w:jc w:val="left"/>
            </w:pPr>
            <w:r>
              <w:t xml:space="preserve">Toute modification du référentiel structurel partagé (pays, devise, langue, bloc régional, nœud du Referential Engine) suit le workflow Brouillon → Révision → Validation → Publication (KER-ENG-07) et est journalisée dans l’audit centralisé, quel que soit le produit à l’origine de la demande.</w:t>
            </w:r>
          </w:p>
        </w:tc>
      </w:tr>
    </w:tbl>
    <w:bookmarkEnd w:id="35"/>
    <w:bookmarkStart w:id="36" w:name="Xa2b20ba1977093adf83445c60f39fee4b5479e2"/>
    <w:p>
      <w:pPr>
        <w:pStyle w:val="Heading1"/>
      </w:pPr>
      <w:r>
        <w:rPr>
          <w:bCs/>
          <w:b/>
        </w:rPr>
        <w:t xml:space="preserve">13. Facturation unifiée (brique différée par défaut)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KER-BIL-01</w:t>
            </w:r>
          </w:p>
        </w:tc>
        <w:tc>
          <w:tcPr/>
          <w:p>
            <w:pPr>
              <w:pStyle w:val="Compact"/>
              <w:jc w:val="left"/>
            </w:pPr>
            <w:r>
              <w:t xml:space="preserve">Un moteur de facturation central (GSG Billing Core) mutualise l’intégration aux agrégateurs mobile money (CinetPay, PayDunya, Flutterwave) pour l’ensemble du portefeuille.</w:t>
            </w:r>
          </w:p>
        </w:tc>
      </w:tr>
      <w:tr>
        <w:tc>
          <w:tcPr/>
          <w:p>
            <w:pPr>
              <w:pStyle w:val="Compact"/>
              <w:jc w:val="left"/>
            </w:pPr>
            <w:r>
              <w:rPr>
                <w:bCs/>
                <w:b/>
              </w:rPr>
              <w:t xml:space="preserve">KER-BIL-02</w:t>
            </w:r>
          </w:p>
        </w:tc>
        <w:tc>
          <w:tcPr/>
          <w:p>
            <w:pPr>
              <w:pStyle w:val="Compact"/>
              <w:jc w:val="left"/>
            </w:pPr>
            <w:r>
              <w:t xml:space="preserve">L’intégration de la facturation unifiée à un produit déjà en production est différée par défaut ; elle n’est activée que sur décision commerciale explicite (ex. lancement d’une offre groupée inter-produits).</w:t>
            </w:r>
          </w:p>
        </w:tc>
      </w:tr>
      <w:tr>
        <w:tc>
          <w:tcPr/>
          <w:p>
            <w:pPr>
              <w:pStyle w:val="Compact"/>
              <w:jc w:val="left"/>
            </w:pPr>
            <w:r>
              <w:rPr>
                <w:bCs/>
                <w:b/>
              </w:rPr>
              <w:t xml:space="preserve">KER-BIL-03</w:t>
            </w:r>
          </w:p>
        </w:tc>
        <w:tc>
          <w:tcPr/>
          <w:p>
            <w:pPr>
              <w:pStyle w:val="Compact"/>
              <w:jc w:val="left"/>
            </w:pPr>
            <w:r>
              <w:t xml:space="preserve">La facturation unifiée doit permettre des offres groupées (ex. Pack Association = AssoShop + SecureGuard Essentiel) sans jamais remettre en cause la facturation autonome déjà en place dans chaque produit.</w:t>
            </w:r>
          </w:p>
        </w:tc>
      </w:tr>
    </w:tbl>
    <w:bookmarkEnd w:id="36"/>
    <w:bookmarkStart w:id="37" w:name="X8d96f344505792ebcd45513965882542a36afd2"/>
    <w:p>
      <w:pPr>
        <w:pStyle w:val="Heading1"/>
      </w:pPr>
      <w:r>
        <w:rPr>
          <w:bCs/>
          <w:b/>
        </w:rPr>
        <w:t xml:space="preserve">14. Design System GSG (brique cosmétique, non urgente)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KER-DES-01</w:t>
            </w:r>
          </w:p>
        </w:tc>
        <w:tc>
          <w:tcPr/>
          <w:p>
            <w:pPr>
              <w:pStyle w:val="Compact"/>
              <w:jc w:val="left"/>
            </w:pPr>
            <w:r>
              <w:t xml:space="preserve">Une bibliothèque de composants Flutter partagée (GSG Design Kit) définit la charte visuelle commune du portefeuille (couleurs, typographie, composants standards).</w:t>
            </w:r>
          </w:p>
        </w:tc>
      </w:tr>
      <w:tr>
        <w:tc>
          <w:tcPr/>
          <w:p>
            <w:pPr>
              <w:pStyle w:val="Compact"/>
              <w:jc w:val="left"/>
            </w:pPr>
            <w:r>
              <w:rPr>
                <w:bCs/>
                <w:b/>
              </w:rPr>
              <w:t xml:space="preserve">KER-DES-02</w:t>
            </w:r>
          </w:p>
        </w:tc>
        <w:tc>
          <w:tcPr/>
          <w:p>
            <w:pPr>
              <w:pStyle w:val="Compact"/>
              <w:jc w:val="left"/>
            </w:pPr>
            <w:r>
              <w:t xml:space="preserve">L’adoption du Design Kit par un produit existant est progressive et non bloquante : elle s’applique aux nouveaux écrans et aux refontes déjà planifiées, jamais par une réécriture forcée de l’interface existante.</w:t>
            </w:r>
          </w:p>
        </w:tc>
      </w:tr>
      <w:tr>
        <w:tc>
          <w:tcPr/>
          <w:p>
            <w:pPr>
              <w:pStyle w:val="Compact"/>
              <w:jc w:val="left"/>
            </w:pPr>
            <w:r>
              <w:rPr>
                <w:bCs/>
                <w:b/>
              </w:rPr>
              <w:t xml:space="preserve">KER-DES-03</w:t>
            </w:r>
          </w:p>
        </w:tc>
        <w:tc>
          <w:tcPr/>
          <w:p>
            <w:pPr>
              <w:pStyle w:val="Compact"/>
              <w:jc w:val="left"/>
            </w:pPr>
            <w:r>
              <w:t xml:space="preserve">Les composants du Design Kit ne consomment jamais de valeur de couleur littérale codée en dur : ils exposent des rôles sémantiques (couleur primaire, accent succès, surface, texte secondaire…) dont chaque produit du portefeuille fournit sa propre implémentation — sa palette de marque — via un contrat de tokens commun défini par le Kit. Le Design Kit ne connaît jamais la valeur réelle d’une couleur, seulement le nom du rôle qu’elle joue ; c’est ce découplage qui permet à un même bouton du Kit de s’afficher différemment pour PharmaConnect, Ecclesias 360 ou EduRéussite sans code spécifique par produit.</w:t>
            </w:r>
          </w:p>
        </w:tc>
      </w:tr>
    </w:tbl>
    <w:p>
      <w:pPr>
        <w:pStyle w:val="BodyText"/>
      </w:pPr>
      <w:r>
        <w:rPr>
          <w:iCs/>
          <w:i/>
        </w:rPr>
        <w:t xml:space="preserve">KER-DES-03 précise le mécanisme qui permet à une bibliothèque de composants unique de rester pertinente pour des produits aux chartes visuelles radicalement différentes (le vert associé à la santé de PharmaConnect, une palette liturgique pour Ecclesias 360, une palette éducative pour EduRéussite) : la séparation stricte entre les composants, qui ne connaissent que des rôles sémantiques, et leur implémentation, la palette de marque que chaque produit fournit derrière ces rôles via le contrat de tokens défini par le Kit. Côté Flutter, ce contrat se matérialise par un ThemeData (ou une ThemeExtension construite à partir de la palette de tokens du produit) injecté au sommet de l’arbre de widgets ; les composants du Kit, plus bas dans l’arbre, lisent ces tokens via Theme.of(context) et se peignent en conséquence, sans jamais coder de couleur en dur. Cette continuité s’applique directement à KER-DES-02 : un produit disposant déjà d’un fichier de thème local (couleurs, typographie, spacing) avant d’adopter le Kit n’a pas à le jeter — au moment de l’adoption, ce fichier devient l’implémentation locale du contrat de tokens attendu, sans réécriture de l’interface existante qui le consomme déjà. Les noms de rôles (primary, accentSuccess, surface, textSecondary…) suivent KER-NOM-03 : anglais, comme le reste de l’infrastructure technique générique du noyau (GSG ID, Event Bus…). KER-VIS-04 reste pleinement applicable : cette précision du mécanisme ne rend pas l’adoption du Design Kit obligatoire ni prioritaire.</w:t>
      </w:r>
    </w:p>
    <w:bookmarkEnd w:id="37"/>
    <w:bookmarkStart w:id="39" w:name="X67a26e5064bc1a2978c5fc93be3b63a177ac8ee"/>
    <w:p>
      <w:pPr>
        <w:pStyle w:val="Heading1"/>
      </w:pPr>
      <w:r>
        <w:rPr>
          <w:bCs/>
          <w:b/>
        </w:rPr>
        <w:t xml:space="preserve">15. Méthodologie d’intégration native et d’intégration a posteriori</w:t>
      </w:r>
    </w:p>
    <w:p>
      <w:pPr>
        <w:pStyle w:val="FirstParagraph"/>
      </w:pPr>
      <w:r>
        <w:rPr>
          <w:iCs/>
          <w:i/>
        </w:rPr>
        <w:t xml:space="preserve">Décision de fond (v3.0) : à la date de cette révision, aucun produit du portefeuille GSG n’est encore en production sur une base consommant le noyau. Le noyau est donc conçu et documenté ici sans aucune contrainte ni compromis hérités d’un projet existant. Toute intégration réelle — y compris celle d’un produit déjà avancé — fait l’objet d’un document de migration séparé, propre à ce produit, jamais intégré au présent cahier.</w:t>
      </w:r>
    </w:p>
    <w:p>
      <w:pPr>
        <w:pStyle w:val="BodyText"/>
      </w:pPr>
      <w:r>
        <w:t xml:space="preserve">Cette section pose la méthodologie générale d’intégration au noyau, applicable à tout produit du portefeuille, qu’il soit conçu nativement avec le noyau (cas normal, à privilégier systématiquement pour tout nouveau développement) ou qu’il doive, un jour, être aligné après coup parce qu’il aura atteint un stade de production avancé avant l’adoption d’une brique donnée du noyau.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KER-INT-01</w:t>
            </w:r>
          </w:p>
        </w:tc>
        <w:tc>
          <w:tcPr/>
          <w:p>
            <w:pPr>
              <w:pStyle w:val="Compact"/>
              <w:jc w:val="left"/>
            </w:pPr>
            <w:r>
              <w:t xml:space="preserve">Tout nouveau produit du portefeuille GSG est conçu nativement avec le noyau dès son cahier de conception : GSG ID, gsg_org_id, GSG Referential et, si pertinent, le Referential Engine sont intégrés dès la première version du schéma de données, jamais ajoutés après coup.</w:t>
            </w:r>
          </w:p>
        </w:tc>
      </w:tr>
      <w:tr>
        <w:tc>
          <w:tcPr/>
          <w:p>
            <w:pPr>
              <w:pStyle w:val="Compact"/>
              <w:jc w:val="left"/>
            </w:pPr>
            <w:r>
              <w:rPr>
                <w:bCs/>
                <w:b/>
              </w:rPr>
              <w:t xml:space="preserve">KER-INT-02</w:t>
            </w:r>
          </w:p>
        </w:tc>
        <w:tc>
          <w:tcPr/>
          <w:p>
            <w:pPr>
              <w:pStyle w:val="Compact"/>
              <w:jc w:val="left"/>
            </w:pPr>
            <w:r>
              <w:t xml:space="preserve">Un produit déjà en production au moment où une brique du noyau devient disponible n’est jamais contraint à une intégration a posteriori par défaut : la question est d’abord posée en ces termes — migrer proprement maintenant, tant que le volume de données et d’utilisateurs actifs reste faible, coûte presque toujours moins cher que reporter.</w:t>
            </w:r>
          </w:p>
        </w:tc>
      </w:tr>
      <w:tr>
        <w:tc>
          <w:tcPr/>
          <w:p>
            <w:pPr>
              <w:pStyle w:val="Compact"/>
              <w:jc w:val="left"/>
            </w:pPr>
            <w:r>
              <w:rPr>
                <w:bCs/>
                <w:b/>
              </w:rPr>
              <w:t xml:space="preserve">KER-INT-03</w:t>
            </w:r>
          </w:p>
        </w:tc>
        <w:tc>
          <w:tcPr/>
          <w:p>
            <w:pPr>
              <w:pStyle w:val="Compact"/>
              <w:jc w:val="left"/>
            </w:pPr>
            <w:r>
              <w:t xml:space="preserve">Si la décision d’intégrer un produit déjà en production est prise, elle fait l’objet d’un document de migration dédié à ce produit — jamais d’une section du présent cahier, qui reste générique et non rattaché à une application spécifique.</w:t>
            </w:r>
          </w:p>
        </w:tc>
      </w:tr>
      <w:tr>
        <w:tc>
          <w:tcPr/>
          <w:p>
            <w:pPr>
              <w:pStyle w:val="Compact"/>
              <w:jc w:val="left"/>
            </w:pPr>
            <w:r>
              <w:rPr>
                <w:bCs/>
                <w:b/>
              </w:rPr>
              <w:t xml:space="preserve">KER-INT-04</w:t>
            </w:r>
          </w:p>
        </w:tc>
        <w:tc>
          <w:tcPr/>
          <w:p>
            <w:pPr>
              <w:pStyle w:val="Compact"/>
              <w:jc w:val="left"/>
            </w:pPr>
            <w:r>
              <w:t xml:space="preserve">Un document de migration produit-spécifique couvre au minimum : la cartographie champ par champ entre le schéma existant et le référentiel du noyau, la stratégie de bascule (progressive ou en une fois), le plan de test en environnement de non-production, le plan de retour arrière, et la fenêtre de service concernée.</w:t>
            </w:r>
          </w:p>
        </w:tc>
      </w:tr>
      <w:tr>
        <w:tc>
          <w:tcPr/>
          <w:p>
            <w:pPr>
              <w:pStyle w:val="Compact"/>
              <w:jc w:val="left"/>
            </w:pPr>
            <w:r>
              <w:rPr>
                <w:bCs/>
                <w:b/>
              </w:rPr>
              <w:t xml:space="preserve">KER-INT-05</w:t>
            </w:r>
          </w:p>
        </w:tc>
        <w:tc>
          <w:tcPr/>
          <w:p>
            <w:pPr>
              <w:pStyle w:val="Compact"/>
              <w:jc w:val="left"/>
            </w:pPr>
            <w:r>
              <w:t xml:space="preserve">Une intégration a posteriori qui ne nécessite qu’un ajout de référence (ex. champ gsg_org_id ajouté à une collection existante, sans toucher aux données déjà présentes) reste préférable à une migration complète chaque fois que c’est possible, indépendamment de la décision prise en KER-INT-02.</w:t>
            </w:r>
          </w:p>
        </w:tc>
      </w:tr>
    </w:tbl>
    <w:bookmarkStart w:id="38" w:name="Xd387af19ad098a65a9c43cc1f355d66e642894a"/>
    <w:p>
      <w:pPr>
        <w:pStyle w:val="Heading2"/>
      </w:pPr>
      <w:r>
        <w:rPr>
          <w:bCs/>
          <w:b/>
        </w:rPr>
        <w:t xml:space="preserve">Check-list générique à appliquer à tout document de migration produit-spécifique</w:t>
      </w:r>
    </w:p>
    <w:p>
      <w:pPr>
        <w:numPr>
          <w:ilvl w:val="0"/>
          <w:numId w:val="1004"/>
        </w:numPr>
      </w:pPr>
      <w:r>
        <w:t xml:space="preserve">La cartographie champ par champ entre l’ancien schéma et le référentiel du noyau est-elle complète, y compris pour les champs sans équivalent direct ?</w:t>
      </w:r>
    </w:p>
    <w:p>
      <w:pPr>
        <w:numPr>
          <w:ilvl w:val="0"/>
          <w:numId w:val="1004"/>
        </w:numPr>
      </w:pPr>
      <w:r>
        <w:t xml:space="preserve">La stratégie de bascule (big bang ou progressive) est-elle justifiée par le volume de données et le niveau de risque métier du produit concerné ?</w:t>
      </w:r>
    </w:p>
    <w:p>
      <w:pPr>
        <w:numPr>
          <w:ilvl w:val="0"/>
          <w:numId w:val="1004"/>
        </w:numPr>
      </w:pPr>
      <w:r>
        <w:t xml:space="preserve">La migration a-t-elle été testée sur un environnement de non-production avec un jeu de données représentatif avant toute exécution en production ?</w:t>
      </w:r>
    </w:p>
    <w:p>
      <w:pPr>
        <w:numPr>
          <w:ilvl w:val="0"/>
          <w:numId w:val="1004"/>
        </w:numPr>
      </w:pPr>
      <w:r>
        <w:t xml:space="preserve">Un plan de retour arrière documenté existe-t-il, avec un point de non-retour clairement identifié ?</w:t>
      </w:r>
    </w:p>
    <w:p>
      <w:pPr>
        <w:numPr>
          <w:ilvl w:val="0"/>
          <w:numId w:val="1004"/>
        </w:numPr>
      </w:pPr>
      <w:r>
        <w:t xml:space="preserve">Les utilisateurs et organisations concernés sont-ils informés de la fenêtre de bascule, le cas échéant ?</w:t>
      </w:r>
    </w:p>
    <w:bookmarkEnd w:id="38"/>
    <w:bookmarkEnd w:id="39"/>
    <w:bookmarkStart w:id="41" w:name="X385e067654e6604e964dde07912b898ce0be0ac"/>
    <w:p>
      <w:pPr>
        <w:pStyle w:val="Heading1"/>
      </w:pPr>
      <w:r>
        <w:rPr>
          <w:bCs/>
          <w:b/>
        </w:rPr>
        <w:t xml:space="preserve">16. Convention de nommage et table de correspondance</w:t>
      </w:r>
    </w:p>
    <w:p>
      <w:pPr>
        <w:pStyle w:val="FirstParagraph"/>
      </w:pPr>
      <w:r>
        <w:t xml:space="preserve">La v1.1 de ce document nommait le référentiel géographique en anglais (countries, currencies, languages…) tandis que le Cadre de Référence Multi-Pays, comme tous les cahiers de conception GSG déjà rédigés, le nommait en français (pays, devise, langue…). Cette incohérence est tranchée définitivement ici, avant tout développement du noyau.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KER-NOM-01</w:t>
            </w:r>
          </w:p>
        </w:tc>
        <w:tc>
          <w:tcPr/>
          <w:p>
            <w:pPr>
              <w:pStyle w:val="Compact"/>
              <w:jc w:val="left"/>
            </w:pPr>
            <w:r>
              <w:t xml:space="preserve">Le noyau adopte le français comme langue de nommage exclusive des tables et champs du référentiel métier partagé (pays, devise, langue, bloc_regional, produit, referentiel_hierarchique, referentiel_regle, corpus_versionne, corpus_element, ville, taux_change), aligné sur le Cadre de Référence Multi-Pays et sur l’ensemble des cahiers de conception déjà rédigés.</w:t>
            </w:r>
          </w:p>
        </w:tc>
      </w:tr>
      <w:tr>
        <w:tc>
          <w:tcPr/>
          <w:p>
            <w:pPr>
              <w:pStyle w:val="Compact"/>
              <w:jc w:val="left"/>
            </w:pPr>
            <w:r>
              <w:rPr>
                <w:bCs/>
                <w:b/>
              </w:rPr>
              <w:t xml:space="preserve">KER-NOM-02</w:t>
            </w:r>
          </w:p>
        </w:tc>
        <w:tc>
          <w:tcPr/>
          <w:p>
            <w:pPr>
              <w:pStyle w:val="Compact"/>
              <w:jc w:val="left"/>
            </w:pPr>
            <w:r>
              <w:t xml:space="preserve">Les noms de tables anglais introduits par GSG Core v1.1 (countries, currencies, languages, locales, translations, administrative_units, cities, exchange_rates, country_currencies, country_languages) sont abandonnés au profit des équivalents français ; cette décision n’a aucun impact rétroactif puisqu’aucun produit ne consomme encore le noyau en production à la date de cette révision.</w:t>
            </w:r>
          </w:p>
        </w:tc>
      </w:tr>
      <w:tr>
        <w:tc>
          <w:tcPr/>
          <w:p>
            <w:pPr>
              <w:pStyle w:val="Compact"/>
              <w:jc w:val="left"/>
            </w:pPr>
            <w:r>
              <w:rPr>
                <w:bCs/>
                <w:b/>
              </w:rPr>
              <w:t xml:space="preserve">KER-NOM-03</w:t>
            </w:r>
          </w:p>
        </w:tc>
        <w:tc>
          <w:tcPr/>
          <w:p>
            <w:pPr>
              <w:pStyle w:val="Compact"/>
              <w:jc w:val="left"/>
            </w:pPr>
            <w:r>
              <w:t xml:space="preserve">Les identifiants techniques internes (id, uuid, timestamps) et les noms de services/API du noyau (GSG ID, Event Bus, Referential Engine, AppConfig, Org Registry) restent en anglais, conformément à la pratique technique standard ; seule la couche de données métier partagée est nommée en français. Cette distinction — anglais pour l’infrastructure générique, français pour le référentiel métier partagé — est la règle définitive.</w:t>
            </w:r>
          </w:p>
        </w:tc>
      </w:tr>
      <w:tr>
        <w:tc>
          <w:tcPr/>
          <w:p>
            <w:pPr>
              <w:pStyle w:val="Compact"/>
              <w:jc w:val="left"/>
            </w:pPr>
            <w:r>
              <w:rPr>
                <w:bCs/>
                <w:b/>
              </w:rPr>
              <w:t xml:space="preserve">KER-NOM-04</w:t>
            </w:r>
          </w:p>
        </w:tc>
        <w:tc>
          <w:tcPr/>
          <w:p>
            <w:pPr>
              <w:pStyle w:val="Compact"/>
              <w:jc w:val="left"/>
            </w:pPr>
            <w:r>
              <w:t xml:space="preserve">Le locale (format BCP 47, ex. fr-GN) et la table de traductions d’interface, propres à GSG Core et absents du Cadre, sont conservés sous ces noms techniques (locale, traduction) car ils relèvent de l’internationalisation logicielle, non du référentiel métier pays/devise/langue proprement dit.</w:t>
            </w:r>
          </w:p>
        </w:tc>
      </w:tr>
    </w:tbl>
    <w:bookmarkStart w:id="40" w:name="glossaire-de-correspondance-v1.1-v2.0"/>
    <w:p>
      <w:pPr>
        <w:pStyle w:val="Heading2"/>
      </w:pPr>
      <w:r>
        <w:rPr>
          <w:bCs/>
          <w:b/>
        </w:rPr>
        <w:t xml:space="preserve">Glossaire de correspondance (v1.1 → v2.0)</w:t>
      </w:r>
    </w:p>
    <w:p>
      <w:pPr>
        <w:pStyle w:val="FirstParagraph"/>
      </w:pPr>
      <w:r>
        <w:rPr>
          <w:iCs/>
          <w:i/>
          <w:bCs/>
          <w:b/>
        </w:rPr>
        <w:t xml:space="preserve">Table : équivalences</w:t>
      </w:r>
    </w:p>
    <w:p>
      <w:pPr>
        <w:pStyle w:val="BodyText"/>
      </w:pPr>
      <w:r>
        <w:rPr>
          <w:iCs/>
          <w:i/>
        </w:rPr>
        <w:t xml:space="preserve">Pour toute personne ayant travaillé sur le Kernel v1.1 ou sur le Cadre de Référence Multi-Pays avant la fusion.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Champ</w:t>
            </w:r>
          </w:p>
        </w:tc>
        <w:tc>
          <w:tcPr/>
          <w:p>
            <w:pPr>
              <w:pStyle w:val="Compact"/>
              <w:jc w:val="left"/>
            </w:pPr>
            <w:r>
              <w:rPr>
                <w:bCs/>
                <w:b/>
              </w:rPr>
              <w:t xml:space="preserve">Description</w:t>
            </w:r>
          </w:p>
        </w:tc>
      </w:tr>
      <w:tr>
        <w:tc>
          <w:tcPr/>
          <w:p>
            <w:pPr>
              <w:pStyle w:val="Compact"/>
              <w:jc w:val="left"/>
            </w:pPr>
            <w:r>
              <w:rPr>
                <w:bCs/>
                <w:b/>
              </w:rPr>
              <w:t xml:space="preserve">countries (v1.1)</w:t>
            </w:r>
          </w:p>
        </w:tc>
        <w:tc>
          <w:tcPr/>
          <w:p>
            <w:pPr>
              <w:pStyle w:val="Compact"/>
              <w:jc w:val="left"/>
            </w:pPr>
            <w:r>
              <w:t xml:space="preserve">→ pays (référentiel unique, v2.0)</w:t>
            </w:r>
          </w:p>
        </w:tc>
      </w:tr>
      <w:tr>
        <w:tc>
          <w:tcPr/>
          <w:p>
            <w:pPr>
              <w:pStyle w:val="Compact"/>
              <w:jc w:val="left"/>
            </w:pPr>
            <w:r>
              <w:rPr>
                <w:bCs/>
                <w:b/>
              </w:rPr>
              <w:t xml:space="preserve">currencies (v1.1)</w:t>
            </w:r>
          </w:p>
        </w:tc>
        <w:tc>
          <w:tcPr/>
          <w:p>
            <w:pPr>
              <w:pStyle w:val="Compact"/>
              <w:jc w:val="left"/>
            </w:pPr>
            <w:r>
              <w:t xml:space="preserve">→ devise, étendue du champ decimales (v2.0)</w:t>
            </w:r>
          </w:p>
        </w:tc>
      </w:tr>
      <w:tr>
        <w:tc>
          <w:tcPr/>
          <w:p>
            <w:pPr>
              <w:pStyle w:val="Compact"/>
              <w:jc w:val="left"/>
            </w:pPr>
            <w:r>
              <w:rPr>
                <w:bCs/>
                <w:b/>
              </w:rPr>
              <w:t xml:space="preserve">languages (v1.1)</w:t>
            </w:r>
          </w:p>
        </w:tc>
        <w:tc>
          <w:tcPr/>
          <w:p>
            <w:pPr>
              <w:pStyle w:val="Compact"/>
              <w:jc w:val="left"/>
            </w:pPr>
            <w:r>
              <w:t xml:space="preserve">→ langue (référentiel unique, v2.0)</w:t>
            </w:r>
          </w:p>
        </w:tc>
      </w:tr>
      <w:tr>
        <w:tc>
          <w:tcPr/>
          <w:p>
            <w:pPr>
              <w:pStyle w:val="Compact"/>
              <w:jc w:val="left"/>
            </w:pPr>
            <w:r>
              <w:rPr>
                <w:bCs/>
                <w:b/>
              </w:rPr>
              <w:t xml:space="preserve">country_currencies (v1.1)</w:t>
            </w:r>
          </w:p>
        </w:tc>
        <w:tc>
          <w:tcPr/>
          <w:p>
            <w:pPr>
              <w:pStyle w:val="Compact"/>
              <w:jc w:val="left"/>
            </w:pPr>
            <w:r>
              <w:t xml:space="preserve">→ pays_devise (v2.0)</w:t>
            </w:r>
          </w:p>
        </w:tc>
      </w:tr>
      <w:tr>
        <w:tc>
          <w:tcPr/>
          <w:p>
            <w:pPr>
              <w:pStyle w:val="Compact"/>
              <w:jc w:val="left"/>
            </w:pPr>
            <w:r>
              <w:rPr>
                <w:bCs/>
                <w:b/>
              </w:rPr>
              <w:t xml:space="preserve">country_languages (v1.1)</w:t>
            </w:r>
          </w:p>
        </w:tc>
        <w:tc>
          <w:tcPr/>
          <w:p>
            <w:pPr>
              <w:pStyle w:val="Compact"/>
              <w:jc w:val="left"/>
            </w:pPr>
            <w:r>
              <w:t xml:space="preserve">→ pays_langue (v2.0)</w:t>
            </w:r>
          </w:p>
        </w:tc>
      </w:tr>
      <w:tr>
        <w:tc>
          <w:tcPr/>
          <w:p>
            <w:pPr>
              <w:pStyle w:val="Compact"/>
              <w:jc w:val="left"/>
            </w:pPr>
            <w:r>
              <w:rPr>
                <w:bCs/>
                <w:b/>
              </w:rPr>
              <w:t xml:space="preserve">administrative_units (v1.1)</w:t>
            </w:r>
          </w:p>
        </w:tc>
        <w:tc>
          <w:tcPr/>
          <w:p>
            <w:pPr>
              <w:pStyle w:val="Compact"/>
              <w:jc w:val="left"/>
            </w:pPr>
            <w:r>
              <w:t xml:space="preserve">→ referentiel_hierarchique, code_domaine = « administratif » (v2.0)</w:t>
            </w:r>
          </w:p>
        </w:tc>
      </w:tr>
      <w:tr>
        <w:tc>
          <w:tcPr/>
          <w:p>
            <w:pPr>
              <w:pStyle w:val="Compact"/>
              <w:jc w:val="left"/>
            </w:pPr>
            <w:r>
              <w:rPr>
                <w:bCs/>
                <w:b/>
              </w:rPr>
              <w:t xml:space="preserve">cities (v1.1)</w:t>
            </w:r>
          </w:p>
        </w:tc>
        <w:tc>
          <w:tcPr/>
          <w:p>
            <w:pPr>
              <w:pStyle w:val="Compact"/>
              <w:jc w:val="left"/>
            </w:pPr>
            <w:r>
              <w:t xml:space="preserve">→ ville (v2.0)</w:t>
            </w:r>
          </w:p>
        </w:tc>
      </w:tr>
      <w:tr>
        <w:tc>
          <w:tcPr/>
          <w:p>
            <w:pPr>
              <w:pStyle w:val="Compact"/>
              <w:jc w:val="left"/>
            </w:pPr>
            <w:r>
              <w:rPr>
                <w:bCs/>
                <w:b/>
              </w:rPr>
              <w:t xml:space="preserve">exchange_rates (v1.1)</w:t>
            </w:r>
          </w:p>
        </w:tc>
        <w:tc>
          <w:tcPr/>
          <w:p>
            <w:pPr>
              <w:pStyle w:val="Compact"/>
              <w:jc w:val="left"/>
            </w:pPr>
            <w:r>
              <w:t xml:space="preserve">→ taux_change (v2.0)</w:t>
            </w:r>
          </w:p>
        </w:tc>
      </w:tr>
      <w:tr>
        <w:tc>
          <w:tcPr/>
          <w:p>
            <w:pPr>
              <w:pStyle w:val="Compact"/>
              <w:jc w:val="left"/>
            </w:pPr>
            <w:r>
              <w:rPr>
                <w:bCs/>
                <w:b/>
              </w:rPr>
              <w:t xml:space="preserve">locales, translations (v1.1)</w:t>
            </w:r>
          </w:p>
        </w:tc>
        <w:tc>
          <w:tcPr/>
          <w:p>
            <w:pPr>
              <w:pStyle w:val="Compact"/>
              <w:jc w:val="left"/>
            </w:pPr>
            <w:r>
              <w:t xml:space="preserve">→ locale, traduction — conservés tels quels (v2.0)</w:t>
            </w:r>
          </w:p>
        </w:tc>
      </w:tr>
    </w:tbl>
    <w:bookmarkEnd w:id="40"/>
    <w:bookmarkEnd w:id="41"/>
    <w:bookmarkStart w:id="42" w:name="feuille-de-route-de-déploiement-du-noyau"/>
    <w:p>
      <w:pPr>
        <w:pStyle w:val="Heading1"/>
      </w:pPr>
      <w:r>
        <w:rPr>
          <w:bCs/>
          <w:b/>
        </w:rPr>
        <w:t xml:space="preserve">17. Feuille de route de déploiement du noyau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Contenu</w:t>
            </w:r>
          </w:p>
        </w:tc>
        <w:tc>
          <w:tcPr/>
          <w:p>
            <w:pPr>
              <w:pStyle w:val="Compact"/>
              <w:jc w:val="left"/>
            </w:pPr>
            <w:r>
              <w:rPr>
                <w:bCs/>
                <w:b/>
              </w:rPr>
              <w:t xml:space="preserve">Détail</w:t>
            </w:r>
          </w:p>
        </w:tc>
        <w:tc>
          <w:tcPr/>
          <w:p>
            <w:pPr>
              <w:pStyle w:val="Compact"/>
              <w:jc w:val="left"/>
            </w:pPr>
            <w:r>
              <w:rPr>
                <w:bCs/>
                <w:b/>
              </w:rPr>
              <w:t xml:space="preserve">Délai estimé</w:t>
            </w:r>
          </w:p>
        </w:tc>
      </w:tr>
      <w:tr>
        <w:tc>
          <w:tcPr/>
          <w:p>
            <w:pPr>
              <w:pStyle w:val="Compact"/>
              <w:jc w:val="left"/>
            </w:pPr>
            <w:r>
              <w:rPr>
                <w:bCs/>
                <w:b/>
              </w:rPr>
              <w:t xml:space="preserve">Phase 1</w:t>
            </w:r>
          </w:p>
        </w:tc>
        <w:tc>
          <w:tcPr/>
          <w:p>
            <w:pPr>
              <w:pStyle w:val="Compact"/>
              <w:jc w:val="left"/>
            </w:pPr>
            <w:r>
              <w:t xml:space="preserve">GSG ID + Org Registry + Registre Produits + GSG Referential</w:t>
            </w:r>
          </w:p>
        </w:tc>
        <w:tc>
          <w:tcPr/>
          <w:p>
            <w:pPr>
              <w:pStyle w:val="Compact"/>
              <w:jc w:val="left"/>
            </w:pPr>
            <w:r>
              <w:t xml:space="preserve">Déploiement de services indépendants ; bascule de nommage KER-NOM appliquée dès le départ, avant toute consommation par un produit.</w:t>
            </w:r>
          </w:p>
        </w:tc>
        <w:tc>
          <w:tcPr/>
          <w:p>
            <w:pPr>
              <w:pStyle w:val="Compact"/>
              <w:jc w:val="left"/>
            </w:pPr>
            <w:r>
              <w:t xml:space="preserve">2 – 3 mois</w:t>
            </w:r>
          </w:p>
        </w:tc>
      </w:tr>
      <w:tr>
        <w:tc>
          <w:tcPr/>
          <w:p>
            <w:pPr>
              <w:pStyle w:val="Compact"/>
              <w:jc w:val="left"/>
            </w:pPr>
            <w:r>
              <w:rPr>
                <w:bCs/>
                <w:b/>
              </w:rPr>
              <w:t xml:space="preserve">Phase 2</w:t>
            </w:r>
          </w:p>
        </w:tc>
        <w:tc>
          <w:tcPr/>
          <w:p>
            <w:pPr>
              <w:pStyle w:val="Compact"/>
              <w:jc w:val="left"/>
            </w:pPr>
            <w:r>
              <w:t xml:space="preserve">Referential Engine — première instanciation réelle</w:t>
            </w:r>
          </w:p>
        </w:tc>
        <w:tc>
          <w:tcPr/>
          <w:p>
            <w:pPr>
              <w:pStyle w:val="Compact"/>
              <w:jc w:val="left"/>
            </w:pPr>
            <w:r>
              <w:t xml:space="preserve">EduRéussite, déjà partiellement modélisé selon ce mécanisme dans son propre cahier, sert de validation grandeur nature du moteur générique. Tout nouveau cahier produit intègre nativement les briques pertinentes du noyau dès sa conception (KER-INT-01).</w:t>
            </w:r>
          </w:p>
        </w:tc>
        <w:tc>
          <w:tcPr/>
          <w:p>
            <w:pPr>
              <w:pStyle w:val="Compact"/>
              <w:jc w:val="left"/>
            </w:pPr>
            <w:r>
              <w:t xml:space="preserve">en parallèle</w:t>
            </w:r>
          </w:p>
        </w:tc>
      </w:tr>
      <w:tr>
        <w:tc>
          <w:tcPr/>
          <w:p>
            <w:pPr>
              <w:pStyle w:val="Compact"/>
              <w:jc w:val="left"/>
            </w:pPr>
            <w:r>
              <w:rPr>
                <w:bCs/>
                <w:b/>
              </w:rPr>
              <w:t xml:space="preserve">Phase 3</w:t>
            </w:r>
          </w:p>
        </w:tc>
        <w:tc>
          <w:tcPr/>
          <w:p>
            <w:pPr>
              <w:pStyle w:val="Compact"/>
              <w:jc w:val="left"/>
            </w:pPr>
            <w:r>
              <w:t xml:space="preserve">Bus d’événements + premiers produits natifs</w:t>
            </w:r>
          </w:p>
        </w:tc>
        <w:tc>
          <w:tcPr/>
          <w:p>
            <w:pPr>
              <w:pStyle w:val="Compact"/>
              <w:jc w:val="left"/>
            </w:pPr>
            <w:r>
              <w:t xml:space="preserve">SecureGuard et tout autre produit non encore en production intègrent le noyau nativement dès leur conception.</w:t>
            </w:r>
          </w:p>
        </w:tc>
        <w:tc>
          <w:tcPr/>
          <w:p>
            <w:pPr>
              <w:pStyle w:val="Compact"/>
              <w:jc w:val="left"/>
            </w:pPr>
            <w:r>
              <w:t xml:space="preserve">en parallèle</w:t>
            </w:r>
          </w:p>
        </w:tc>
      </w:tr>
      <w:tr>
        <w:tc>
          <w:tcPr/>
          <w:p>
            <w:pPr>
              <w:pStyle w:val="Compact"/>
              <w:jc w:val="left"/>
            </w:pPr>
            <w:r>
              <w:rPr>
                <w:bCs/>
                <w:b/>
              </w:rPr>
              <w:t xml:space="preserve">Phase 4</w:t>
            </w:r>
          </w:p>
        </w:tc>
        <w:tc>
          <w:tcPr/>
          <w:p>
            <w:pPr>
              <w:pStyle w:val="Compact"/>
              <w:jc w:val="left"/>
            </w:pPr>
            <w:r>
              <w:t xml:space="preserve">Décision de migration pour tout produit déjà en production</w:t>
            </w:r>
          </w:p>
        </w:tc>
        <w:tc>
          <w:tcPr/>
          <w:p>
            <w:pPr>
              <w:pStyle w:val="Compact"/>
              <w:jc w:val="left"/>
            </w:pPr>
            <w:r>
              <w:t xml:space="preserve">Pour chaque produit concerné (ex. EcoShop), la décision d’intégration a posteriori est prise au cas par cas (KER-INT-02) et fait l’objet d’un document de migration dédié, séparé du présent cahier.</w:t>
            </w:r>
          </w:p>
        </w:tc>
        <w:tc>
          <w:tcPr/>
          <w:p>
            <w:pPr>
              <w:pStyle w:val="Compact"/>
              <w:jc w:val="left"/>
            </w:pPr>
            <w:r>
              <w:t xml:space="preserve">au cas par cas</w:t>
            </w:r>
          </w:p>
        </w:tc>
      </w:tr>
      <w:tr>
        <w:tc>
          <w:tcPr/>
          <w:p>
            <w:pPr>
              <w:pStyle w:val="Compact"/>
              <w:jc w:val="left"/>
            </w:pPr>
            <w:r>
              <w:rPr>
                <w:bCs/>
                <w:b/>
              </w:rPr>
              <w:t xml:space="preserve">Phase 5</w:t>
            </w:r>
          </w:p>
        </w:tc>
        <w:tc>
          <w:tcPr/>
          <w:p>
            <w:pPr>
              <w:pStyle w:val="Compact"/>
              <w:jc w:val="left"/>
            </w:pPr>
            <w:r>
              <w:t xml:space="preserve">Généralisation</w:t>
            </w:r>
          </w:p>
        </w:tc>
        <w:tc>
          <w:tcPr/>
          <w:p>
            <w:pPr>
              <w:pStyle w:val="Compact"/>
              <w:jc w:val="left"/>
            </w:pPr>
            <w:r>
              <w:t xml:space="preserve">Extension progressive à GlobalStock ERP, AssoShop, TradeLink Africa, Ecclesias 360, au fur et à mesure de leur maturité.</w:t>
            </w:r>
          </w:p>
        </w:tc>
        <w:tc>
          <w:tcPr/>
          <w:p>
            <w:pPr>
              <w:pStyle w:val="Compact"/>
              <w:jc w:val="left"/>
            </w:pPr>
            <w:r>
              <w:t xml:space="preserve">continu</w:t>
            </w:r>
          </w:p>
        </w:tc>
      </w:tr>
      <w:tr>
        <w:tc>
          <w:tcPr/>
          <w:p>
            <w:pPr>
              <w:pStyle w:val="Compact"/>
              <w:jc w:val="left"/>
            </w:pPr>
            <w:r>
              <w:rPr>
                <w:bCs/>
                <w:b/>
              </w:rPr>
              <w:t xml:space="preserve">Phase 6 (différée)</w:t>
            </w:r>
          </w:p>
        </w:tc>
        <w:tc>
          <w:tcPr/>
          <w:p>
            <w:pPr>
              <w:pStyle w:val="Compact"/>
              <w:jc w:val="left"/>
            </w:pPr>
            <w:r>
              <w:t xml:space="preserve">Facturation unifiée + Design System</w:t>
            </w:r>
          </w:p>
        </w:tc>
        <w:tc>
          <w:tcPr/>
          <w:p>
            <w:pPr>
              <w:pStyle w:val="Compact"/>
              <w:jc w:val="left"/>
            </w:pPr>
            <w:r>
              <w:t xml:space="preserve">Activées uniquement sur décision commerciale explicite.</w:t>
            </w:r>
          </w:p>
        </w:tc>
        <w:tc>
          <w:tcPr/>
          <w:p>
            <w:pPr>
              <w:pStyle w:val="Compact"/>
              <w:jc w:val="left"/>
            </w:pPr>
            <w:r>
              <w:t xml:space="preserve">non planifiée</w:t>
            </w:r>
          </w:p>
        </w:tc>
      </w:tr>
    </w:tbl>
    <w:bookmarkEnd w:id="42"/>
    <w:bookmarkStart w:id="43" w:name="impact-attendu"/>
    <w:p>
      <w:pPr>
        <w:pStyle w:val="Heading1"/>
      </w:pPr>
      <w:r>
        <w:rPr>
          <w:bCs/>
          <w:b/>
        </w:rPr>
        <w:t xml:space="preserve">18. Impact attendu</w:t>
      </w:r>
    </w:p>
    <w:p>
      <w:pPr>
        <w:pStyle w:val="FirstParagraph"/>
      </w:pPr>
      <w:r>
        <w:t xml:space="preserve">Les modules Auth/RBAC/Multi-tenant/Audit apparaissent, sous une forme ou une autre, dans chacun des cahiers de conception déjà rédigés. Une fois le noyau disponible, ces modules deviennent pour tout nouveau projet un travail d’intégration à un service existant plutôt qu’un développement complet — un gain estimé de plusieurs semaines de développement par nouveau projet.</w:t>
      </w:r>
    </w:p>
    <w:p>
      <w:pPr>
        <w:pStyle w:val="BodyText"/>
      </w:pPr>
      <w:r>
        <w:t xml:space="preserve">L’apport spécifique de cette version 2.0 est distinct : il ne s’agit pas d’une fonctionnalité nouvelle mais de l’élimination d’une dette qui n’existait pas encore en code, seulement en documents — la meilleure situation possible pour la corriger. Sans cette fusion, chaque produit consommant à la fois le référentiel géographique et le moteur de variation structurelle aurait dû choisir entre deux schémas incompatibles, ou pire, les avoir consommés tous les deux sans le savoir et fait diverger les données pays d’un produit à l’autre.</w:t>
      </w:r>
    </w:p>
    <w:p>
      <w:pPr>
        <w:pStyle w:val="BodyText"/>
      </w:pPr>
      <w:r>
        <w:t xml:space="preserve">Aucun produit du portefeuille n’étant en production sur le noyau à ce jour, chaque cahier de conception à venir — Ecclesias 360, EduRéussite, GlobalStock ERP, AssoShop, TradeLink Africa, SecureGuard — intègre nativement, dès sa rédaction, une section dédiée décrivant les briques du noyau qu’il consomme, selon un gabarit commun. EduRéussite, dont le référentiel pédagogique multi-pays a servi de matière première à la généralisation du Referential Engine, devient de fait le premier produit à valider ce moteur en conditions réelles. Pour le seul produit déjà en production, EcoShop, la décision d’intégration — a posteriori légère ou migration complète — est traitée séparément (section 15), dans un document propre à ce produit.</w:t>
      </w:r>
    </w:p>
    <w:p>
      <w:pPr>
        <w:pStyle w:val="BodyText"/>
      </w:pPr>
      <w:r>
        <w:rPr>
          <w:iCs/>
          <w:i/>
        </w:rPr>
        <w:t xml:space="preserve">Ce document ne rattache le noyau à aucune application spécifique : il demeure le socle générique du portefeuille GSG, consommé par instanciation via le GSG Referential Engine et les adaptateurs par produit, jamais modifié pour les besoins d’une application particulière.</w:t>
      </w:r>
    </w:p>
    <w:bookmarkEnd w:id="43"/>
    <w:bookmarkStart w:id="45" w:name="Xe61e8b4583bfc7103b1b90a56721c7a478e2b2c"/>
    <w:p>
      <w:pPr>
        <w:pStyle w:val="Heading1"/>
      </w:pPr>
      <w:r>
        <w:rPr>
          <w:bCs/>
          <w:b/>
        </w:rPr>
        <w:t xml:space="preserve">19. Gabarit d’intégration Kernel pour les cahiers de conception produits</w:t>
      </w:r>
    </w:p>
    <w:p>
      <w:pPr>
        <w:pStyle w:val="FirstParagraph"/>
      </w:pPr>
      <w:r>
        <w:t xml:space="preserve">Corollaire direct de la décision KER-VIS-06 : le socle reste générique, mais chaque cahier de conception produit — Ecclesias 360, EduRéussite, GlobalStock ERP, AssoShop, TradeLink Africa, SecureGuard, et tout futur produit — doit désormais intégrer, dès sa rédaction, une section standard décrivant précisément sa relation au noyau. Cette section reprend systématiquement la même structure d’un cahier à l’autre, afin qu’un lecteur, un développeur ou une IA de développement retrouve l’information au même endroit, sous la même forme, quel que soit le produit.</w:t>
      </w:r>
    </w:p>
    <w:bookmarkStart w:id="44" w:name="X5071e3d1f75b7c487a081ddab9e0e6dd40229db"/>
    <w:p>
      <w:pPr>
        <w:pStyle w:val="Heading2"/>
      </w:pPr>
      <w:r>
        <w:rPr>
          <w:bCs/>
          <w:b/>
        </w:rPr>
        <w:t xml:space="preserve">Structure standard de la section « Intégration au GSG Platform Kernel »</w:t>
      </w:r>
    </w:p>
    <w:p>
      <w:pPr>
        <w:numPr>
          <w:ilvl w:val="0"/>
          <w:numId w:val="1005"/>
        </w:numPr>
      </w:pPr>
      <w:r>
        <w:t xml:space="preserve">Briques du noyau consommées — tableau explicite : GSG ID (oui/non), Org Registry (oui/non), GSG Referential (oui/non), Referential Engine avec le ou les code_domaine déclarés, Bus d’événements avec la liste des événements publiés/consommés, Audit (oui/non), Billing Core (oui/non, par défaut non), Design System (oui/non, par défaut non tant que non généralisé).</w:t>
      </w:r>
    </w:p>
    <w:p>
      <w:pPr>
        <w:numPr>
          <w:ilvl w:val="0"/>
          <w:numId w:val="1005"/>
        </w:numPr>
      </w:pPr>
      <w:r>
        <w:t xml:space="preserve">Cartographie des champs hérités du référentiel — quels champs du schéma de données du produit référencent gsg_org_id, pays_id, devise_id, langue_id, unite_administrative_id, ville_id plutôt que d’être stockés en local.</w:t>
      </w:r>
    </w:p>
    <w:p>
      <w:pPr>
        <w:numPr>
          <w:ilvl w:val="0"/>
          <w:numId w:val="1005"/>
        </w:numPr>
      </w:pPr>
      <w:r>
        <w:t xml:space="preserve">Instanciation du Referential Engine, si applicable — description du ou des code_domaine propres au produit, de la structure des arbres referentiel_hierarchique attendus, et des corpus_versionne pertinents.</w:t>
      </w:r>
    </w:p>
    <w:p>
      <w:pPr>
        <w:numPr>
          <w:ilvl w:val="0"/>
          <w:numId w:val="1005"/>
        </w:numPr>
      </w:pPr>
      <w:r>
        <w:t xml:space="preserve">Événements publiés et consommés — liste des événements que le produit émet vers le bus et de ceux auxquels il réagit, avec le format de charge utile.</w:t>
      </w:r>
    </w:p>
    <w:p>
      <w:pPr>
        <w:numPr>
          <w:ilvl w:val="0"/>
          <w:numId w:val="1005"/>
        </w:numPr>
      </w:pPr>
      <w:r>
        <w:t xml:space="preserve">État au moment de la rédaction du cahier — un produit non entamé le déclare explicitement « conçu nativement avec le noyau dès l’origine » ; un produit déjà en production renvoie vers son document de migration dédié plutôt que de dupliquer cette information.</w:t>
      </w:r>
    </w:p>
    <w:p>
      <w:pPr>
        <w:pStyle w:val="FirstParagraph"/>
      </w:pPr>
      <w:r>
        <w:rPr>
          <w:iCs/>
          <w:i/>
        </w:rPr>
        <w:t xml:space="preserve">Cette section 19 ne se substitue à aucun cahier produit : elle fixe le gabarit que chaque cahier doit reproduire. Le premier cahier à intégrer cette section de façon native, sans aucune trace de legacy, servira de référence pour tous les suivants.</w:t>
      </w:r>
    </w:p>
    <w:bookmarkEnd w:id="44"/>
    <w:bookmarkEnd w:id="45"/>
    <w:bookmarkStart w:id="62" w:name="X80e9f7e654ca9552600eac6a082c08e7288ba63"/>
    <w:p>
      <w:pPr>
        <w:pStyle w:val="Heading1"/>
      </w:pPr>
      <w:r>
        <w:rPr>
          <w:bCs/>
          <w:b/>
        </w:rPr>
        <w:t xml:space="preserve">Annexe A — Registre consolidé des règles de conception</w:t>
      </w:r>
    </w:p>
    <w:p>
      <w:pPr>
        <w:pStyle w:val="FirstParagraph"/>
      </w:pPr>
      <w:r>
        <w:t xml:space="preserve">Ce registre rassemble, sans exception, l’intégralité des 75 règles de conception du noyau (KER-XXX-NN), section par section, dans l’ordre du document. Il permet de vérifier d’un seul regard qu’aucune règle n’a été omise ou dupliquée, et sert de point d’entrée unique pour toute revue de conformité, tout audit externe ou toute vérification effectuée par un développeur ou une IA de développement avant implémentation.</w:t>
      </w:r>
    </w:p>
    <w:bookmarkStart w:id="46" w:name="vision-et-principes-du-noyau-6-règles"/>
    <w:p>
      <w:pPr>
        <w:pStyle w:val="Heading2"/>
      </w:pPr>
      <w:r>
        <w:rPr>
          <w:bCs/>
          <w:b/>
        </w:rPr>
        <w:t xml:space="preserve">1. Vision et principes du noyau (6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KER-VIS-01</w:t>
            </w:r>
          </w:p>
        </w:tc>
        <w:tc>
          <w:tcPr/>
          <w:p>
            <w:pPr>
              <w:pStyle w:val="Compact"/>
              <w:jc w:val="left"/>
            </w:pPr>
            <w:r>
              <w:t xml:space="preserve">Le noyau doit toujours être intégré de façon additive aux produits existants : jamais de refonte du système d’authentification, du schéma de données ou de la logique métier déjà en production, sauf décision commerciale explicite et motivée.</w:t>
            </w:r>
          </w:p>
        </w:tc>
      </w:tr>
      <w:tr>
        <w:tc>
          <w:tcPr/>
          <w:p>
            <w:pPr>
              <w:pStyle w:val="Compact"/>
              <w:jc w:val="left"/>
            </w:pPr>
            <w:r>
              <w:rPr>
                <w:bCs/>
                <w:b/>
              </w:rPr>
              <w:t xml:space="preserve">KER-VIS-02</w:t>
            </w:r>
          </w:p>
        </w:tc>
        <w:tc>
          <w:tcPr/>
          <w:p>
            <w:pPr>
              <w:pStyle w:val="Compact"/>
              <w:jc w:val="left"/>
            </w:pPr>
            <w:r>
              <w:t xml:space="preserve">Chaque produit GSG conserve sa propre base de données et son autonomie technique complète ; seules l’identité, les métadonnées d’organisation, le référentiel partagé, les événements et l’audit peuvent traverser les frontières entre produits.</w:t>
            </w:r>
          </w:p>
        </w:tc>
      </w:tr>
      <w:tr>
        <w:tc>
          <w:tcPr/>
          <w:p>
            <w:pPr>
              <w:pStyle w:val="Compact"/>
              <w:jc w:val="left"/>
            </w:pPr>
            <w:r>
              <w:rPr>
                <w:bCs/>
                <w:b/>
              </w:rPr>
              <w:t xml:space="preserve">KER-VIS-03</w:t>
            </w:r>
          </w:p>
        </w:tc>
        <w:tc>
          <w:tcPr/>
          <w:p>
            <w:pPr>
              <w:pStyle w:val="Compact"/>
              <w:jc w:val="left"/>
            </w:pPr>
            <w:r>
              <w:t xml:space="preserve">Le noyau doit être conçu pour fonctionner avec des bases de données hétérogènes selon les produits (PostgreSQL, Firestore, etc.), exclusivement via des API et des événements — jamais par accès direct d’un produit à la base de données d’un autre.</w:t>
            </w:r>
          </w:p>
        </w:tc>
      </w:tr>
      <w:tr>
        <w:tc>
          <w:tcPr/>
          <w:p>
            <w:pPr>
              <w:pStyle w:val="Compact"/>
              <w:jc w:val="left"/>
            </w:pPr>
            <w:r>
              <w:rPr>
                <w:bCs/>
                <w:b/>
              </w:rPr>
              <w:t xml:space="preserve">KER-VIS-04</w:t>
            </w:r>
          </w:p>
        </w:tc>
        <w:tc>
          <w:tcPr/>
          <w:p>
            <w:pPr>
              <w:pStyle w:val="Compact"/>
              <w:jc w:val="left"/>
            </w:pPr>
            <w:r>
              <w:t xml:space="preserve">Un produit qui n’intègre aucune brique du noyau doit rester pleinement fonctionnel de façon autonome ; l’intégration au noyau est toujours une option, jamais une dépendance obligatoire.</w:t>
            </w:r>
          </w:p>
        </w:tc>
      </w:tr>
      <w:tr>
        <w:tc>
          <w:tcPr/>
          <w:p>
            <w:pPr>
              <w:pStyle w:val="Compact"/>
              <w:jc w:val="left"/>
            </w:pPr>
            <w:r>
              <w:rPr>
                <w:bCs/>
                <w:b/>
              </w:rPr>
              <w:t xml:space="preserve">KER-VIS-05</w:t>
            </w:r>
          </w:p>
        </w:tc>
        <w:tc>
          <w:tcPr/>
          <w:p>
            <w:pPr>
              <w:pStyle w:val="Compact"/>
              <w:jc w:val="left"/>
            </w:pPr>
            <w:r>
              <w:t xml:space="preserve">Le noyau porte un seul référentiel structurel pays/devise/langue/bloc régional/produit, jamais dupliqué — ni par produit, ni par une brique du noyau lui-même. Ce principe s’applique au noyau autant qu’aux produits qu’il sert.</w:t>
            </w:r>
          </w:p>
        </w:tc>
      </w:tr>
      <w:tr>
        <w:tc>
          <w:tcPr/>
          <w:p>
            <w:pPr>
              <w:pStyle w:val="Compact"/>
              <w:jc w:val="left"/>
            </w:pPr>
            <w:r>
              <w:rPr>
                <w:bCs/>
                <w:b/>
              </w:rPr>
              <w:t xml:space="preserve">KER-VIS-06</w:t>
            </w:r>
          </w:p>
        </w:tc>
        <w:tc>
          <w:tcPr/>
          <w:p>
            <w:pPr>
              <w:pStyle w:val="Compact"/>
              <w:jc w:val="left"/>
            </w:pPr>
            <w:r>
              <w:t xml:space="preserve">Le présent cahier n’est jamais rédigé en fonction de l’état d’avancement d’un produit particulier, même déjà en production. Toute question spécifique à un produit existant (intégration a posteriori, migration) fait l’objet d’un document séparé, propre à ce produit, jamais d’une section de ce cahier.</w:t>
            </w:r>
          </w:p>
        </w:tc>
      </w:tr>
    </w:tbl>
    <w:bookmarkEnd w:id="46"/>
    <w:bookmarkStart w:id="47" w:name="architecture-generale-3-règles"/>
    <w:p>
      <w:pPr>
        <w:pStyle w:val="Heading2"/>
      </w:pPr>
      <w:r>
        <w:rPr>
          <w:bCs/>
          <w:b/>
        </w:rPr>
        <w:t xml:space="preserve">2. Architecture generale (3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KER-ARC-01</w:t>
            </w:r>
          </w:p>
        </w:tc>
        <w:tc>
          <w:tcPr/>
          <w:p>
            <w:pPr>
              <w:pStyle w:val="Compact"/>
              <w:jc w:val="left"/>
            </w:pPr>
            <w:r>
              <w:t xml:space="preserve">Chaque produit intègre le noyau exclusivement via un adaptateur dédié (SDK léger ou appels API REST), jamais par modification directe de son cœur applicatif existant.</w:t>
            </w:r>
          </w:p>
        </w:tc>
      </w:tr>
      <w:tr>
        <w:tc>
          <w:tcPr/>
          <w:p>
            <w:pPr>
              <w:pStyle w:val="Compact"/>
              <w:jc w:val="left"/>
            </w:pPr>
            <w:r>
              <w:rPr>
                <w:bCs/>
                <w:b/>
              </w:rPr>
              <w:t xml:space="preserve">KER-ARC-02</w:t>
            </w:r>
          </w:p>
        </w:tc>
        <w:tc>
          <w:tcPr/>
          <w:p>
            <w:pPr>
              <w:pStyle w:val="Compact"/>
              <w:jc w:val="left"/>
            </w:pPr>
            <w:r>
              <w:t xml:space="preserve">Le noyau est versionné indépendamment de chaque produit, avec compatibilité descendante garantie pendant au moins douze mois après toute évolution majeure de son API.</w:t>
            </w:r>
          </w:p>
        </w:tc>
      </w:tr>
      <w:tr>
        <w:tc>
          <w:tcPr/>
          <w:p>
            <w:pPr>
              <w:pStyle w:val="Compact"/>
              <w:jc w:val="left"/>
            </w:pPr>
            <w:r>
              <w:rPr>
                <w:bCs/>
                <w:b/>
              </w:rPr>
              <w:t xml:space="preserve">KER-ARC-03</w:t>
            </w:r>
          </w:p>
        </w:tc>
        <w:tc>
          <w:tcPr/>
          <w:p>
            <w:pPr>
              <w:pStyle w:val="Compact"/>
              <w:jc w:val="left"/>
            </w:pPr>
            <w:r>
              <w:t xml:space="preserve">La disponibilité du noyau ne doit jamais conditionner la disponibilité d’un produit : une panne du noyau dégrade au pire les fonctions transverses (SSO, référentiel, audit centralisé), jamais le fonctionnement métier autonome d’un produit.</w:t>
            </w:r>
          </w:p>
        </w:tc>
      </w:tr>
    </w:tbl>
    <w:bookmarkEnd w:id="47"/>
    <w:bookmarkStart w:id="48" w:name="Xcaf15f9064b60bc11b6ce735b5801fd4aeb6fd5"/>
    <w:p>
      <w:pPr>
        <w:pStyle w:val="Heading2"/>
      </w:pPr>
      <w:r>
        <w:rPr>
          <w:bCs/>
          <w:b/>
        </w:rPr>
        <w:t xml:space="preserve">3. GSG ID - identite et authentification federee (7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KER-ID-01</w:t>
            </w:r>
          </w:p>
        </w:tc>
        <w:tc>
          <w:tcPr/>
          <w:p>
            <w:pPr>
              <w:pStyle w:val="Compact"/>
              <w:jc w:val="left"/>
            </w:pPr>
            <w:r>
              <w:t xml:space="preserve">GSG ID est un fournisseur d’identité central (OIDC/OAuth2) permettant à un utilisateur de s’authentifier une seule fois pour accéder à l’ensemble des produits GSG auxquels son organisation est abonnée.</w:t>
            </w:r>
          </w:p>
        </w:tc>
      </w:tr>
      <w:tr>
        <w:tc>
          <w:tcPr/>
          <w:p>
            <w:pPr>
              <w:pStyle w:val="Compact"/>
              <w:jc w:val="left"/>
            </w:pPr>
            <w:r>
              <w:rPr>
                <w:bCs/>
                <w:b/>
              </w:rPr>
              <w:t xml:space="preserve">KER-ID-02</w:t>
            </w:r>
          </w:p>
        </w:tc>
        <w:tc>
          <w:tcPr/>
          <w:p>
            <w:pPr>
              <w:pStyle w:val="Compact"/>
              <w:jc w:val="left"/>
            </w:pPr>
            <w:r>
              <w:t xml:space="preserve">L’intégration à un produit déjà en production se fait par ajout d’une simple table de correspondance (external_user_id ↔ gsg_id), sans suppression ni modification du système d’authentification déjà en place.</w:t>
            </w:r>
          </w:p>
        </w:tc>
      </w:tr>
      <w:tr>
        <w:tc>
          <w:tcPr/>
          <w:p>
            <w:pPr>
              <w:pStyle w:val="Compact"/>
              <w:jc w:val="left"/>
            </w:pPr>
            <w:r>
              <w:rPr>
                <w:bCs/>
                <w:b/>
              </w:rPr>
              <w:t xml:space="preserve">KER-ID-03</w:t>
            </w:r>
          </w:p>
        </w:tc>
        <w:tc>
          <w:tcPr/>
          <w:p>
            <w:pPr>
              <w:pStyle w:val="Compact"/>
              <w:jc w:val="left"/>
            </w:pPr>
            <w:r>
              <w:t xml:space="preserve">Pour tout produit déjà en production, la connexion via GSG ID est proposée comme une option supplémentaire à côté du système existant, jamais comme un remplacement imposé aux utilisateurs déjà actifs.</w:t>
            </w:r>
          </w:p>
        </w:tc>
      </w:tr>
      <w:tr>
        <w:tc>
          <w:tcPr/>
          <w:p>
            <w:pPr>
              <w:pStyle w:val="Compact"/>
              <w:jc w:val="left"/>
            </w:pPr>
            <w:r>
              <w:rPr>
                <w:bCs/>
                <w:b/>
              </w:rPr>
              <w:t xml:space="preserve">KER-ID-04</w:t>
            </w:r>
          </w:p>
        </w:tc>
        <w:tc>
          <w:tcPr/>
          <w:p>
            <w:pPr>
              <w:pStyle w:val="Compact"/>
              <w:jc w:val="left"/>
            </w:pPr>
            <w:r>
              <w:t xml:space="preserve">L’authentification multifacteur (MFA) est implémentée une seule fois au niveau du noyau et réutilisée par tous les produits qui y sont connectés, sans réimplémentation produit par produit.</w:t>
            </w:r>
          </w:p>
        </w:tc>
      </w:tr>
      <w:tr>
        <w:tc>
          <w:tcPr/>
          <w:p>
            <w:pPr>
              <w:pStyle w:val="Compact"/>
              <w:jc w:val="left"/>
            </w:pPr>
            <w:r>
              <w:rPr>
                <w:bCs/>
                <w:b/>
              </w:rPr>
              <w:t xml:space="preserve">KER-ID-05</w:t>
            </w:r>
          </w:p>
        </w:tc>
        <w:tc>
          <w:tcPr/>
          <w:p>
            <w:pPr>
              <w:pStyle w:val="Compact"/>
              <w:jc w:val="left"/>
            </w:pPr>
            <w:r>
              <w:t xml:space="preserve">Le profil utilisateur du noyau porte les références pays_id, unite_administrative_id, ville_id, langue_id, devise_id et fuseau_horaire vers le GSG Referential (section 6), afin que ces informations soient résolues une seule fois et partagées par tous les produits plutôt que ressaisies dans chacun.</w:t>
            </w:r>
          </w:p>
        </w:tc>
      </w:tr>
      <w:tr>
        <w:tc>
          <w:tcPr/>
          <w:p>
            <w:pPr>
              <w:pStyle w:val="Compact"/>
              <w:jc w:val="left"/>
            </w:pPr>
            <w:r>
              <w:rPr>
                <w:bCs/>
                <w:b/>
              </w:rPr>
              <w:t xml:space="preserve">KER-ID-06</w:t>
            </w:r>
          </w:p>
        </w:tc>
        <w:tc>
          <w:tcPr/>
          <w:p>
            <w:pPr>
              <w:pStyle w:val="Compact"/>
              <w:jc w:val="left"/>
            </w:pPr>
            <w:r>
              <w:t xml:space="preserve">Les numéros de téléphone sont stockés et validés au format international E.164 (indicatif + numéro, ex. +224XXXXXXXX) dans le profil utilisateur du noyau, condition nécessaire à la fiabilité des flux d’authentification par OTP utilisés dans l’ensemble de l’écosystème GSG.</w:t>
            </w:r>
          </w:p>
        </w:tc>
      </w:tr>
      <w:tr>
        <w:tc>
          <w:tcPr/>
          <w:p>
            <w:pPr>
              <w:pStyle w:val="Compact"/>
              <w:jc w:val="left"/>
            </w:pPr>
            <w:r>
              <w:rPr>
                <w:bCs/>
                <w:b/>
              </w:rPr>
              <w:t xml:space="preserve">KER-ID-07</w:t>
            </w:r>
          </w:p>
        </w:tc>
        <w:tc>
          <w:tcPr/>
          <w:p>
            <w:pPr>
              <w:pStyle w:val="Compact"/>
              <w:jc w:val="left"/>
            </w:pPr>
            <w:r>
              <w:t xml:space="preserve">GSG ID ne génère et ne vérifie jamais lui-même un code OTP. Chaque produit du portefeuille authentifie nativement ses utilisateurs via Supabase Auth (signInWithOtp/verifyOtp — SMS, WhatsApp via Twilio, Magic Link ou code OTP email), conformément à son propre modèle d’authentification. GSG ID vérifie ensuite la signature du jeton de la session Supabase déjà authentifiée (JWKS du projet Supabase concerné, liste blanche stricte de projets autorisés) avant de la relier à un profil GSG ID existant ou d’en créer un — application directe de KER-ID-02 (intégration a posteriori par simple table de correspondance), jamais un mécanisme distinct.</w:t>
            </w:r>
          </w:p>
        </w:tc>
      </w:tr>
    </w:tbl>
    <w:bookmarkEnd w:id="48"/>
    <w:bookmarkStart w:id="49" w:name="X1ae78ad7a7d139411fca61208616d1244c1d747"/>
    <w:p>
      <w:pPr>
        <w:pStyle w:val="Heading2"/>
      </w:pPr>
      <w:r>
        <w:rPr>
          <w:bCs/>
          <w:b/>
        </w:rPr>
        <w:t xml:space="preserve">4. Registre central des organisations clientes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KER-ORG-01</w:t>
            </w:r>
          </w:p>
        </w:tc>
        <w:tc>
          <w:tcPr/>
          <w:p>
            <w:pPr>
              <w:pStyle w:val="Compact"/>
              <w:jc w:val="left"/>
            </w:pPr>
            <w:r>
              <w:t xml:space="preserve">Un registre central des organisations clientes (Org Registry) attribue un identifiant global gsg_org_id à chaque organisation cliente du portefeuille GSG.</w:t>
            </w:r>
          </w:p>
        </w:tc>
      </w:tr>
      <w:tr>
        <w:tc>
          <w:tcPr/>
          <w:p>
            <w:pPr>
              <w:pStyle w:val="Compact"/>
              <w:jc w:val="left"/>
            </w:pPr>
            <w:r>
              <w:rPr>
                <w:bCs/>
                <w:b/>
              </w:rPr>
              <w:t xml:space="preserve">KER-ORG-02</w:t>
            </w:r>
          </w:p>
        </w:tc>
        <w:tc>
          <w:tcPr/>
          <w:p>
            <w:pPr>
              <w:pStyle w:val="Compact"/>
              <w:jc w:val="left"/>
            </w:pPr>
            <w:r>
              <w:t xml:space="preserve">L’intégration d’un produit existant consiste uniquement à ajouter un champ de référence gsg_org_id à sa table ou son document organisation déjà en place ; la structure interne de cette table n’est jamais modifiée ni remplacée.</w:t>
            </w:r>
          </w:p>
        </w:tc>
      </w:tr>
      <w:tr>
        <w:tc>
          <w:tcPr/>
          <w:p>
            <w:pPr>
              <w:pStyle w:val="Compact"/>
              <w:jc w:val="left"/>
            </w:pPr>
            <w:r>
              <w:rPr>
                <w:bCs/>
                <w:b/>
              </w:rPr>
              <w:t xml:space="preserve">KER-ORG-03</w:t>
            </w:r>
          </w:p>
        </w:tc>
        <w:tc>
          <w:tcPr/>
          <w:p>
            <w:pPr>
              <w:pStyle w:val="Compact"/>
              <w:jc w:val="left"/>
            </w:pPr>
            <w:r>
              <w:t xml:space="preserve">Une organisation peut être abonnée à un sous-ensemble quelconque des produits GSG ; le registre central ne doit jamais imposer qu’une organisation utilise l’intégralité du portefeuille.</w:t>
            </w:r>
          </w:p>
        </w:tc>
      </w:tr>
      <w:tr>
        <w:tc>
          <w:tcPr/>
          <w:p>
            <w:pPr>
              <w:pStyle w:val="Compact"/>
              <w:jc w:val="left"/>
            </w:pPr>
            <w:r>
              <w:rPr>
                <w:bCs/>
                <w:b/>
              </w:rPr>
              <w:t xml:space="preserve">KER-ORG-04</w:t>
            </w:r>
          </w:p>
        </w:tc>
        <w:tc>
          <w:tcPr/>
          <w:p>
            <w:pPr>
              <w:pStyle w:val="Compact"/>
              <w:jc w:val="left"/>
            </w:pPr>
            <w:r>
              <w:t xml:space="preserve">Chaque organisation porte ses propres références pays_id, unite_administrative_id, ville_id, devise_id, langue_id et fuseau_horaire vers le GSG Referential, indépendantes de celles de sa maison mère éventuelle — une organisation peut ainsi ouvrir une agence dans un autre pays sans qu’aucune ligne de code applicatif ne soit modifiée dans les produits qui la servent.</w:t>
            </w:r>
          </w:p>
        </w:tc>
      </w:tr>
    </w:tbl>
    <w:bookmarkEnd w:id="49"/>
    <w:bookmarkStart w:id="50" w:name="Xc5d49594619811bfa182a7f40a7cb082855c612"/>
    <w:p>
      <w:pPr>
        <w:pStyle w:val="Heading2"/>
      </w:pPr>
      <w:r>
        <w:rPr>
          <w:bCs/>
          <w:b/>
        </w:rPr>
        <w:t xml:space="preserve">5. Registre central des produits GSG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KER-PROD-01</w:t>
            </w:r>
          </w:p>
        </w:tc>
        <w:tc>
          <w:tcPr/>
          <w:p>
            <w:pPr>
              <w:pStyle w:val="Compact"/>
              <w:jc w:val="left"/>
            </w:pPr>
            <w:r>
              <w:t xml:space="preserve">Le registre des produits GSG (table produit : id, code, nom) est la source unique de la liste des produits du portefeuille ; toute mention du portefeuille dans un cahier de conception ou un document transversal s’y réfère plutôt que de répéter une liste en texte libre.</w:t>
            </w:r>
          </w:p>
        </w:tc>
      </w:tr>
      <w:tr>
        <w:tc>
          <w:tcPr/>
          <w:p>
            <w:pPr>
              <w:pStyle w:val="Compact"/>
              <w:jc w:val="left"/>
            </w:pPr>
            <w:r>
              <w:rPr>
                <w:bCs/>
                <w:b/>
              </w:rPr>
              <w:t xml:space="preserve">KER-PROD-02</w:t>
            </w:r>
          </w:p>
        </w:tc>
        <w:tc>
          <w:tcPr/>
          <w:p>
            <w:pPr>
              <w:pStyle w:val="Compact"/>
              <w:jc w:val="left"/>
            </w:pPr>
            <w:r>
              <w:t xml:space="preserve">La table produit_pays_deploiement (produit_id, pays_id, statut : lancé │ en test │ planifié │ non prioritaire, phase, date_statut) porte la trajectoire de déploiement propre à chaque produit, pays par pays ; ce statut n’est jamais un attribut du pays lui-même.</w:t>
            </w:r>
          </w:p>
        </w:tc>
      </w:tr>
      <w:tr>
        <w:tc>
          <w:tcPr/>
          <w:p>
            <w:pPr>
              <w:pStyle w:val="Compact"/>
              <w:jc w:val="left"/>
            </w:pPr>
            <w:r>
              <w:rPr>
                <w:bCs/>
                <w:b/>
              </w:rPr>
              <w:t xml:space="preserve">KER-PROD-03</w:t>
            </w:r>
          </w:p>
        </w:tc>
        <w:tc>
          <w:tcPr/>
          <w:p>
            <w:pPr>
              <w:pStyle w:val="Compact"/>
              <w:jc w:val="left"/>
            </w:pPr>
            <w:r>
              <w:t xml:space="preserve">L’ajout d’un nouveau produit au portefeuille GSG est un ajout de ligne dans la table produit, jamais une modification du schéma du noyau.</w:t>
            </w:r>
          </w:p>
        </w:tc>
      </w:tr>
      <w:tr>
        <w:tc>
          <w:tcPr/>
          <w:p>
            <w:pPr>
              <w:pStyle w:val="Compact"/>
              <w:jc w:val="left"/>
            </w:pPr>
            <w:r>
              <w:rPr>
                <w:bCs/>
                <w:b/>
              </w:rPr>
              <w:t xml:space="preserve">KER-PROD-04</w:t>
            </w:r>
          </w:p>
        </w:tc>
        <w:tc>
          <w:tcPr/>
          <w:p>
            <w:pPr>
              <w:pStyle w:val="Compact"/>
              <w:jc w:val="left"/>
            </w:pPr>
            <w:r>
              <w:t xml:space="preserve">Chaque produit du registre déclare les briques du noyau qu’il consomme effectivement (GSG ID, Org Registry, GSG Referential, Referential Engine, Event Bus, Audit, Billing, Design System), afin que l’impact d’une évolution du noyau soit mesurable produit par produit plutôt qu’estimé.</w:t>
            </w:r>
          </w:p>
        </w:tc>
      </w:tr>
    </w:tbl>
    <w:bookmarkEnd w:id="50"/>
    <w:bookmarkStart w:id="51" w:name="X78dc8b37fea8e1dbf59abc28978dae5810221b4"/>
    <w:p>
      <w:pPr>
        <w:pStyle w:val="Heading2"/>
      </w:pPr>
      <w:r>
        <w:rPr>
          <w:bCs/>
          <w:b/>
        </w:rPr>
        <w:t xml:space="preserve">6. GSG Referential - pays, devises, langues, blocs regionaux (9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KER-REF-01</w:t>
            </w:r>
          </w:p>
        </w:tc>
        <w:tc>
          <w:tcPr/>
          <w:p>
            <w:pPr>
              <w:pStyle w:val="Compact"/>
              <w:jc w:val="left"/>
            </w:pPr>
            <w:r>
              <w:t xml:space="preserve">Le référentiel pays (id, code_iso ISO 3166-1 alpha-2, nom, organisme_regional_principal, notes_souverainete) est l’unique source de vérité pays pour l’ensemble du portefeuille GSG ; aucune table métier d’aucun produit ne stocke un nom de pays en texte libre.</w:t>
            </w:r>
          </w:p>
        </w:tc>
      </w:tr>
      <w:tr>
        <w:tc>
          <w:tcPr/>
          <w:p>
            <w:pPr>
              <w:pStyle w:val="Compact"/>
              <w:jc w:val="left"/>
            </w:pPr>
            <w:r>
              <w:rPr>
                <w:bCs/>
                <w:b/>
              </w:rPr>
              <w:t xml:space="preserve">KER-REF-02</w:t>
            </w:r>
          </w:p>
        </w:tc>
        <w:tc>
          <w:tcPr/>
          <w:p>
            <w:pPr>
              <w:pStyle w:val="Compact"/>
              <w:jc w:val="left"/>
            </w:pPr>
            <w:r>
              <w:t xml:space="preserve">Le référentiel devise (id, code_iso4217, nom, zone_monetaire, decimales) est aligné sur ISO 4217 et porte le nombre de décimales officiel de chaque devise, absent de la proposition initiale du Cadre — le franc guinéen et le franc CFA en ont zéro, le dinar koweïtien en a trois.</w:t>
            </w:r>
          </w:p>
        </w:tc>
      </w:tr>
      <w:tr>
        <w:tc>
          <w:tcPr/>
          <w:p>
            <w:pPr>
              <w:pStyle w:val="Compact"/>
              <w:jc w:val="left"/>
            </w:pPr>
            <w:r>
              <w:rPr>
                <w:bCs/>
                <w:b/>
              </w:rPr>
              <w:t xml:space="preserve">KER-REF-03</w:t>
            </w:r>
          </w:p>
        </w:tc>
        <w:tc>
          <w:tcPr/>
          <w:p>
            <w:pPr>
              <w:pStyle w:val="Compact"/>
              <w:jc w:val="left"/>
            </w:pPr>
            <w:r>
              <w:t xml:space="preserve">La relation pays_devise (pays_id, devise_id, date_debut, date_fin, devise_principale) reste modélisée en many-to-many datée, un pays pouvant faire circuler plusieurs devises et une devise pouvant être partagée par plusieurs pays (zones UEMOA/XOF, CEMAC/XAF).</w:t>
            </w:r>
          </w:p>
        </w:tc>
      </w:tr>
      <w:tr>
        <w:tc>
          <w:tcPr/>
          <w:p>
            <w:pPr>
              <w:pStyle w:val="Compact"/>
              <w:jc w:val="left"/>
            </w:pPr>
            <w:r>
              <w:rPr>
                <w:bCs/>
                <w:b/>
              </w:rPr>
              <w:t xml:space="preserve">KER-REF-04</w:t>
            </w:r>
          </w:p>
        </w:tc>
        <w:tc>
          <w:tcPr/>
          <w:p>
            <w:pPr>
              <w:pStyle w:val="Compact"/>
              <w:jc w:val="left"/>
            </w:pPr>
            <w:r>
              <w:t xml:space="preserve">La table taux_change (devise_base, devise_cible, taux, valide_du, valide_au, source) est l’unique source de taux de change de la plateforme ; si aucun taux valide n’existe pour une paire de devises à un instant donné, le système refuse explicitement l’opération plutôt que de supposer une parité 1:1.</w:t>
            </w:r>
          </w:p>
        </w:tc>
      </w:tr>
      <w:tr>
        <w:tc>
          <w:tcPr/>
          <w:p>
            <w:pPr>
              <w:pStyle w:val="Compact"/>
              <w:jc w:val="left"/>
            </w:pPr>
            <w:r>
              <w:rPr>
                <w:bCs/>
                <w:b/>
              </w:rPr>
              <w:t xml:space="preserve">KER-REF-05</w:t>
            </w:r>
          </w:p>
        </w:tc>
        <w:tc>
          <w:tcPr/>
          <w:p>
            <w:pPr>
              <w:pStyle w:val="Compact"/>
              <w:jc w:val="left"/>
            </w:pPr>
            <w:r>
              <w:t xml:space="preserve">Règle absolue de précision monétaire : tout montant est stocké en unité mineure entière, jamais en nombre à virgule flottante, dans tous les produits du portefeuille qui manipulent de l’argent (TradeLink Africa, AssoShop, GlobalStock ERP, futur Wallet B2B) — conformément à la pratique standard de l’industrie fintech.</w:t>
            </w:r>
          </w:p>
        </w:tc>
      </w:tr>
      <w:tr>
        <w:tc>
          <w:tcPr/>
          <w:p>
            <w:pPr>
              <w:pStyle w:val="Compact"/>
              <w:jc w:val="left"/>
            </w:pPr>
            <w:r>
              <w:rPr>
                <w:bCs/>
                <w:b/>
              </w:rPr>
              <w:t xml:space="preserve">KER-REF-06</w:t>
            </w:r>
          </w:p>
        </w:tc>
        <w:tc>
          <w:tcPr/>
          <w:p>
            <w:pPr>
              <w:pStyle w:val="Compact"/>
              <w:jc w:val="left"/>
            </w:pPr>
            <w:r>
              <w:t xml:space="preserve">Le référentiel langue (id, code_iso639, nom) et la relation pays_langue (pays_id, langue_id, statut : officielle │ nationale │ enseignement_initial │ véhiculaire, ordre) sont repris tels que définis dans le Cadre de Référence Multi-Pays, sans modification.</w:t>
            </w:r>
          </w:p>
        </w:tc>
      </w:tr>
      <w:tr>
        <w:tc>
          <w:tcPr/>
          <w:p>
            <w:pPr>
              <w:pStyle w:val="Compact"/>
              <w:jc w:val="left"/>
            </w:pPr>
            <w:r>
              <w:rPr>
                <w:bCs/>
                <w:b/>
              </w:rPr>
              <w:t xml:space="preserve">KER-REF-07</w:t>
            </w:r>
          </w:p>
        </w:tc>
        <w:tc>
          <w:tcPr/>
          <w:p>
            <w:pPr>
              <w:pStyle w:val="Compact"/>
              <w:jc w:val="left"/>
            </w:pPr>
            <w:r>
              <w:t xml:space="preserve">Le référentiel bloc_regional (id, code, nom, type : économique │ juridique │ monétaire │ examinateur) et pays_bloc_regional (pays_id, bloc_regional_id, date_adhesion, date_retrait, statut_actuel) entrent au noyau tels quels ; le retrait effectif du Mali, du Burkina Faso et du Niger de la CEDEAO le 29 janvier 2025 reste le cas d’école justifiant une période d’appartenance datée plutôt qu’un attribut statique.</w:t>
            </w:r>
          </w:p>
        </w:tc>
      </w:tr>
      <w:tr>
        <w:tc>
          <w:tcPr/>
          <w:p>
            <w:pPr>
              <w:pStyle w:val="Compact"/>
              <w:jc w:val="left"/>
            </w:pPr>
            <w:r>
              <w:rPr>
                <w:bCs/>
                <w:b/>
              </w:rPr>
              <w:t xml:space="preserve">KER-REF-08</w:t>
            </w:r>
          </w:p>
        </w:tc>
        <w:tc>
          <w:tcPr/>
          <w:p>
            <w:pPr>
              <w:pStyle w:val="Compact"/>
              <w:jc w:val="left"/>
            </w:pPr>
            <w:r>
              <w:t xml:space="preserve">Chaque devise est rattachée, lorsqu’applicable, à sa zone monétaire régulatrice via zone_monetaire (ex. XOF → BCEAO, XAF → BEAC), afin de faciliter l’application différenciée des règles de conformité déjà identifiées dans le cahier TradeLink Africa.</w:t>
            </w:r>
          </w:p>
        </w:tc>
      </w:tr>
      <w:tr>
        <w:tc>
          <w:tcPr/>
          <w:p>
            <w:pPr>
              <w:pStyle w:val="Compact"/>
              <w:jc w:val="left"/>
            </w:pPr>
            <w:r>
              <w:rPr>
                <w:bCs/>
                <w:b/>
              </w:rPr>
              <w:t xml:space="preserve">KER-REF-09</w:t>
            </w:r>
          </w:p>
        </w:tc>
        <w:tc>
          <w:tcPr/>
          <w:p>
            <w:pPr>
              <w:pStyle w:val="Compact"/>
              <w:jc w:val="left"/>
            </w:pPr>
            <w:r>
              <w:t xml:space="preserve">Un gabarit de format d’adresse postale par pays (adresse_gabarit, porté sur la table pays) et un fuseau horaire IANA par pays (ex. Africa/Conakry, Africa/Dakar) complètent le référentiel — ces deux champs, absents du Cadre initial, restent nécessaires à AssoShop, à la logistique de TradeLink Africa et à tout calcul temporel du noyau.</w:t>
            </w:r>
          </w:p>
        </w:tc>
      </w:tr>
    </w:tbl>
    <w:bookmarkEnd w:id="51"/>
    <w:bookmarkStart w:id="52" w:name="Xfe092193e0ca574d543a1922935ef3f60118c67"/>
    <w:p>
      <w:pPr>
        <w:pStyle w:val="Heading2"/>
      </w:pPr>
      <w:r>
        <w:rPr>
          <w:bCs/>
          <w:b/>
        </w:rPr>
        <w:t xml:space="preserve">7. GSG Referential - unites administratives et villes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KER-ADM-01</w:t>
            </w:r>
          </w:p>
        </w:tc>
        <w:tc>
          <w:tcPr/>
          <w:p>
            <w:pPr>
              <w:pStyle w:val="Compact"/>
              <w:jc w:val="left"/>
            </w:pPr>
            <w:r>
              <w:t xml:space="preserve">La hiérarchie administrative interne à un pays (région, préfecture, sous-préfecture, département, état, comté…) n’est pas modélisée par une table dédiée : elle est portée par le référentiel générique referentiel_hierarchique (section 8) avec code_domaine = « administratif » et produit_id nul, car elle est transversale à tout le portefeuille et non spécifique à un produit.</w:t>
            </w:r>
          </w:p>
        </w:tc>
      </w:tr>
      <w:tr>
        <w:tc>
          <w:tcPr/>
          <w:p>
            <w:pPr>
              <w:pStyle w:val="Compact"/>
              <w:jc w:val="left"/>
            </w:pPr>
            <w:r>
              <w:rPr>
                <w:bCs/>
                <w:b/>
              </w:rPr>
              <w:t xml:space="preserve">KER-ADM-02</w:t>
            </w:r>
          </w:p>
        </w:tc>
        <w:tc>
          <w:tcPr/>
          <w:p>
            <w:pPr>
              <w:pStyle w:val="Compact"/>
              <w:jc w:val="left"/>
            </w:pPr>
            <w:r>
              <w:t xml:space="preserve">Cette décision élimine une duplication identifiée lors de la fusion : administrative_units (v1.1) et referentiel_hierarchique (Cadre) sont isomorphes — même structure auto-référencée, même besoin de rang normalisé, même variabilité de profondeur d’un pays à l’autre — sans qu’aucun des deux documents sources ne l’ait signalé.</w:t>
            </w:r>
          </w:p>
        </w:tc>
      </w:tr>
      <w:tr>
        <w:tc>
          <w:tcPr/>
          <w:p>
            <w:pPr>
              <w:pStyle w:val="Compact"/>
              <w:jc w:val="left"/>
            </w:pPr>
            <w:r>
              <w:rPr>
                <w:bCs/>
                <w:b/>
              </w:rPr>
              <w:t xml:space="preserve">KER-ADM-03</w:t>
            </w:r>
          </w:p>
        </w:tc>
        <w:tc>
          <w:tcPr/>
          <w:p>
            <w:pPr>
              <w:pStyle w:val="Compact"/>
              <w:jc w:val="left"/>
            </w:pPr>
            <w:r>
              <w:t xml:space="preserve">La table ville reste une entité dédiée, distincte du référentiel générique, car elle est référencée très fréquemment par les modules métier (adresses, livraison, points de vente) et bénéficie d’un accès direct indexé plutôt que d’une remontée d’arbre à chaque requête ; elle porte une référence optionnelle vers le nœud referentiel_hierarchique (code_domaine = « administratif ») auquel elle appartient.</w:t>
            </w:r>
          </w:p>
        </w:tc>
      </w:tr>
      <w:tr>
        <w:tc>
          <w:tcPr/>
          <w:p>
            <w:pPr>
              <w:pStyle w:val="Compact"/>
              <w:jc w:val="left"/>
            </w:pPr>
            <w:r>
              <w:rPr>
                <w:bCs/>
                <w:b/>
              </w:rPr>
              <w:t xml:space="preserve">KER-ADM-04</w:t>
            </w:r>
          </w:p>
        </w:tc>
        <w:tc>
          <w:tcPr/>
          <w:p>
            <w:pPr>
              <w:pStyle w:val="Compact"/>
              <w:jc w:val="left"/>
            </w:pPr>
            <w:r>
              <w:t xml:space="preserve">Chaque enregistrement du référentiel (pays, devise, langue, bloc_regional, nœud administratif, ville) porte un indicateur est_actif, permettant de désactiver une entité sans la supprimer, afin de préserver l’intégrité référentielle des données déjà rattachées.</w:t>
            </w:r>
          </w:p>
        </w:tc>
      </w:tr>
    </w:tbl>
    <w:bookmarkEnd w:id="52"/>
    <w:bookmarkStart w:id="53" w:name="Xf01c1067798da8a14ada741419235e169ab77ca"/>
    <w:p>
      <w:pPr>
        <w:pStyle w:val="Heading2"/>
      </w:pPr>
      <w:r>
        <w:rPr>
          <w:bCs/>
          <w:b/>
        </w:rPr>
        <w:t xml:space="preserve">8. GSG Referential Engine - meta-modele generique par domaine (9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KER-ENG-01</w:t>
            </w:r>
          </w:p>
        </w:tc>
        <w:tc>
          <w:tcPr/>
          <w:p>
            <w:pPr>
              <w:pStyle w:val="Compact"/>
              <w:jc w:val="left"/>
            </w:pPr>
            <w:r>
              <w:t xml:space="preserve">Découplage référentiel structurel / contenu versionné : toute donnée décrivant la structure d’un pays (ce qui change rarement) est modélisée indépendamment du temps ; toute donnée de contenu ou de réglementation qui évolue périodiquement (programme scolaire, barème fiscal annuel) est explicitement versionnée et rattachée au référentiel structurel sans jamais le modifier.</w:t>
            </w:r>
          </w:p>
        </w:tc>
      </w:tr>
      <w:tr>
        <w:tc>
          <w:tcPr/>
          <w:p>
            <w:pPr>
              <w:pStyle w:val="Compact"/>
              <w:jc w:val="left"/>
            </w:pPr>
            <w:r>
              <w:rPr>
                <w:bCs/>
                <w:b/>
              </w:rPr>
              <w:t xml:space="preserve">KER-ENG-02</w:t>
            </w:r>
          </w:p>
        </w:tc>
        <w:tc>
          <w:tcPr/>
          <w:p>
            <w:pPr>
              <w:pStyle w:val="Compact"/>
              <w:jc w:val="left"/>
            </w:pPr>
            <w:r>
              <w:t xml:space="preserve">Typologie par domaine et par famille de système : chaque pays est rattaché à une ou plusieurs familles de système selon le domaine considéré (système éducatif francophone/anglophone/lusophone/arabophone ; tradition juridique OHADA/common law/lusophone) ; un nouveau pays hérite par défaut des règles de sa famille et ne nécessite que la saisie de ses spécificités.</w:t>
            </w:r>
          </w:p>
        </w:tc>
      </w:tr>
      <w:tr>
        <w:tc>
          <w:tcPr/>
          <w:p>
            <w:pPr>
              <w:pStyle w:val="Compact"/>
              <w:jc w:val="left"/>
            </w:pPr>
            <w:r>
              <w:rPr>
                <w:bCs/>
                <w:b/>
              </w:rPr>
              <w:t xml:space="preserve">KER-ENG-03</w:t>
            </w:r>
          </w:p>
        </w:tc>
        <w:tc>
          <w:tcPr/>
          <w:p>
            <w:pPr>
              <w:pStyle w:val="Compact"/>
              <w:jc w:val="left"/>
            </w:pPr>
            <w:r>
              <w:t xml:space="preserve">Normalisation inter-pays par rang continu : toute hiérarchie qui varie en profondeur d’un pays à l’autre porte un rang normalisé, entier et continu, permettant la comparaison ou la migration d’une donnée entre pays sans dépendre des appellations locales ; ce rang n’est jamais montré à l’utilisateur final.</w:t>
            </w:r>
          </w:p>
        </w:tc>
      </w:tr>
      <w:tr>
        <w:tc>
          <w:tcPr/>
          <w:p>
            <w:pPr>
              <w:pStyle w:val="Compact"/>
              <w:jc w:val="left"/>
            </w:pPr>
            <w:r>
              <w:rPr>
                <w:bCs/>
                <w:b/>
              </w:rPr>
              <w:t xml:space="preserve">KER-ENG-04</w:t>
            </w:r>
          </w:p>
        </w:tc>
        <w:tc>
          <w:tcPr/>
          <w:p>
            <w:pPr>
              <w:pStyle w:val="Compact"/>
              <w:jc w:val="left"/>
            </w:pPr>
            <w:r>
              <w:t xml:space="preserve">Aucune variation pays codée en dur : aucune condition de la forme « si pays = X » n’apparaît dans le code applicatif d’un produit GSG. Toute variation entre pays s’exprime exclusivement par des données du référentiel ; l’ajout d’un pays ne doit jamais nécessiter une mise à jour du code.</w:t>
            </w:r>
          </w:p>
        </w:tc>
      </w:tr>
      <w:tr>
        <w:tc>
          <w:tcPr/>
          <w:p>
            <w:pPr>
              <w:pStyle w:val="Compact"/>
              <w:jc w:val="left"/>
            </w:pPr>
            <w:r>
              <w:rPr>
                <w:bCs/>
                <w:b/>
              </w:rPr>
              <w:t xml:space="preserve">KER-ENG-05</w:t>
            </w:r>
          </w:p>
        </w:tc>
        <w:tc>
          <w:tcPr/>
          <w:p>
            <w:pPr>
              <w:pStyle w:val="Compact"/>
              <w:jc w:val="left"/>
            </w:pPr>
            <w:r>
              <w:t xml:space="preserve">Organisme réglementaire explicite et traçable : chaque règle ou donnée structurelle rattachée à un pays identifie l’organisme qui la certifie ou la réglemente (ministère national, organisme régional comme la CEDEAO, l’UEMOA, l’OHADA ou le WAEC).</w:t>
            </w:r>
          </w:p>
        </w:tc>
      </w:tr>
      <w:tr>
        <w:tc>
          <w:tcPr/>
          <w:p>
            <w:pPr>
              <w:pStyle w:val="Compact"/>
              <w:jc w:val="left"/>
            </w:pPr>
            <w:r>
              <w:rPr>
                <w:bCs/>
                <w:b/>
              </w:rPr>
              <w:t xml:space="preserve">KER-ENG-06</w:t>
            </w:r>
          </w:p>
        </w:tc>
        <w:tc>
          <w:tcPr/>
          <w:p>
            <w:pPr>
              <w:pStyle w:val="Compact"/>
              <w:jc w:val="left"/>
            </w:pPr>
            <w:r>
              <w:t xml:space="preserve">Traçabilité et niveau de confiance de toute donnée pays : chaque donnée du référentiel porte un statut de confiance (Élevée, Moyenne, À vérifier), une source et une date de dernière vérification ; aucune donnée « À vérifier » n’est utilisée en production sans validation explicite.</w:t>
            </w:r>
          </w:p>
        </w:tc>
      </w:tr>
      <w:tr>
        <w:tc>
          <w:tcPr/>
          <w:p>
            <w:pPr>
              <w:pStyle w:val="Compact"/>
              <w:jc w:val="left"/>
            </w:pPr>
            <w:r>
              <w:rPr>
                <w:bCs/>
                <w:b/>
              </w:rPr>
              <w:t xml:space="preserve">KER-ENG-07</w:t>
            </w:r>
          </w:p>
        </w:tc>
        <w:tc>
          <w:tcPr/>
          <w:p>
            <w:pPr>
              <w:pStyle w:val="Compact"/>
              <w:jc w:val="left"/>
            </w:pPr>
            <w:r>
              <w:t xml:space="preserve">Gouvernance et workflow de validation : toute modification du référentiel structurel (ajout de pays, de règle, de bloc régional) suit un workflow Brouillon → Révision → Validation → Publication, porté par un back-office transversal commun à tous les produits GSG plutôt que par un module ad hoc de chaque produit.</w:t>
            </w:r>
          </w:p>
        </w:tc>
      </w:tr>
      <w:tr>
        <w:tc>
          <w:tcPr/>
          <w:p>
            <w:pPr>
              <w:pStyle w:val="Compact"/>
              <w:jc w:val="left"/>
            </w:pPr>
            <w:r>
              <w:rPr>
                <w:bCs/>
                <w:b/>
              </w:rPr>
              <w:t xml:space="preserve">KER-ENG-08</w:t>
            </w:r>
          </w:p>
        </w:tc>
        <w:tc>
          <w:tcPr/>
          <w:p>
            <w:pPr>
              <w:pStyle w:val="Compact"/>
              <w:jc w:val="left"/>
            </w:pPr>
            <w:r>
              <w:t xml:space="preserve">Le moteur est exposé par adaptateur au même titre que les autres briques du noyau ; un produit consomme referentiel_hierarchique, referentiel_regle, corpus_versionne et corpus_element via API plutôt que de redéfinir sa propre table métier équivalente — c’est la correction directe de la duplication décrite en section 7.</w:t>
            </w:r>
          </w:p>
        </w:tc>
      </w:tr>
      <w:tr>
        <w:tc>
          <w:tcPr/>
          <w:p>
            <w:pPr>
              <w:pStyle w:val="Compact"/>
              <w:jc w:val="left"/>
            </w:pPr>
            <w:r>
              <w:rPr>
                <w:bCs/>
                <w:b/>
              </w:rPr>
              <w:t xml:space="preserve">KER-ENG-09</w:t>
            </w:r>
          </w:p>
        </w:tc>
        <w:tc>
          <w:tcPr/>
          <w:p>
            <w:pPr>
              <w:pStyle w:val="Compact"/>
              <w:jc w:val="left"/>
            </w:pPr>
            <w:r>
              <w:t xml:space="preserve">Chaque produit qui instancie le moteur déclare son ou ses code_domaine dans son propre cahier de conception (education, fiscal, juridique, associatif, commercial_paiement, cultuel_legal, administratif pour le noyau lui-même) ; ce document ne redéfinit pas les instanciations déjà détaillées dans le Cadre de Référence Multi-Pays et les cahiers produits, il les rattache formellement au noyau.</w:t>
            </w:r>
          </w:p>
        </w:tc>
      </w:tr>
    </w:tbl>
    <w:bookmarkEnd w:id="53"/>
    <w:bookmarkStart w:id="54" w:name="X2ecd9d2a59b576d8d62cb526410eeafb464c41c"/>
    <w:p>
      <w:pPr>
        <w:pStyle w:val="Heading2"/>
      </w:pPr>
      <w:r>
        <w:rPr>
          <w:bCs/>
          <w:b/>
        </w:rPr>
        <w:t xml:space="preserve">9. Heritage des parametres regionaux (3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KER-INH-01</w:t>
            </w:r>
          </w:p>
        </w:tc>
        <w:tc>
          <w:tcPr/>
          <w:p>
            <w:pPr>
              <w:pStyle w:val="Compact"/>
              <w:jc w:val="left"/>
            </w:pPr>
            <w:r>
              <w:t xml:space="preserve">La résolution des paramètres régionaux (langue, devise, fuseau horaire, format de date/nombre) suit un ordre de priorité strict : Utilisateur → Organisation/Agence → Pays → Global. Le premier niveau où un paramètre est explicitement défini l’emporte.</w:t>
            </w:r>
          </w:p>
        </w:tc>
      </w:tr>
      <w:tr>
        <w:tc>
          <w:tcPr/>
          <w:p>
            <w:pPr>
              <w:pStyle w:val="Compact"/>
              <w:jc w:val="left"/>
            </w:pPr>
            <w:r>
              <w:rPr>
                <w:bCs/>
                <w:b/>
              </w:rPr>
              <w:t xml:space="preserve">KER-INH-02</w:t>
            </w:r>
          </w:p>
        </w:tc>
        <w:tc>
          <w:tcPr/>
          <w:p>
            <w:pPr>
              <w:pStyle w:val="Compact"/>
              <w:jc w:val="left"/>
            </w:pPr>
            <w:r>
              <w:t xml:space="preserve">Un paramètre non défini à un niveau n’est jamais traité comme une valeur arbitraire codée en dur ; la résolution doit remonter la chaîne d’héritage jusqu’à trouver une valeur explicite, y compris jusqu’au niveau Global.</w:t>
            </w:r>
          </w:p>
        </w:tc>
      </w:tr>
      <w:tr>
        <w:tc>
          <w:tcPr/>
          <w:p>
            <w:pPr>
              <w:pStyle w:val="Compact"/>
              <w:jc w:val="left"/>
            </w:pPr>
            <w:r>
              <w:rPr>
                <w:bCs/>
                <w:b/>
              </w:rPr>
              <w:t xml:space="preserve">KER-INH-03</w:t>
            </w:r>
          </w:p>
        </w:tc>
        <w:tc>
          <w:tcPr/>
          <w:p>
            <w:pPr>
              <w:pStyle w:val="Compact"/>
              <w:jc w:val="left"/>
            </w:pPr>
            <w:r>
              <w:t xml:space="preserve">Toute organisation cliente peut créer des agences localisées différemment de son siège sans dupliquer le code applicatif, le mécanisme d’héritage s’appliquant identiquement à chaque niveau.</w:t>
            </w:r>
          </w:p>
        </w:tc>
      </w:tr>
    </w:tbl>
    <w:bookmarkEnd w:id="54"/>
    <w:bookmarkStart w:id="55" w:name="Xb65757404f7d626045d631ac96b50681e01e6d7"/>
    <w:p>
      <w:pPr>
        <w:pStyle w:val="Heading2"/>
      </w:pPr>
      <w:r>
        <w:rPr>
          <w:bCs/>
          <w:b/>
        </w:rPr>
        <w:t xml:space="preserve">10. AppConfig et consommation cote client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KER-CFG-01</w:t>
            </w:r>
          </w:p>
        </w:tc>
        <w:tc>
          <w:tcPr/>
          <w:p>
            <w:pPr>
              <w:pStyle w:val="Compact"/>
              <w:jc w:val="left"/>
            </w:pPr>
            <w:r>
              <w:t xml:space="preserve">Aucune application cliente (Flutter, web) ne doit contenir de branchement conditionnel sur un pays codé en dur ; elle reçoit un objet de configuration résolu (AppConfig : pays, devise, langue, locale, fuseau_horaire, format_date, format_nombre, adresse_gabarit, fournisseurs_paiement) depuis le noyau.</w:t>
            </w:r>
          </w:p>
        </w:tc>
      </w:tr>
      <w:tr>
        <w:tc>
          <w:tcPr/>
          <w:p>
            <w:pPr>
              <w:pStyle w:val="Compact"/>
              <w:jc w:val="left"/>
            </w:pPr>
            <w:r>
              <w:rPr>
                <w:bCs/>
                <w:b/>
              </w:rPr>
              <w:t xml:space="preserve">KER-CFG-02</w:t>
            </w:r>
          </w:p>
        </w:tc>
        <w:tc>
          <w:tcPr/>
          <w:p>
            <w:pPr>
              <w:pStyle w:val="Compact"/>
              <w:jc w:val="left"/>
            </w:pPr>
            <w:r>
              <w:t xml:space="preserve">L’AppConfig est calculé côté serveur, en appliquant la chaîne d’héritage (KER-INH-01), et transmis en un seul appel au démarrage de l’application, jamais reconstruit indépendamment par chaque client.</w:t>
            </w:r>
          </w:p>
        </w:tc>
      </w:tr>
      <w:tr>
        <w:tc>
          <w:tcPr/>
          <w:p>
            <w:pPr>
              <w:pStyle w:val="Compact"/>
              <w:jc w:val="left"/>
            </w:pPr>
            <w:r>
              <w:rPr>
                <w:bCs/>
                <w:b/>
              </w:rPr>
              <w:t xml:space="preserve">KER-CFG-03</w:t>
            </w:r>
          </w:p>
        </w:tc>
        <w:tc>
          <w:tcPr/>
          <w:p>
            <w:pPr>
              <w:pStyle w:val="Compact"/>
              <w:jc w:val="left"/>
            </w:pPr>
            <w:r>
              <w:t xml:space="preserve">L’AppConfig inclut le gabarit de format d’adresse postale par pays (KER-REF-09), point nécessaire pour AssoShop, TradeLink Africa et toute fonctionnalité de logistique.</w:t>
            </w:r>
          </w:p>
        </w:tc>
      </w:tr>
      <w:tr>
        <w:tc>
          <w:tcPr/>
          <w:p>
            <w:pPr>
              <w:pStyle w:val="Compact"/>
              <w:jc w:val="left"/>
            </w:pPr>
            <w:r>
              <w:rPr>
                <w:bCs/>
                <w:b/>
              </w:rPr>
              <w:t xml:space="preserve">KER-CFG-04</w:t>
            </w:r>
          </w:p>
        </w:tc>
        <w:tc>
          <w:tcPr/>
          <w:p>
            <w:pPr>
              <w:pStyle w:val="Compact"/>
              <w:jc w:val="left"/>
            </w:pPr>
            <w:r>
              <w:t xml:space="preserve">Les numéros de téléphone affichés ou saisis côté client sont systématiquement validés au format E.164 (KER-ID-06) ; l’indicatif téléphonique du pays sert uniquement à préremplir l’interface, jamais à lui seul de règle de validation.</w:t>
            </w:r>
          </w:p>
        </w:tc>
      </w:tr>
    </w:tbl>
    <w:bookmarkEnd w:id="55"/>
    <w:bookmarkStart w:id="56" w:name="bus-devenements-inter-produits-3-règles"/>
    <w:p>
      <w:pPr>
        <w:pStyle w:val="Heading2"/>
      </w:pPr>
      <w:r>
        <w:rPr>
          <w:bCs/>
          <w:b/>
        </w:rPr>
        <w:t xml:space="preserve">11. Bus d’evenements inter-produits (3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KER-EVT-01</w:t>
            </w:r>
          </w:p>
        </w:tc>
        <w:tc>
          <w:tcPr/>
          <w:p>
            <w:pPr>
              <w:pStyle w:val="Compact"/>
              <w:jc w:val="left"/>
            </w:pPr>
            <w:r>
              <w:t xml:space="preserve">Les événements inter-produits transitent par un bus léger (Redis Streams ou NATS), selon un schéma d’événement commun : type, gsg_org_id, horodatage, charge utile, produit source.</w:t>
            </w:r>
          </w:p>
        </w:tc>
      </w:tr>
      <w:tr>
        <w:tc>
          <w:tcPr/>
          <w:p>
            <w:pPr>
              <w:pStyle w:val="Compact"/>
              <w:jc w:val="left"/>
            </w:pPr>
            <w:r>
              <w:rPr>
                <w:bCs/>
                <w:b/>
              </w:rPr>
              <w:t xml:space="preserve">KER-EVT-02</w:t>
            </w:r>
          </w:p>
        </w:tc>
        <w:tc>
          <w:tcPr/>
          <w:p>
            <w:pPr>
              <w:pStyle w:val="Compact"/>
              <w:jc w:val="left"/>
            </w:pPr>
            <w:r>
              <w:t xml:space="preserve">Chaque produit choisit librement les événements qu’il publie et ceux qu’il consomme ; l’absence de connexion au bus ne doit jamais bloquer le fonctionnement autonome d’un produit.</w:t>
            </w:r>
          </w:p>
        </w:tc>
      </w:tr>
      <w:tr>
        <w:tc>
          <w:tcPr/>
          <w:p>
            <w:pPr>
              <w:pStyle w:val="Compact"/>
              <w:jc w:val="left"/>
            </w:pPr>
            <w:r>
              <w:rPr>
                <w:bCs/>
                <w:b/>
              </w:rPr>
              <w:t xml:space="preserve">KER-EVT-03</w:t>
            </w:r>
          </w:p>
        </w:tc>
        <w:tc>
          <w:tcPr/>
          <w:p>
            <w:pPr>
              <w:pStyle w:val="Compact"/>
              <w:jc w:val="left"/>
            </w:pPr>
            <w:r>
              <w:t xml:space="preserve">Exemple de référence : un événement « collaborateur.depart » émis par un futur module RH peut déclencher automatiquement l’Offboarding Guard de SecureGuard, sans couplage direct de code entre les deux produits.</w:t>
            </w:r>
          </w:p>
        </w:tc>
      </w:tr>
    </w:tbl>
    <w:bookmarkEnd w:id="56"/>
    <w:bookmarkStart w:id="57" w:name="X0dcc749e0fecb90b42ce7a5e359950e8549ff48"/>
    <w:p>
      <w:pPr>
        <w:pStyle w:val="Heading2"/>
      </w:pPr>
      <w:r>
        <w:rPr>
          <w:bCs/>
          <w:b/>
        </w:rPr>
        <w:t xml:space="preserve">12. Audit et gouvernance des donnees inter-produits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KER-AUD-01</w:t>
            </w:r>
          </w:p>
        </w:tc>
        <w:tc>
          <w:tcPr/>
          <w:p>
            <w:pPr>
              <w:pStyle w:val="Compact"/>
              <w:jc w:val="left"/>
            </w:pPr>
            <w:r>
              <w:t xml:space="preserve">Un journal d’audit centralisé optionnel permet de consulter, pour une organisation donnée, les actions significatives réalisées sur l’ensemble des produits GSG auxquels elle est abonnée.</w:t>
            </w:r>
          </w:p>
        </w:tc>
      </w:tr>
      <w:tr>
        <w:tc>
          <w:tcPr/>
          <w:p>
            <w:pPr>
              <w:pStyle w:val="Compact"/>
              <w:jc w:val="left"/>
            </w:pPr>
            <w:r>
              <w:rPr>
                <w:bCs/>
                <w:b/>
              </w:rPr>
              <w:t xml:space="preserve">KER-AUD-02</w:t>
            </w:r>
          </w:p>
        </w:tc>
        <w:tc>
          <w:tcPr/>
          <w:p>
            <w:pPr>
              <w:pStyle w:val="Compact"/>
              <w:jc w:val="left"/>
            </w:pPr>
            <w:r>
              <w:t xml:space="preserve">La nature des données partagées entre produits pour une même organisation doit être documentée explicitement et communiquée à l’organisation cliente, conformément au principe de Privacy by Design déjà retenu pour SecureGuard.</w:t>
            </w:r>
          </w:p>
        </w:tc>
      </w:tr>
      <w:tr>
        <w:tc>
          <w:tcPr/>
          <w:p>
            <w:pPr>
              <w:pStyle w:val="Compact"/>
              <w:jc w:val="left"/>
            </w:pPr>
            <w:r>
              <w:rPr>
                <w:bCs/>
                <w:b/>
              </w:rPr>
              <w:t xml:space="preserve">KER-AUD-03</w:t>
            </w:r>
          </w:p>
        </w:tc>
        <w:tc>
          <w:tcPr/>
          <w:p>
            <w:pPr>
              <w:pStyle w:val="Compact"/>
              <w:jc w:val="left"/>
            </w:pPr>
            <w:r>
              <w:t xml:space="preserve">Aucune donnée métier sensible (contenu financier, données de santé, données scolaires nominatives) ne doit transiter par le bus d’événements sans finalité explicite et base légale documentée.</w:t>
            </w:r>
          </w:p>
        </w:tc>
      </w:tr>
      <w:tr>
        <w:tc>
          <w:tcPr/>
          <w:p>
            <w:pPr>
              <w:pStyle w:val="Compact"/>
              <w:jc w:val="left"/>
            </w:pPr>
            <w:r>
              <w:rPr>
                <w:bCs/>
                <w:b/>
              </w:rPr>
              <w:t xml:space="preserve">KER-AUD-04</w:t>
            </w:r>
          </w:p>
        </w:tc>
        <w:tc>
          <w:tcPr/>
          <w:p>
            <w:pPr>
              <w:pStyle w:val="Compact"/>
              <w:jc w:val="left"/>
            </w:pPr>
            <w:r>
              <w:t xml:space="preserve">Toute modification du référentiel structurel partagé (pays, devise, langue, bloc régional, nœud du Referential Engine) suit le workflow Brouillon → Révision → Validation → Publication (KER-ENG-07) et est journalisée dans l’audit centralisé, quel que soit le produit à l’origine de la demande.</w:t>
            </w:r>
          </w:p>
        </w:tc>
      </w:tr>
    </w:tbl>
    <w:bookmarkEnd w:id="57"/>
    <w:bookmarkStart w:id="58" w:name="X27e38da869ab3e9c6b992dccd95cc9b517574f5"/>
    <w:p>
      <w:pPr>
        <w:pStyle w:val="Heading2"/>
      </w:pPr>
      <w:r>
        <w:rPr>
          <w:bCs/>
          <w:b/>
        </w:rPr>
        <w:t xml:space="preserve">13. Facturation unifiee (brique differee par defaut) (3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KER-BIL-01</w:t>
            </w:r>
          </w:p>
        </w:tc>
        <w:tc>
          <w:tcPr/>
          <w:p>
            <w:pPr>
              <w:pStyle w:val="Compact"/>
              <w:jc w:val="left"/>
            </w:pPr>
            <w:r>
              <w:t xml:space="preserve">Un moteur de facturation central (GSG Billing Core) mutualise l’intégration aux agrégateurs mobile money (CinetPay, PayDunya, Flutterwave) pour l’ensemble du portefeuille.</w:t>
            </w:r>
          </w:p>
        </w:tc>
      </w:tr>
      <w:tr>
        <w:tc>
          <w:tcPr/>
          <w:p>
            <w:pPr>
              <w:pStyle w:val="Compact"/>
              <w:jc w:val="left"/>
            </w:pPr>
            <w:r>
              <w:rPr>
                <w:bCs/>
                <w:b/>
              </w:rPr>
              <w:t xml:space="preserve">KER-BIL-02</w:t>
            </w:r>
          </w:p>
        </w:tc>
        <w:tc>
          <w:tcPr/>
          <w:p>
            <w:pPr>
              <w:pStyle w:val="Compact"/>
              <w:jc w:val="left"/>
            </w:pPr>
            <w:r>
              <w:t xml:space="preserve">L’intégration de la facturation unifiée à un produit déjà en production est différée par défaut ; elle n’est activée que sur décision commerciale explicite (ex. lancement d’une offre groupée inter-produits).</w:t>
            </w:r>
          </w:p>
        </w:tc>
      </w:tr>
      <w:tr>
        <w:tc>
          <w:tcPr/>
          <w:p>
            <w:pPr>
              <w:pStyle w:val="Compact"/>
              <w:jc w:val="left"/>
            </w:pPr>
            <w:r>
              <w:rPr>
                <w:bCs/>
                <w:b/>
              </w:rPr>
              <w:t xml:space="preserve">KER-BIL-03</w:t>
            </w:r>
          </w:p>
        </w:tc>
        <w:tc>
          <w:tcPr/>
          <w:p>
            <w:pPr>
              <w:pStyle w:val="Compact"/>
              <w:jc w:val="left"/>
            </w:pPr>
            <w:r>
              <w:t xml:space="preserve">La facturation unifiée doit permettre des offres groupées (ex. Pack Association = AssoShop + SecureGuard Essentiel) sans jamais remettre en cause la facturation autonome déjà en place dans chaque produit.</w:t>
            </w:r>
          </w:p>
        </w:tc>
      </w:tr>
    </w:tbl>
    <w:bookmarkEnd w:id="58"/>
    <w:bookmarkStart w:id="59" w:name="X12d9fe3a9e94b3bbf701e4904e385ace46e90e3"/>
    <w:p>
      <w:pPr>
        <w:pStyle w:val="Heading2"/>
      </w:pPr>
      <w:r>
        <w:rPr>
          <w:bCs/>
          <w:b/>
        </w:rPr>
        <w:t xml:space="preserve">14. Design System GSG (brique cosmetique, non urgente) (3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KER-DES-01</w:t>
            </w:r>
          </w:p>
        </w:tc>
        <w:tc>
          <w:tcPr/>
          <w:p>
            <w:pPr>
              <w:pStyle w:val="Compact"/>
              <w:jc w:val="left"/>
            </w:pPr>
            <w:r>
              <w:t xml:space="preserve">Une bibliothèque de composants Flutter partagée (GSG Design Kit) définit la charte visuelle commune du portefeuille (couleurs, typographie, composants standards).</w:t>
            </w:r>
          </w:p>
        </w:tc>
      </w:tr>
      <w:tr>
        <w:tc>
          <w:tcPr/>
          <w:p>
            <w:pPr>
              <w:pStyle w:val="Compact"/>
              <w:jc w:val="left"/>
            </w:pPr>
            <w:r>
              <w:rPr>
                <w:bCs/>
                <w:b/>
              </w:rPr>
              <w:t xml:space="preserve">KER-DES-02</w:t>
            </w:r>
          </w:p>
        </w:tc>
        <w:tc>
          <w:tcPr/>
          <w:p>
            <w:pPr>
              <w:pStyle w:val="Compact"/>
              <w:jc w:val="left"/>
            </w:pPr>
            <w:r>
              <w:t xml:space="preserve">L’adoption du Design Kit par un produit existant est progressive et non bloquante : elle s’applique aux nouveaux écrans et aux refontes déjà planifiées, jamais par une réécriture forcée de l’interface existante.</w:t>
            </w:r>
          </w:p>
        </w:tc>
      </w:tr>
      <w:tr>
        <w:tc>
          <w:tcPr/>
          <w:p>
            <w:pPr>
              <w:pStyle w:val="Compact"/>
              <w:jc w:val="left"/>
            </w:pPr>
            <w:r>
              <w:rPr>
                <w:bCs/>
                <w:b/>
              </w:rPr>
              <w:t xml:space="preserve">KER-DES-03</w:t>
            </w:r>
          </w:p>
        </w:tc>
        <w:tc>
          <w:tcPr/>
          <w:p>
            <w:pPr>
              <w:pStyle w:val="Compact"/>
              <w:jc w:val="left"/>
            </w:pPr>
            <w:r>
              <w:t xml:space="preserve">Les composants du Design Kit ne consomment jamais de valeur de couleur littérale codée en dur : ils exposent des rôles sémantiques (couleur primaire, accent succès, surface, texte secondaire…) dont chaque produit du portefeuille fournit sa propre implémentation — sa palette de marque — via un contrat de tokens commun défini par le Kit. Le Design Kit ne connaît jamais la valeur réelle d’une couleur, seulement le nom du rôle qu’elle joue ; c’est ce découplage qui permet à un même bouton du Kit de s’afficher différemment pour PharmaConnect, Ecclesias 360 ou EduRéussite sans code spécifique par produit.</w:t>
            </w:r>
          </w:p>
        </w:tc>
      </w:tr>
    </w:tbl>
    <w:bookmarkEnd w:id="59"/>
    <w:bookmarkStart w:id="60" w:name="Xd7a3369cac939d5cb76f7348e94aada78670032"/>
    <w:p>
      <w:pPr>
        <w:pStyle w:val="Heading2"/>
      </w:pPr>
      <w:r>
        <w:rPr>
          <w:bCs/>
          <w:b/>
        </w:rPr>
        <w:t xml:space="preserve">15. Methodologie d’integration native et d’integration a posteriori (5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KER-INT-01</w:t>
            </w:r>
          </w:p>
        </w:tc>
        <w:tc>
          <w:tcPr/>
          <w:p>
            <w:pPr>
              <w:pStyle w:val="Compact"/>
              <w:jc w:val="left"/>
            </w:pPr>
            <w:r>
              <w:t xml:space="preserve">Tout nouveau produit du portefeuille GSG est conçu nativement avec le noyau dès son cahier de conception : GSG ID, gsg_org_id, GSG Referential et, si pertinent, le Referential Engine sont intégrés dès la première version du schéma de données, jamais ajoutés après coup.</w:t>
            </w:r>
          </w:p>
        </w:tc>
      </w:tr>
      <w:tr>
        <w:tc>
          <w:tcPr/>
          <w:p>
            <w:pPr>
              <w:pStyle w:val="Compact"/>
              <w:jc w:val="left"/>
            </w:pPr>
            <w:r>
              <w:rPr>
                <w:bCs/>
                <w:b/>
              </w:rPr>
              <w:t xml:space="preserve">KER-INT-02</w:t>
            </w:r>
          </w:p>
        </w:tc>
        <w:tc>
          <w:tcPr/>
          <w:p>
            <w:pPr>
              <w:pStyle w:val="Compact"/>
              <w:jc w:val="left"/>
            </w:pPr>
            <w:r>
              <w:t xml:space="preserve">Un produit déjà en production au moment où une brique du noyau devient disponible n’est jamais contraint à une intégration a posteriori par défaut : la question est d’abord posée en ces termes — migrer proprement maintenant, tant que le volume de données et d’utilisateurs actifs reste faible, coûte presque toujours moins cher que reporter.</w:t>
            </w:r>
          </w:p>
        </w:tc>
      </w:tr>
      <w:tr>
        <w:tc>
          <w:tcPr/>
          <w:p>
            <w:pPr>
              <w:pStyle w:val="Compact"/>
              <w:jc w:val="left"/>
            </w:pPr>
            <w:r>
              <w:rPr>
                <w:bCs/>
                <w:b/>
              </w:rPr>
              <w:t xml:space="preserve">KER-INT-03</w:t>
            </w:r>
          </w:p>
        </w:tc>
        <w:tc>
          <w:tcPr/>
          <w:p>
            <w:pPr>
              <w:pStyle w:val="Compact"/>
              <w:jc w:val="left"/>
            </w:pPr>
            <w:r>
              <w:t xml:space="preserve">Si la décision d’intégrer un produit déjà en production est prise, elle fait l’objet d’un document de migration dédié à ce produit — jamais d’une section du présent cahier, qui reste générique et non rattaché à une application spécifique.</w:t>
            </w:r>
          </w:p>
        </w:tc>
      </w:tr>
      <w:tr>
        <w:tc>
          <w:tcPr/>
          <w:p>
            <w:pPr>
              <w:pStyle w:val="Compact"/>
              <w:jc w:val="left"/>
            </w:pPr>
            <w:r>
              <w:rPr>
                <w:bCs/>
                <w:b/>
              </w:rPr>
              <w:t xml:space="preserve">KER-INT-04</w:t>
            </w:r>
          </w:p>
        </w:tc>
        <w:tc>
          <w:tcPr/>
          <w:p>
            <w:pPr>
              <w:pStyle w:val="Compact"/>
              <w:jc w:val="left"/>
            </w:pPr>
            <w:r>
              <w:t xml:space="preserve">Un document de migration produit-spécifique couvre au minimum : la cartographie champ par champ entre le schéma existant et le référentiel du noyau, la stratégie de bascule (progressive ou en une fois), le plan de test en environnement de non-production, le plan de retour arrière, et la fenêtre de service concernée.</w:t>
            </w:r>
          </w:p>
        </w:tc>
      </w:tr>
      <w:tr>
        <w:tc>
          <w:tcPr/>
          <w:p>
            <w:pPr>
              <w:pStyle w:val="Compact"/>
              <w:jc w:val="left"/>
            </w:pPr>
            <w:r>
              <w:rPr>
                <w:bCs/>
                <w:b/>
              </w:rPr>
              <w:t xml:space="preserve">KER-INT-05</w:t>
            </w:r>
          </w:p>
        </w:tc>
        <w:tc>
          <w:tcPr/>
          <w:p>
            <w:pPr>
              <w:pStyle w:val="Compact"/>
              <w:jc w:val="left"/>
            </w:pPr>
            <w:r>
              <w:t xml:space="preserve">Une intégration a posteriori qui ne nécessite qu’un ajout de référence (ex. champ gsg_org_id ajouté à une collection existante, sans toucher aux données déjà présentes) reste préférable à une migration complète chaque fois que c’est possible, indépendamment de la décision prise en KER-INT-02.</w:t>
            </w:r>
          </w:p>
        </w:tc>
      </w:tr>
    </w:tbl>
    <w:bookmarkEnd w:id="60"/>
    <w:bookmarkStart w:id="61" w:name="X69dd644582f5a7aee25d7f686d31eaf65595ff8"/>
    <w:p>
      <w:pPr>
        <w:pStyle w:val="Heading2"/>
      </w:pPr>
      <w:r>
        <w:rPr>
          <w:bCs/>
          <w:b/>
        </w:rPr>
        <w:t xml:space="preserve">16. Convention de nommage et table de correspondance (4 règles)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Règle de conception</w:t>
            </w:r>
          </w:p>
        </w:tc>
      </w:tr>
      <w:tr>
        <w:tc>
          <w:tcPr/>
          <w:p>
            <w:pPr>
              <w:pStyle w:val="Compact"/>
              <w:jc w:val="left"/>
            </w:pPr>
            <w:r>
              <w:rPr>
                <w:bCs/>
                <w:b/>
              </w:rPr>
              <w:t xml:space="preserve">KER-NOM-01</w:t>
            </w:r>
          </w:p>
        </w:tc>
        <w:tc>
          <w:tcPr/>
          <w:p>
            <w:pPr>
              <w:pStyle w:val="Compact"/>
              <w:jc w:val="left"/>
            </w:pPr>
            <w:r>
              <w:t xml:space="preserve">Le noyau adopte le français comme langue de nommage exclusive des tables et champs du référentiel métier partagé (pays, devise, langue, bloc_regional, produit, referentiel_hierarchique, referentiel_regle, corpus_versionne, corpus_element, ville, taux_change), aligné sur le Cadre de Référence Multi-Pays et sur l’ensemble des cahiers de conception déjà rédigés.</w:t>
            </w:r>
          </w:p>
        </w:tc>
      </w:tr>
      <w:tr>
        <w:tc>
          <w:tcPr/>
          <w:p>
            <w:pPr>
              <w:pStyle w:val="Compact"/>
              <w:jc w:val="left"/>
            </w:pPr>
            <w:r>
              <w:rPr>
                <w:bCs/>
                <w:b/>
              </w:rPr>
              <w:t xml:space="preserve">KER-NOM-02</w:t>
            </w:r>
          </w:p>
        </w:tc>
        <w:tc>
          <w:tcPr/>
          <w:p>
            <w:pPr>
              <w:pStyle w:val="Compact"/>
              <w:jc w:val="left"/>
            </w:pPr>
            <w:r>
              <w:t xml:space="preserve">Les noms de tables anglais introduits par GSG Core v1.1 (countries, currencies, languages, locales, translations, administrative_units, cities, exchange_rates, country_currencies, country_languages) sont abandonnés au profit des équivalents français ; cette décision n’a aucun impact rétroactif puisqu’aucun produit ne consomme encore le noyau en production à la date de cette révision.</w:t>
            </w:r>
          </w:p>
        </w:tc>
      </w:tr>
      <w:tr>
        <w:tc>
          <w:tcPr/>
          <w:p>
            <w:pPr>
              <w:pStyle w:val="Compact"/>
              <w:jc w:val="left"/>
            </w:pPr>
            <w:r>
              <w:rPr>
                <w:bCs/>
                <w:b/>
              </w:rPr>
              <w:t xml:space="preserve">KER-NOM-03</w:t>
            </w:r>
          </w:p>
        </w:tc>
        <w:tc>
          <w:tcPr/>
          <w:p>
            <w:pPr>
              <w:pStyle w:val="Compact"/>
              <w:jc w:val="left"/>
            </w:pPr>
            <w:r>
              <w:t xml:space="preserve">Les identifiants techniques internes (id, uuid, timestamps) et les noms de services/API du noyau (GSG ID, Event Bus, Referential Engine, AppConfig, Org Registry) restent en anglais, conformément à la pratique technique standard ; seule la couche de données métier partagée est nommée en français. Cette distinction — anglais pour l’infrastructure générique, français pour le référentiel métier partagé — est la règle définitive.</w:t>
            </w:r>
          </w:p>
        </w:tc>
      </w:tr>
      <w:tr>
        <w:tc>
          <w:tcPr/>
          <w:p>
            <w:pPr>
              <w:pStyle w:val="Compact"/>
              <w:jc w:val="left"/>
            </w:pPr>
            <w:r>
              <w:rPr>
                <w:bCs/>
                <w:b/>
              </w:rPr>
              <w:t xml:space="preserve">KER-NOM-04</w:t>
            </w:r>
          </w:p>
        </w:tc>
        <w:tc>
          <w:tcPr/>
          <w:p>
            <w:pPr>
              <w:pStyle w:val="Compact"/>
              <w:jc w:val="left"/>
            </w:pPr>
            <w:r>
              <w:t xml:space="preserve">Le locale (format BCP 47, ex. fr-GN) et la table de traductions d’interface, propres à GSG Core et absents du Cadre, sont conservés sous ces noms techniques (locale, traduction) car ils relèvent de l’internationalisation logicielle, non du référentiel métier pays/devise/langue proprement dit.</w:t>
            </w:r>
          </w:p>
        </w:tc>
      </w:tr>
    </w:tbl>
    <w:p>
      <w:pPr>
        <w:pStyle w:val="BodyText"/>
      </w:pPr>
      <w:r>
        <w:rPr>
          <w:iCs/>
          <w:i/>
        </w:rPr>
        <w:t xml:space="preserve">Total : 75 règles de conception actives (KER-VIS, KER-ARC, KER-ID, KER-ORG, KER-PROD, KER-REF, KER-ADM, KER-ENG, KER-INH, KER-CFG, KER-EVT, KER-AUD, KER-BIL, KER-DES, KER-INT, KER-NOM), couvrant l’intégralité du noyau, du principe fondateur jusqu’à la convention de nommage. Toute évolution future du noyau doit ajouter une ligne à ce registre plutôt que modifier silencieusement une règle existante.</w:t>
      </w:r>
    </w:p>
    <w:p>
      <w:pPr>
        <w:pStyle w:val="BodyText"/>
      </w:pPr>
      <w:r>
        <w:t xml:space="preserve">GSG Platform Kernel v3.0 —</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2026-09-06T03:24:53Z</dcterms:created>
  <dcterms:modified xsi:type="dcterms:W3CDTF">2026-09-06T03:24:53Z</dcterms:modified>
</cp:coreProperties>
</file>

<file path=docProps/custom.xml><?xml version="1.0" encoding="utf-8"?>
<Properties xmlns="http://schemas.openxmlformats.org/officeDocument/2006/custom-properties" xmlns:vt="http://schemas.openxmlformats.org/officeDocument/2006/docPropsVTypes"/>
</file>