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how_to_read_the_macro_dashboard_a_c98271"/>
      <w:r>
        <w:rPr>
          <w:rFonts w:eastAsia="georgia" w:cs="georgia" w:ascii="georgia" w:hAnsi="georgia"/>
          <w:b/>
          <w:color w:val="000000"/>
          <w:sz w:val="39"/>
        </w:rPr>
        <w:t xml:space="preserve">How to Read the Macro Dashboard: A Plain-Language Financial Guide</w:t>
      </w:r>
      <w:bookmarkEnd w:id="0"/>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overview"/>
      <w:r>
        <w:rPr>
          <w:rFonts w:eastAsia="georgia" w:cs="georgia" w:ascii="georgia" w:hAnsi="georgia"/>
          <w:b/>
          <w:color w:val="000000"/>
          <w:sz w:val="24"/>
        </w:rPr>
        <w:t xml:space="preserve">Overview</w:t>
      </w:r>
      <w:bookmarkEnd w:id="1"/>
    </w:p>
    <w:p>
      <w:pPr>
        <w:spacing w:line="360" w:after="210" w:lineRule="auto"/>
      </w:pPr>
      <w:r>
        <w:rPr>
          <w:rFonts w:eastAsia="georgia" w:cs="georgia" w:ascii="georgia" w:hAnsi="georgia"/>
          <w:color w:val="000000"/>
        </w:rPr>
        <w:t xml:space="preserve">This guide explains every indicator shown in the Macro Dashboard — what each one measures, why it matters, how to interpret its current reading, and how the indicators interact with one another to tell a story about the economy. No economics degree is required. Each concept is explained in plain language, backed by academic research. The dashboard pulls live data from the Federal Reserve (FRED), the US Treasury, Yahoo Finance, and several sentiment providers, then organises the data into eight themed sections.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how_the_dashboard_is_organised"/>
      <w:r>
        <w:rPr>
          <w:rFonts w:eastAsia="georgia" w:cs="georgia" w:ascii="georgia" w:hAnsi="georgia"/>
          <w:b/>
          <w:color w:val="000000"/>
          <w:sz w:val="24"/>
        </w:rPr>
        <w:t xml:space="preserve">How the Dashboard Is Organised</w:t>
      </w:r>
      <w:bookmarkEnd w:id="2"/>
    </w:p>
    <w:p>
      <w:pPr>
        <w:spacing w:line="360" w:after="210" w:lineRule="auto"/>
      </w:pPr>
      <w:r>
        <w:rPr>
          <w:rFonts w:eastAsia="georgia" w:cs="georgia" w:ascii="georgia" w:hAnsi="georgia"/>
          <w:color w:val="000000"/>
        </w:rPr>
        <w:t xml:space="preserve">The dashboard is divided into tabs and a top KPI bar. Before diving into individual indicators, understand the overall layout:</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Section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What It Covers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Macro Overview</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GDP growth, inflation, yield curve, recession probability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Labor &amp; Consumer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Jobs, wages, spending, savings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Markets &amp; Sentiment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Stocks, VIX volatility, Fear/Greed, CAPE, NAAIM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Options &amp; Derivatives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PCR, SKEW, VVIX, GEX, VIX term structure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Metals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Gold, Silver, Copper, Platinum, Palladium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Housing &amp; Credit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Mortgage rates, home prices, credit spreads, macro regime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Phillips Curve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Interactive unemployment vs. inflation scatter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News Signals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Alpha Vantage macro headlines</w:t>
            </w:r>
          </w:p>
        </w:tc>
      </w:tr>
    </w:tbl>
    <w:p>
      <w:pPr>
        <w:spacing w:lineRule="auto"/>
      </w:pPr>
    </w:p>
    <w:p>
      <w:pPr>
        <w:spacing w:line="360" w:after="210" w:lineRule="auto"/>
      </w:pPr>
      <w:r>
        <w:rPr>
          <w:rFonts w:eastAsia="georgia" w:cs="georgia" w:ascii="georgia" w:hAnsi="georgia"/>
          <w:color w:val="000000"/>
        </w:rPr>
        <w:t xml:space="preserve">At the very top, a </w:t>
      </w:r>
      <w:r>
        <w:rPr>
          <w:rFonts w:eastAsia="georgia" w:cs="georgia" w:ascii="georgia" w:hAnsi="georgia"/>
          <w:b/>
          <w:color w:val="000000"/>
        </w:rPr>
        <w:t xml:space="preserve">six-tile KPI bar</w:t>
      </w:r>
      <w:r>
        <w:rPr>
          <w:rFonts w:eastAsia="georgia" w:cs="georgia" w:ascii="georgia" w:hAnsi="georgia"/>
          <w:color w:val="000000"/>
        </w:rPr>
        <w:t xml:space="preserve"> gives you an instant health-check: GDP, CPI, Unemployment, Fed Funds Rate, Recession Probability, and CAPE Ratio. Green/red delta arrows show how far each reading sits from its benchmark target.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section_1_growth_indicators"/>
      <w:r>
        <w:rPr>
          <w:rFonts w:eastAsia="georgia" w:cs="georgia" w:ascii="georgia" w:hAnsi="georgia"/>
          <w:b/>
          <w:color w:val="000000"/>
          <w:sz w:val="24"/>
        </w:rPr>
        <w:t xml:space="preserve">Section 1: Growth Indicators</w:t>
      </w:r>
      <w:bookmarkEnd w:id="3"/>
    </w:p>
    <w:p>
      <w:pPr>
        <w:spacing w:line="360" w:after="210" w:lineRule="auto"/>
      </w:pPr>
      <w:r>
        <w:rPr>
          <w:rFonts w:eastAsia="georgia" w:cs="georgia" w:ascii="georgia" w:hAnsi="georgia"/>
          <w:color w:val="000000"/>
        </w:rPr>
        <w:t xml:space="preserve">Growth indicators tell you whether the economy is expanding, stalling, or contracting. The dashboard tracks five of them.</w:t>
      </w:r>
    </w:p>
    <w:p>
      <w:pPr>
        <w:spacing w:line="360" w:before="315" w:after="105" w:lineRule="auto"/>
        <w:ind w:left="-30"/>
        <w:jc w:val="left"/>
      </w:pPr>
      <w:bookmarkStart w:id="4" w:name="gdpnow_atlanta_fed"/>
      <w:r>
        <w:rPr>
          <w:rFonts w:eastAsia="georgia" w:cs="georgia" w:ascii="georgia" w:hAnsi="georgia"/>
          <w:b/>
          <w:color w:val="000000"/>
          <w:sz w:val="24"/>
        </w:rPr>
        <w:t xml:space="preserve">GDPNow (Atlanta Fed)</w:t>
      </w:r>
      <w:bookmarkEnd w:id="4"/>
    </w:p>
    <w:p>
      <w:pPr>
        <w:spacing w:line="360" w:after="210" w:lineRule="auto"/>
      </w:pPr>
      <w:r>
        <w:rPr>
          <w:rFonts w:eastAsia="georgia" w:cs="georgia" w:ascii="georgia" w:hAnsi="georgia"/>
          <w:b/>
          <w:color w:val="000000"/>
        </w:rPr>
        <w:t xml:space="preserve">What it is:</w:t>
      </w:r>
      <w:r>
        <w:rPr>
          <w:rFonts w:eastAsia="georgia" w:cs="georgia" w:ascii="georgia" w:hAnsi="georgia"/>
          <w:color w:val="000000"/>
        </w:rPr>
        <w:t xml:space="preserve"> A real-time running estimate of current-quarter US GDP growth, updated continuously by the Atlanta Federal Reserve. It does not wait for official reports — it incorporates new data releases as they arrive.</w:t>
      </w:r>
    </w:p>
    <w:p>
      <w:pPr>
        <w:spacing w:line="360" w:after="210" w:lineRule="auto"/>
      </w:pPr>
      <w:r>
        <w:rPr>
          <w:rFonts w:eastAsia="georgia" w:cs="georgia" w:ascii="georgia" w:hAnsi="georgia"/>
          <w:b/>
          <w:color w:val="000000"/>
        </w:rPr>
        <w:t xml:space="preserve">How to read it:</w:t>
      </w:r>
    </w:p>
    <w:p>
      <w:pPr>
        <w:numPr>
          <w:ilvl w:val="0"/>
          <w:numId w:val="1"/>
        </w:numPr>
        <w:spacing w:line="360" w:before="105" w:after="105" w:lineRule="auto"/>
      </w:pPr>
      <w:r>
        <w:rPr>
          <w:rFonts w:eastAsia="georgia" w:cs="georgia" w:ascii="georgia" w:hAnsi="georgia"/>
          <w:b/>
          <w:color w:val="000000"/>
          <w:sz w:val="21"/>
        </w:rPr>
        <w:t xml:space="preserve">Above 2%</w:t>
      </w:r>
      <w:r>
        <w:rPr>
          <w:rFonts w:eastAsia="georgia" w:cs="georgia" w:ascii="georgia" w:hAnsi="georgia"/>
          <w:color w:val="000000"/>
          <w:sz w:val="21"/>
        </w:rPr>
        <w:t xml:space="preserve"> → Economy is expanding at a healthy clip (green)</w:t>
      </w:r>
    </w:p>
    <w:p>
      <w:pPr>
        <w:numPr>
          <w:ilvl w:val="0"/>
          <w:numId w:val="1"/>
        </w:numPr>
        <w:spacing w:line="360" w:before="105" w:after="105" w:lineRule="auto"/>
      </w:pPr>
      <w:r>
        <w:rPr>
          <w:rFonts w:eastAsia="georgia" w:cs="georgia" w:ascii="georgia" w:hAnsi="georgia"/>
          <w:b/>
          <w:color w:val="000000"/>
          <w:sz w:val="21"/>
        </w:rPr>
        <w:t xml:space="preserve">0–2%</w:t>
      </w:r>
      <w:r>
        <w:rPr>
          <w:rFonts w:eastAsia="georgia" w:cs="georgia" w:ascii="georgia" w:hAnsi="georgia"/>
          <w:color w:val="000000"/>
          <w:sz w:val="21"/>
        </w:rPr>
        <w:t xml:space="preserve"> → Slowing; watch other indicators for confirmation (yellow)</w:t>
      </w:r>
    </w:p>
    <w:p>
      <w:pPr>
        <w:numPr>
          <w:ilvl w:val="0"/>
          <w:numId w:val="1"/>
        </w:numPr>
        <w:spacing w:line="360" w:before="105" w:after="105" w:lineRule="auto"/>
      </w:pPr>
      <w:r>
        <w:rPr>
          <w:rFonts w:eastAsia="georgia" w:cs="georgia" w:ascii="georgia" w:hAnsi="georgia"/>
          <w:b/>
          <w:color w:val="000000"/>
          <w:sz w:val="21"/>
        </w:rPr>
        <w:t xml:space="preserve">Below 0%</w:t>
      </w:r>
      <w:r>
        <w:rPr>
          <w:rFonts w:eastAsia="georgia" w:cs="georgia" w:ascii="georgia" w:hAnsi="georgia"/>
          <w:color w:val="000000"/>
          <w:sz w:val="21"/>
        </w:rPr>
        <w:t xml:space="preserve"> → Contraction; recession warning territory (red)</w:t>
      </w:r>
    </w:p>
    <w:p>
      <w:pPr>
        <w:spacing w:line="360" w:after="210" w:lineRule="auto"/>
      </w:pPr>
      <w:r>
        <w:rPr>
          <w:rFonts w:eastAsia="georgia" w:cs="georgia" w:ascii="georgia" w:hAnsi="georgia"/>
          <w:b/>
          <w:color w:val="000000"/>
        </w:rPr>
        <w:t xml:space="preserve">Why it matters:</w:t>
      </w:r>
      <w:r>
        <w:rPr>
          <w:rFonts w:eastAsia="georgia" w:cs="georgia" w:ascii="georgia" w:hAnsi="georgia"/>
          <w:color w:val="000000"/>
        </w:rPr>
        <w:t xml:space="preserve"> Official GDP is released quarterly with a significant lag. GDPNow gives you an early read weeks before the official number. Research at the Atlanta Fed shows its root-mean-squared error is substantially lower than professional forecaster surveys in the final weeks of a quarter.[cite:3]</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official_gdp_growth_a191rl1q225sbea"/>
      <w:r>
        <w:rPr>
          <w:rFonts w:eastAsia="georgia" w:cs="georgia" w:ascii="georgia" w:hAnsi="georgia"/>
          <w:b/>
          <w:color w:val="000000"/>
          <w:sz w:val="24"/>
        </w:rPr>
        <w:t xml:space="preserve">Official GDP Growth (A191RL1Q225SBEA)</w:t>
      </w:r>
      <w:bookmarkEnd w:id="5"/>
    </w:p>
    <w:p>
      <w:pPr>
        <w:spacing w:line="360" w:after="210" w:lineRule="auto"/>
      </w:pPr>
      <w:r>
        <w:rPr>
          <w:rFonts w:eastAsia="georgia" w:cs="georgia" w:ascii="georgia" w:hAnsi="georgia"/>
          <w:b/>
          <w:color w:val="000000"/>
        </w:rPr>
        <w:t xml:space="preserve">What it is:</w:t>
      </w:r>
      <w:r>
        <w:rPr>
          <w:rFonts w:eastAsia="georgia" w:cs="georgia" w:ascii="georgia" w:hAnsi="georgia"/>
          <w:color w:val="000000"/>
        </w:rPr>
        <w:t xml:space="preserve"> The Bureau of Economic Analysis's official annualised quarterly GDP growth rate, expressed as a percentage change.</w:t>
      </w:r>
    </w:p>
    <w:p>
      <w:pPr>
        <w:spacing w:line="360" w:after="210" w:lineRule="auto"/>
      </w:pPr>
      <w:r>
        <w:rPr>
          <w:rFonts w:eastAsia="georgia" w:cs="georgia" w:ascii="georgia" w:hAnsi="georgia"/>
          <w:b/>
          <w:color w:val="000000"/>
        </w:rPr>
        <w:t xml:space="preserve">How to read it:</w:t>
      </w:r>
      <w:r>
        <w:rPr>
          <w:rFonts w:eastAsia="georgia" w:cs="georgia" w:ascii="georgia" w:hAnsi="georgia"/>
          <w:color w:val="000000"/>
        </w:rPr>
        <w:t xml:space="preserve"> Two consecutive negative quarters is the textbook definition of a recession. Any reading below 1.5% for more than two quarters suggests the economy is losing momentum and the Fed may need to act.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industrial_production_indpro"/>
      <w:r>
        <w:rPr>
          <w:rFonts w:eastAsia="georgia" w:cs="georgia" w:ascii="georgia" w:hAnsi="georgia"/>
          <w:b/>
          <w:color w:val="000000"/>
          <w:sz w:val="24"/>
        </w:rPr>
        <w:t xml:space="preserve">Industrial Production (INDPRO)</w:t>
      </w:r>
      <w:bookmarkEnd w:id="6"/>
    </w:p>
    <w:p>
      <w:pPr>
        <w:spacing w:line="360" w:after="210" w:lineRule="auto"/>
      </w:pPr>
      <w:r>
        <w:rPr>
          <w:rFonts w:eastAsia="georgia" w:cs="georgia" w:ascii="georgia" w:hAnsi="georgia"/>
          <w:b/>
          <w:color w:val="000000"/>
        </w:rPr>
        <w:t xml:space="preserve">What it is:</w:t>
      </w:r>
      <w:r>
        <w:rPr>
          <w:rFonts w:eastAsia="georgia" w:cs="georgia" w:ascii="georgia" w:hAnsi="georgia"/>
          <w:color w:val="000000"/>
        </w:rPr>
        <w:t xml:space="preserve"> A Federal Reserve index measuring the real output of factories, mines, and utilities. It is expressed as a year-over-year percentage change on the dashboard.</w:t>
      </w:r>
    </w:p>
    <w:p>
      <w:pPr>
        <w:spacing w:line="360" w:after="210" w:lineRule="auto"/>
      </w:pPr>
      <w:r>
        <w:rPr>
          <w:rFonts w:eastAsia="georgia" w:cs="georgia" w:ascii="georgia" w:hAnsi="georgia"/>
          <w:b/>
          <w:color w:val="000000"/>
        </w:rPr>
        <w:t xml:space="preserve">How to read it:</w:t>
      </w:r>
      <w:r>
        <w:rPr>
          <w:rFonts w:eastAsia="georgia" w:cs="georgia" w:ascii="georgia" w:hAnsi="georgia"/>
          <w:color w:val="000000"/>
        </w:rPr>
        <w:t xml:space="preserve"> A negative reading means industrial output is shrinking — historically one of the earliest recession signals. The NBER (National Bureau of Economic Research) uses industrial production as one of its four primary recession-dating criteria.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weekly_economic_index_wei"/>
      <w:r>
        <w:rPr>
          <w:rFonts w:eastAsia="georgia" w:cs="georgia" w:ascii="georgia" w:hAnsi="georgia"/>
          <w:b/>
          <w:color w:val="000000"/>
          <w:sz w:val="24"/>
        </w:rPr>
        <w:t xml:space="preserve">Weekly Economic Index (WEI)</w:t>
      </w:r>
      <w:bookmarkEnd w:id="7"/>
    </w:p>
    <w:p>
      <w:pPr>
        <w:spacing w:line="360" w:after="210" w:lineRule="auto"/>
      </w:pPr>
      <w:r>
        <w:rPr>
          <w:rFonts w:eastAsia="georgia" w:cs="georgia" w:ascii="georgia" w:hAnsi="georgia"/>
          <w:b/>
          <w:color w:val="000000"/>
        </w:rPr>
        <w:t xml:space="preserve">What it is:</w:t>
      </w:r>
      <w:r>
        <w:rPr>
          <w:rFonts w:eastAsia="georgia" w:cs="georgia" w:ascii="georgia" w:hAnsi="georgia"/>
          <w:color w:val="000000"/>
        </w:rPr>
        <w:t xml:space="preserve"> A composite of ten high-frequency weekly indicators (consumer confidence, steel production, fuel sales, etc.) published by the New York Fed. It is scaled to match the four-quarter GDP growth rate.</w:t>
      </w:r>
    </w:p>
    <w:p>
      <w:pPr>
        <w:spacing w:line="360" w:after="210" w:lineRule="auto"/>
      </w:pPr>
      <w:r>
        <w:rPr>
          <w:rFonts w:eastAsia="georgia" w:cs="georgia" w:ascii="georgia" w:hAnsi="georgia"/>
          <w:b/>
          <w:color w:val="000000"/>
        </w:rPr>
        <w:t xml:space="preserve">How to read it:</w:t>
      </w:r>
      <w:r>
        <w:rPr>
          <w:rFonts w:eastAsia="georgia" w:cs="georgia" w:ascii="georgia" w:hAnsi="georgia"/>
          <w:color w:val="000000"/>
        </w:rPr>
        <w:t xml:space="preserve"> A WEI above 0.5% signals solid economic expansion; a negative WEI signals contraction. Because it updates every week, it is far more current than any monthly or quarterly series.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 w:name="us_leading_economic_index_usslind"/>
      <w:r>
        <w:rPr>
          <w:rFonts w:eastAsia="georgia" w:cs="georgia" w:ascii="georgia" w:hAnsi="georgia"/>
          <w:b/>
          <w:color w:val="000000"/>
          <w:sz w:val="24"/>
        </w:rPr>
        <w:t xml:space="preserve">US Leading Economic Index (USSLIND)</w:t>
      </w:r>
      <w:bookmarkEnd w:id="8"/>
    </w:p>
    <w:p>
      <w:pPr>
        <w:spacing w:line="360" w:after="210" w:lineRule="auto"/>
      </w:pPr>
      <w:r>
        <w:rPr>
          <w:rFonts w:eastAsia="georgia" w:cs="georgia" w:ascii="georgia" w:hAnsi="georgia"/>
          <w:b/>
          <w:color w:val="000000"/>
        </w:rPr>
        <w:t xml:space="preserve">What it is:</w:t>
      </w:r>
      <w:r>
        <w:rPr>
          <w:rFonts w:eastAsia="georgia" w:cs="georgia" w:ascii="georgia" w:hAnsi="georgia"/>
          <w:color w:val="000000"/>
        </w:rPr>
        <w:t xml:space="preserve"> The Conference Board's Leading Economic Index (LEI), a composite of ten forward-looking indicators including stock prices, building permits, consumer expectations, and the yield spread. On the dashboard it is shown as a year-over-year percentage change.</w:t>
      </w:r>
    </w:p>
    <w:p>
      <w:pPr>
        <w:spacing w:line="360" w:after="210" w:lineRule="auto"/>
      </w:pPr>
      <w:r>
        <w:rPr>
          <w:rFonts w:eastAsia="georgia" w:cs="georgia" w:ascii="georgia" w:hAnsi="georgia"/>
          <w:b/>
          <w:color w:val="000000"/>
        </w:rPr>
        <w:t xml:space="preserve">How to read it:</w:t>
      </w:r>
      <w:r>
        <w:rPr>
          <w:rFonts w:eastAsia="georgia" w:cs="georgia" w:ascii="georgia" w:hAnsi="georgia"/>
          <w:color w:val="000000"/>
        </w:rPr>
        <w:t xml:space="preserve"> Three consecutive monthly declines in the LEI have historically preceded every US recession since 1959. A reading below zero (LEI falling) is a yellow-to-red warning sign. Academic research confirms the LEI has significant predictive power for GDP growth 6–12 months ahead.[cite:4]</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 w:name="section_2_inflation_indicators"/>
      <w:r>
        <w:rPr>
          <w:rFonts w:eastAsia="georgia" w:cs="georgia" w:ascii="georgia" w:hAnsi="georgia"/>
          <w:b/>
          <w:color w:val="000000"/>
          <w:sz w:val="24"/>
        </w:rPr>
        <w:t xml:space="preserve">Section 2: Inflation Indicators</w:t>
      </w:r>
      <w:bookmarkEnd w:id="9"/>
    </w:p>
    <w:p>
      <w:pPr>
        <w:spacing w:line="360" w:after="210" w:lineRule="auto"/>
      </w:pPr>
      <w:r>
        <w:rPr>
          <w:rFonts w:eastAsia="georgia" w:cs="georgia" w:ascii="georgia" w:hAnsi="georgia"/>
          <w:color w:val="000000"/>
        </w:rPr>
        <w:t xml:space="preserve">Inflation measures how fast prices are rising. The Federal Reserve's target is </w:t>
      </w:r>
      <w:r>
        <w:rPr>
          <w:rFonts w:eastAsia="georgia" w:cs="georgia" w:ascii="georgia" w:hAnsi="georgia"/>
          <w:b/>
          <w:color w:val="000000"/>
        </w:rPr>
        <w:t xml:space="preserve">2% annually</w:t>
      </w:r>
      <w:r>
        <w:rPr>
          <w:rFonts w:eastAsia="georgia" w:cs="georgia" w:ascii="georgia" w:hAnsi="georgia"/>
          <w:color w:val="000000"/>
        </w:rPr>
        <w:t xml:space="preserve">. The dashboard tracks four inflation series simultaneously so you can see whether inflation is broad-based or concentrated.</w:t>
      </w:r>
    </w:p>
    <w:p>
      <w:pPr>
        <w:spacing w:line="360" w:before="315" w:after="105" w:lineRule="auto"/>
        <w:ind w:left="-30"/>
        <w:jc w:val="left"/>
      </w:pPr>
      <w:bookmarkStart w:id="10" w:name="cpi_inflation_yoy_cpiaucsl"/>
      <w:r>
        <w:rPr>
          <w:rFonts w:eastAsia="georgia" w:cs="georgia" w:ascii="georgia" w:hAnsi="georgia"/>
          <w:b/>
          <w:color w:val="000000"/>
          <w:sz w:val="24"/>
        </w:rPr>
        <w:t xml:space="preserve">CPI Inflation YoY (CPIAUCSL)</w:t>
      </w:r>
      <w:bookmarkEnd w:id="10"/>
    </w:p>
    <w:p>
      <w:pPr>
        <w:spacing w:line="360" w:after="210" w:lineRule="auto"/>
      </w:pPr>
      <w:r>
        <w:rPr>
          <w:rFonts w:eastAsia="georgia" w:cs="georgia" w:ascii="georgia" w:hAnsi="georgia"/>
          <w:b/>
          <w:color w:val="000000"/>
        </w:rPr>
        <w:t xml:space="preserve">What it is:</w:t>
      </w:r>
      <w:r>
        <w:rPr>
          <w:rFonts w:eastAsia="georgia" w:cs="georgia" w:ascii="georgia" w:hAnsi="georgia"/>
          <w:color w:val="000000"/>
        </w:rPr>
        <w:t xml:space="preserve"> The Consumer Price Index, measuring the year-over-year percentage change in a basket of goods and services purchased by urban consumers. Published monthly by the Bureau of Labor Statistics.</w:t>
      </w:r>
    </w:p>
    <w:p>
      <w:pPr>
        <w:spacing w:line="360" w:after="210" w:lineRule="auto"/>
      </w:pPr>
      <w:r>
        <w:rPr>
          <w:rFonts w:eastAsia="georgia" w:cs="georgia" w:ascii="georgia" w:hAnsi="georgia"/>
          <w:b/>
          <w:color w:val="000000"/>
        </w:rPr>
        <w:t xml:space="preserve">Dashboard thresholds:</w:t>
      </w:r>
    </w:p>
    <w:p>
      <w:pPr>
        <w:numPr>
          <w:ilvl w:val="0"/>
          <w:numId w:val="2"/>
        </w:numPr>
        <w:spacing w:line="360" w:before="105" w:after="105" w:lineRule="auto"/>
      </w:pPr>
      <w:r>
        <w:rPr>
          <w:rFonts w:eastAsia="georgia" w:cs="georgia" w:ascii="georgia" w:hAnsi="georgia"/>
          <w:b/>
          <w:color w:val="000000"/>
          <w:sz w:val="21"/>
        </w:rPr>
        <w:t xml:space="preserve">Below 2.5%</w:t>
      </w:r>
      <w:r>
        <w:rPr>
          <w:rFonts w:eastAsia="georgia" w:cs="georgia" w:ascii="georgia" w:hAnsi="georgia"/>
          <w:color w:val="000000"/>
          <w:sz w:val="21"/>
        </w:rPr>
        <w:t xml:space="preserve"> → Green (on target)</w:t>
      </w:r>
    </w:p>
    <w:p>
      <w:pPr>
        <w:numPr>
          <w:ilvl w:val="0"/>
          <w:numId w:val="2"/>
        </w:numPr>
        <w:spacing w:line="360" w:before="105" w:after="105" w:lineRule="auto"/>
      </w:pPr>
      <w:r>
        <w:rPr>
          <w:rFonts w:eastAsia="georgia" w:cs="georgia" w:ascii="georgia" w:hAnsi="georgia"/>
          <w:b/>
          <w:color w:val="000000"/>
          <w:sz w:val="21"/>
        </w:rPr>
        <w:t xml:space="preserve">2.5–4.0%</w:t>
      </w:r>
      <w:r>
        <w:rPr>
          <w:rFonts w:eastAsia="georgia" w:cs="georgia" w:ascii="georgia" w:hAnsi="georgia"/>
          <w:color w:val="000000"/>
          <w:sz w:val="21"/>
        </w:rPr>
        <w:t xml:space="preserve"> → Yellow (above target; Fed may raise rates)</w:t>
      </w:r>
    </w:p>
    <w:p>
      <w:pPr>
        <w:numPr>
          <w:ilvl w:val="0"/>
          <w:numId w:val="2"/>
        </w:numPr>
        <w:spacing w:line="360" w:before="105" w:after="105" w:lineRule="auto"/>
      </w:pPr>
      <w:r>
        <w:rPr>
          <w:rFonts w:eastAsia="georgia" w:cs="georgia" w:ascii="georgia" w:hAnsi="georgia"/>
          <w:b/>
          <w:color w:val="000000"/>
          <w:sz w:val="21"/>
        </w:rPr>
        <w:t xml:space="preserve">Above 4.0%</w:t>
      </w:r>
      <w:r>
        <w:rPr>
          <w:rFonts w:eastAsia="georgia" w:cs="georgia" w:ascii="georgia" w:hAnsi="georgia"/>
          <w:color w:val="000000"/>
          <w:sz w:val="21"/>
        </w:rPr>
        <w:t xml:space="preserve"> → Red (overheating; aggressive policy response likely)</w:t>
      </w:r>
    </w:p>
    <w:p>
      <w:pPr>
        <w:spacing w:line="360" w:after="210" w:lineRule="auto"/>
      </w:pPr>
      <w:r>
        <w:rPr>
          <w:rFonts w:eastAsia="georgia" w:cs="georgia" w:ascii="georgia" w:hAnsi="georgia"/>
          <w:b/>
          <w:color w:val="000000"/>
        </w:rPr>
        <w:t xml:space="preserve">Why it matters:</w:t>
      </w:r>
      <w:r>
        <w:rPr>
          <w:rFonts w:eastAsia="georgia" w:cs="georgia" w:ascii="georgia" w:hAnsi="georgia"/>
          <w:color w:val="000000"/>
        </w:rPr>
        <w:t xml:space="preserve"> CPI is the most widely-watched inflation gauge. When CPI is persistently above 2%, the Federal Reserve typically raises interest rates, which slows borrowing, spending, and ultimately economic growth.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 w:name="core_cpi_ex_food_energy_cpilfesl"/>
      <w:r>
        <w:rPr>
          <w:rFonts w:eastAsia="georgia" w:cs="georgia" w:ascii="georgia" w:hAnsi="georgia"/>
          <w:b/>
          <w:color w:val="000000"/>
          <w:sz w:val="24"/>
        </w:rPr>
        <w:t xml:space="preserve">Core CPI ex Food &amp; Energy (CPILFESL)</w:t>
      </w:r>
      <w:bookmarkEnd w:id="11"/>
    </w:p>
    <w:p>
      <w:pPr>
        <w:spacing w:line="360" w:after="210" w:lineRule="auto"/>
      </w:pPr>
      <w:r>
        <w:rPr>
          <w:rFonts w:eastAsia="georgia" w:cs="georgia" w:ascii="georgia" w:hAnsi="georgia"/>
          <w:b/>
          <w:color w:val="000000"/>
        </w:rPr>
        <w:t xml:space="preserve">What it is:</w:t>
      </w:r>
      <w:r>
        <w:rPr>
          <w:rFonts w:eastAsia="georgia" w:cs="georgia" w:ascii="georgia" w:hAnsi="georgia"/>
          <w:color w:val="000000"/>
        </w:rPr>
        <w:t xml:space="preserve"> CPI with food and energy prices removed. Because food and energy prices are volatile and often driven by supply shocks rather than demand, economists focus on "core" CPI to gauge underlying inflation trends.</w:t>
      </w:r>
    </w:p>
    <w:p>
      <w:pPr>
        <w:spacing w:line="360" w:after="210" w:lineRule="auto"/>
      </w:pPr>
      <w:r>
        <w:rPr>
          <w:rFonts w:eastAsia="georgia" w:cs="georgia" w:ascii="georgia" w:hAnsi="georgia"/>
          <w:b/>
          <w:color w:val="000000"/>
        </w:rPr>
        <w:t xml:space="preserve">How to read it:</w:t>
      </w:r>
      <w:r>
        <w:rPr>
          <w:rFonts w:eastAsia="georgia" w:cs="georgia" w:ascii="georgia" w:hAnsi="georgia"/>
          <w:color w:val="000000"/>
        </w:rPr>
        <w:t xml:space="preserve"> If Core CPI is rising while headline CPI is also rising, inflation is broad and sticky — harder for the Fed to control. If only headline CPI is high (energy spike), inflation may be temporary.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core_pce_inflation_pcepilfe"/>
      <w:r>
        <w:rPr>
          <w:rFonts w:eastAsia="georgia" w:cs="georgia" w:ascii="georgia" w:hAnsi="georgia"/>
          <w:b/>
          <w:color w:val="000000"/>
          <w:sz w:val="24"/>
        </w:rPr>
        <w:t xml:space="preserve">Core PCE Inflation (PCEPILFE)</w:t>
      </w:r>
      <w:bookmarkEnd w:id="12"/>
    </w:p>
    <w:p>
      <w:pPr>
        <w:spacing w:line="360" w:after="210" w:lineRule="auto"/>
      </w:pPr>
      <w:r>
        <w:rPr>
          <w:rFonts w:eastAsia="georgia" w:cs="georgia" w:ascii="georgia" w:hAnsi="georgia"/>
          <w:b/>
          <w:color w:val="000000"/>
        </w:rPr>
        <w:t xml:space="preserve">What it is:</w:t>
      </w:r>
      <w:r>
        <w:rPr>
          <w:rFonts w:eastAsia="georgia" w:cs="georgia" w:ascii="georgia" w:hAnsi="georgia"/>
          <w:color w:val="000000"/>
        </w:rPr>
        <w:t xml:space="preserve"> Personal Consumption Expenditures price index, excluding food and energy. This is the </w:t>
      </w:r>
      <w:r>
        <w:rPr>
          <w:rFonts w:eastAsia="georgia" w:cs="georgia" w:ascii="georgia" w:hAnsi="georgia"/>
          <w:b/>
          <w:color w:val="000000"/>
        </w:rPr>
        <w:t xml:space="preserve">Federal Reserve's preferred inflation measure</w:t>
      </w:r>
      <w:r>
        <w:rPr>
          <w:rFonts w:eastAsia="georgia" w:cs="georgia" w:ascii="georgia" w:hAnsi="georgia"/>
          <w:color w:val="000000"/>
        </w:rPr>
        <w:t xml:space="preserve">, because it covers a broader basket of spending and adjusts for substitution behaviour.</w:t>
      </w:r>
    </w:p>
    <w:p>
      <w:pPr>
        <w:spacing w:line="360" w:after="210" w:lineRule="auto"/>
      </w:pPr>
      <w:r>
        <w:rPr>
          <w:rFonts w:eastAsia="georgia" w:cs="georgia" w:ascii="georgia" w:hAnsi="georgia"/>
          <w:b/>
          <w:color w:val="000000"/>
        </w:rPr>
        <w:t xml:space="preserve">How to read it:</w:t>
      </w:r>
      <w:r>
        <w:rPr>
          <w:rFonts w:eastAsia="georgia" w:cs="georgia" w:ascii="georgia" w:hAnsi="georgia"/>
          <w:color w:val="000000"/>
        </w:rPr>
        <w:t xml:space="preserve"> The Fed's official 2% target is measured against Core PCE. When Core PCE is above 2.5%, expect the Fed to maintain or raise rates. When it falls toward 2%, expect the Fed to consider cutting rates.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bm_10_year_breakeven_inflation_t10yie"/>
      <w:r>
        <w:rPr>
          <w:rFonts w:eastAsia="georgia" w:cs="georgia" w:ascii="georgia" w:hAnsi="georgia"/>
          <w:b/>
          <w:color w:val="000000"/>
          <w:sz w:val="24"/>
        </w:rPr>
        <w:t xml:space="preserve">10-Year Breakeven Inflation (T10YIE)</w:t>
      </w:r>
      <w:bookmarkEnd w:id="13"/>
    </w:p>
    <w:p>
      <w:pPr>
        <w:spacing w:line="360" w:after="210" w:lineRule="auto"/>
      </w:pPr>
      <w:r>
        <w:rPr>
          <w:rFonts w:eastAsia="georgia" w:cs="georgia" w:ascii="georgia" w:hAnsi="georgia"/>
          <w:b/>
          <w:color w:val="000000"/>
        </w:rPr>
        <w:t xml:space="preserve">What it is:</w:t>
      </w:r>
      <w:r>
        <w:rPr>
          <w:rFonts w:eastAsia="georgia" w:cs="georgia" w:ascii="georgia" w:hAnsi="georgia"/>
          <w:color w:val="000000"/>
        </w:rPr>
        <w:t xml:space="preserve"> The difference between the 10-year nominal Treasury yield and the 10-year TIPS (Treasury Inflation-Protected Securities) yield. It represents what the bond market </w:t>
      </w:r>
      <w:r>
        <w:rPr>
          <w:rFonts w:eastAsia="georgia" w:cs="georgia" w:ascii="georgia" w:hAnsi="georgia"/>
          <w:b/>
          <w:color w:val="000000"/>
        </w:rPr>
        <w:t xml:space="preserve">expects</w:t>
      </w:r>
      <w:r>
        <w:rPr>
          <w:rFonts w:eastAsia="georgia" w:cs="georgia" w:ascii="georgia" w:hAnsi="georgia"/>
          <w:color w:val="000000"/>
        </w:rPr>
        <w:t xml:space="preserve"> average inflation to be over the next decade.</w:t>
      </w:r>
    </w:p>
    <w:p>
      <w:pPr>
        <w:spacing w:line="360" w:after="210" w:lineRule="auto"/>
      </w:pPr>
      <w:r>
        <w:rPr>
          <w:rFonts w:eastAsia="georgia" w:cs="georgia" w:ascii="georgia" w:hAnsi="georgia"/>
          <w:b/>
          <w:color w:val="000000"/>
        </w:rPr>
        <w:t xml:space="preserve">How to read it:</w:t>
      </w:r>
      <w:r>
        <w:rPr>
          <w:rFonts w:eastAsia="georgia" w:cs="georgia" w:ascii="georgia" w:hAnsi="georgia"/>
          <w:color w:val="000000"/>
        </w:rPr>
        <w:t xml:space="preserve"> A breakeven above 2.5% means bond investors expect inflation to stay elevated long-term — a potential warning sign. A breakeven falling toward 1.5% suggests deflation fears. Academic research by Bernanke and Mishkin (1997) established inflation expectations as a key driver of actual future inflation.[cite:5]</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section_3_labor_market_indicators"/>
      <w:r>
        <w:rPr>
          <w:rFonts w:eastAsia="georgia" w:cs="georgia" w:ascii="georgia" w:hAnsi="georgia"/>
          <w:b/>
          <w:color w:val="000000"/>
          <w:sz w:val="24"/>
        </w:rPr>
        <w:t xml:space="preserve">Section 3: Labor Market Indicators</w:t>
      </w:r>
      <w:bookmarkEnd w:id="14"/>
    </w:p>
    <w:p>
      <w:pPr>
        <w:spacing w:line="360" w:after="210" w:lineRule="auto"/>
      </w:pPr>
      <w:r>
        <w:rPr>
          <w:rFonts w:eastAsia="georgia" w:cs="georgia" w:ascii="georgia" w:hAnsi="georgia"/>
          <w:color w:val="000000"/>
        </w:rPr>
        <w:t xml:space="preserve">Labour market health is one of the Federal Reserve's two official mandates (the other being price stability). A strong labour market typically supports consumer spending and economic growth; a weak one signals recession risk.</w:t>
      </w:r>
    </w:p>
    <w:p>
      <w:pPr>
        <w:spacing w:line="360" w:before="315" w:after="105" w:lineRule="auto"/>
        <w:ind w:left="-30"/>
        <w:jc w:val="left"/>
      </w:pPr>
      <w:bookmarkStart w:id="15" w:name="unemployment_rate_unrate"/>
      <w:r>
        <w:rPr>
          <w:rFonts w:eastAsia="georgia" w:cs="georgia" w:ascii="georgia" w:hAnsi="georgia"/>
          <w:b/>
          <w:color w:val="000000"/>
          <w:sz w:val="24"/>
        </w:rPr>
        <w:t xml:space="preserve">Unemployment Rate (UNRATE)</w:t>
      </w:r>
      <w:bookmarkEnd w:id="15"/>
    </w:p>
    <w:p>
      <w:pPr>
        <w:spacing w:line="360" w:after="210" w:lineRule="auto"/>
      </w:pPr>
      <w:r>
        <w:rPr>
          <w:rFonts w:eastAsia="georgia" w:cs="georgia" w:ascii="georgia" w:hAnsi="georgia"/>
          <w:b/>
          <w:color w:val="000000"/>
        </w:rPr>
        <w:t xml:space="preserve">What it is:</w:t>
      </w:r>
      <w:r>
        <w:rPr>
          <w:rFonts w:eastAsia="georgia" w:cs="georgia" w:ascii="georgia" w:hAnsi="georgia"/>
          <w:color w:val="000000"/>
        </w:rPr>
        <w:t xml:space="preserve"> The percentage of the labour force that is jobless but actively seeking work. Published monthly by the BLS.</w:t>
      </w:r>
    </w:p>
    <w:p>
      <w:pPr>
        <w:spacing w:line="360" w:after="210" w:lineRule="auto"/>
      </w:pPr>
      <w:r>
        <w:rPr>
          <w:rFonts w:eastAsia="georgia" w:cs="georgia" w:ascii="georgia" w:hAnsi="georgia"/>
          <w:b/>
          <w:color w:val="000000"/>
        </w:rPr>
        <w:t xml:space="preserve">Dashboard thresholds:</w:t>
      </w:r>
    </w:p>
    <w:p>
      <w:pPr>
        <w:numPr>
          <w:ilvl w:val="0"/>
          <w:numId w:val="3"/>
        </w:numPr>
        <w:spacing w:line="360" w:before="105" w:after="105" w:lineRule="auto"/>
      </w:pPr>
      <w:r>
        <w:rPr>
          <w:rFonts w:eastAsia="georgia" w:cs="georgia" w:ascii="georgia" w:hAnsi="georgia"/>
          <w:b/>
          <w:color w:val="000000"/>
          <w:sz w:val="21"/>
        </w:rPr>
        <w:t xml:space="preserve">Below 4.5%</w:t>
      </w:r>
      <w:r>
        <w:rPr>
          <w:rFonts w:eastAsia="georgia" w:cs="georgia" w:ascii="georgia" w:hAnsi="georgia"/>
          <w:color w:val="000000"/>
          <w:sz w:val="21"/>
        </w:rPr>
        <w:t xml:space="preserve"> → Green (healthy labour market)</w:t>
      </w:r>
    </w:p>
    <w:p>
      <w:pPr>
        <w:numPr>
          <w:ilvl w:val="0"/>
          <w:numId w:val="3"/>
        </w:numPr>
        <w:spacing w:line="360" w:before="105" w:after="105" w:lineRule="auto"/>
      </w:pPr>
      <w:r>
        <w:rPr>
          <w:rFonts w:eastAsia="georgia" w:cs="georgia" w:ascii="georgia" w:hAnsi="georgia"/>
          <w:b/>
          <w:color w:val="000000"/>
          <w:sz w:val="21"/>
        </w:rPr>
        <w:t xml:space="preserve">4.5–6.0%</w:t>
      </w:r>
      <w:r>
        <w:rPr>
          <w:rFonts w:eastAsia="georgia" w:cs="georgia" w:ascii="georgia" w:hAnsi="georgia"/>
          <w:color w:val="000000"/>
          <w:sz w:val="21"/>
        </w:rPr>
        <w:t xml:space="preserve"> → Yellow (labour market softening)</w:t>
      </w:r>
    </w:p>
    <w:p>
      <w:pPr>
        <w:numPr>
          <w:ilvl w:val="0"/>
          <w:numId w:val="3"/>
        </w:numPr>
        <w:spacing w:line="360" w:before="105" w:after="105" w:lineRule="auto"/>
      </w:pPr>
      <w:r>
        <w:rPr>
          <w:rFonts w:eastAsia="georgia" w:cs="georgia" w:ascii="georgia" w:hAnsi="georgia"/>
          <w:b/>
          <w:color w:val="000000"/>
          <w:sz w:val="21"/>
        </w:rPr>
        <w:t xml:space="preserve">Above 6.0%</w:t>
      </w:r>
      <w:r>
        <w:rPr>
          <w:rFonts w:eastAsia="georgia" w:cs="georgia" w:ascii="georgia" w:hAnsi="georgia"/>
          <w:color w:val="000000"/>
          <w:sz w:val="21"/>
        </w:rPr>
        <w:t xml:space="preserve"> → Red (significant weakness)</w:t>
      </w:r>
    </w:p>
    <w:p>
      <w:pPr>
        <w:spacing w:line="360" w:after="210" w:lineRule="auto"/>
      </w:pPr>
      <w:r>
        <w:rPr>
          <w:rFonts w:eastAsia="georgia" w:cs="georgia" w:ascii="georgia" w:hAnsi="georgia"/>
          <w:b/>
          <w:color w:val="000000"/>
        </w:rPr>
        <w:t xml:space="preserve">Why it matters:</w:t>
      </w:r>
      <w:r>
        <w:rPr>
          <w:rFonts w:eastAsia="georgia" w:cs="georgia" w:ascii="georgia" w:hAnsi="georgia"/>
          <w:color w:val="000000"/>
        </w:rPr>
        <w:t xml:space="preserve"> The Fed's "natural rate" (NAIRU) — the unemployment rate consistent with stable inflation — is estimated around 4–4.5% in modern research. When unemployment falls well below NAIRU, inflation tends to rise; this is the core insight of the Phillips Curve.[cite:6]</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 w:name="u_6_underemployment_u6rate"/>
      <w:r>
        <w:rPr>
          <w:rFonts w:eastAsia="georgia" w:cs="georgia" w:ascii="georgia" w:hAnsi="georgia"/>
          <w:b/>
          <w:color w:val="000000"/>
          <w:sz w:val="24"/>
        </w:rPr>
        <w:t xml:space="preserve">U-6 Underemployment (U6RATE)</w:t>
      </w:r>
      <w:bookmarkEnd w:id="16"/>
    </w:p>
    <w:p>
      <w:pPr>
        <w:spacing w:line="360" w:after="210" w:lineRule="auto"/>
      </w:pPr>
      <w:r>
        <w:rPr>
          <w:rFonts w:eastAsia="georgia" w:cs="georgia" w:ascii="georgia" w:hAnsi="georgia"/>
          <w:b/>
          <w:color w:val="000000"/>
        </w:rPr>
        <w:t xml:space="preserve">What it is:</w:t>
      </w:r>
      <w:r>
        <w:rPr>
          <w:rFonts w:eastAsia="georgia" w:cs="georgia" w:ascii="georgia" w:hAnsi="georgia"/>
          <w:color w:val="000000"/>
        </w:rPr>
        <w:t xml:space="preserve"> A broader measure of labour underutilisation that includes part-time workers who want full-time work and "marginally attached" workers who have stopped looking but want a job.</w:t>
      </w:r>
    </w:p>
    <w:p>
      <w:pPr>
        <w:spacing w:line="360" w:after="210" w:lineRule="auto"/>
      </w:pPr>
      <w:r>
        <w:rPr>
          <w:rFonts w:eastAsia="georgia" w:cs="georgia" w:ascii="georgia" w:hAnsi="georgia"/>
          <w:b/>
          <w:color w:val="000000"/>
        </w:rPr>
        <w:t xml:space="preserve">How to read it:</w:t>
      </w:r>
      <w:r>
        <w:rPr>
          <w:rFonts w:eastAsia="georgia" w:cs="georgia" w:ascii="georgia" w:hAnsi="georgia"/>
          <w:color w:val="000000"/>
        </w:rPr>
        <w:t xml:space="preserve"> U-6 is always higher than U-3 (the headline rate). The gap between U-6 and U-3 — the "underemployment gap" — indicates how much slack remains in the labour market even when headline unemployment looks low. A large gap means wage pressure will be muted.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 w:name="labor_force_participation_rate_civpart"/>
      <w:r>
        <w:rPr>
          <w:rFonts w:eastAsia="georgia" w:cs="georgia" w:ascii="georgia" w:hAnsi="georgia"/>
          <w:b/>
          <w:color w:val="000000"/>
          <w:sz w:val="24"/>
        </w:rPr>
        <w:t xml:space="preserve">Labor Force Participation Rate (CIVPART)</w:t>
      </w:r>
      <w:bookmarkEnd w:id="17"/>
    </w:p>
    <w:p>
      <w:pPr>
        <w:spacing w:line="360" w:after="210" w:lineRule="auto"/>
      </w:pPr>
      <w:r>
        <w:rPr>
          <w:rFonts w:eastAsia="georgia" w:cs="georgia" w:ascii="georgia" w:hAnsi="georgia"/>
          <w:b/>
          <w:color w:val="000000"/>
        </w:rPr>
        <w:t xml:space="preserve">What it is:</w:t>
      </w:r>
      <w:r>
        <w:rPr>
          <w:rFonts w:eastAsia="georgia" w:cs="georgia" w:ascii="georgia" w:hAnsi="georgia"/>
          <w:color w:val="000000"/>
        </w:rPr>
        <w:t xml:space="preserve"> The share of the working-age population (16+) that is either employed or actively looking for work.</w:t>
      </w:r>
    </w:p>
    <w:p>
      <w:pPr>
        <w:spacing w:line="360" w:after="210" w:lineRule="auto"/>
      </w:pPr>
      <w:r>
        <w:rPr>
          <w:rFonts w:eastAsia="georgia" w:cs="georgia" w:ascii="georgia" w:hAnsi="georgia"/>
          <w:b/>
          <w:color w:val="000000"/>
        </w:rPr>
        <w:t xml:space="preserve">Dashboard thresholds:</w:t>
      </w:r>
    </w:p>
    <w:p>
      <w:pPr>
        <w:numPr>
          <w:ilvl w:val="0"/>
          <w:numId w:val="4"/>
        </w:numPr>
        <w:spacing w:line="360" w:before="105" w:after="105" w:lineRule="auto"/>
      </w:pPr>
      <w:r>
        <w:rPr>
          <w:rFonts w:eastAsia="georgia" w:cs="georgia" w:ascii="georgia" w:hAnsi="georgia"/>
          <w:b/>
          <w:color w:val="000000"/>
          <w:sz w:val="21"/>
        </w:rPr>
        <w:t xml:space="preserve">Above 63.5%</w:t>
      </w:r>
      <w:r>
        <w:rPr>
          <w:rFonts w:eastAsia="georgia" w:cs="georgia" w:ascii="georgia" w:hAnsi="georgia"/>
          <w:color w:val="000000"/>
          <w:sz w:val="21"/>
        </w:rPr>
        <w:t xml:space="preserve"> → Green (high participation)</w:t>
      </w:r>
    </w:p>
    <w:p>
      <w:pPr>
        <w:numPr>
          <w:ilvl w:val="0"/>
          <w:numId w:val="4"/>
        </w:numPr>
        <w:spacing w:line="360" w:before="105" w:after="105" w:lineRule="auto"/>
      </w:pPr>
      <w:r>
        <w:rPr>
          <w:rFonts w:eastAsia="georgia" w:cs="georgia" w:ascii="georgia" w:hAnsi="georgia"/>
          <w:b/>
          <w:color w:val="000000"/>
          <w:sz w:val="21"/>
        </w:rPr>
        <w:t xml:space="preserve">62–63.5%</w:t>
      </w:r>
      <w:r>
        <w:rPr>
          <w:rFonts w:eastAsia="georgia" w:cs="georgia" w:ascii="georgia" w:hAnsi="georgia"/>
          <w:color w:val="000000"/>
          <w:sz w:val="21"/>
        </w:rPr>
        <w:t xml:space="preserve"> → Yellow</w:t>
      </w:r>
    </w:p>
    <w:p>
      <w:pPr>
        <w:numPr>
          <w:ilvl w:val="0"/>
          <w:numId w:val="4"/>
        </w:numPr>
        <w:spacing w:line="360" w:before="105" w:after="105" w:lineRule="auto"/>
      </w:pPr>
      <w:r>
        <w:rPr>
          <w:rFonts w:eastAsia="georgia" w:cs="georgia" w:ascii="georgia" w:hAnsi="georgia"/>
          <w:b/>
          <w:color w:val="000000"/>
          <w:sz w:val="21"/>
        </w:rPr>
        <w:t xml:space="preserve">Below 62%</w:t>
      </w:r>
      <w:r>
        <w:rPr>
          <w:rFonts w:eastAsia="georgia" w:cs="georgia" w:ascii="georgia" w:hAnsi="georgia"/>
          <w:color w:val="000000"/>
          <w:sz w:val="21"/>
        </w:rPr>
        <w:t xml:space="preserve"> → Red (structural labour market weakness)</w:t>
      </w:r>
    </w:p>
    <w:p>
      <w:pPr>
        <w:spacing w:line="360" w:after="210" w:lineRule="auto"/>
      </w:pPr>
      <w:r>
        <w:rPr>
          <w:rFonts w:eastAsia="georgia" w:cs="georgia" w:ascii="georgia" w:hAnsi="georgia"/>
          <w:b/>
          <w:color w:val="000000"/>
        </w:rPr>
        <w:t xml:space="preserve">Why it matters:</w:t>
      </w:r>
      <w:r>
        <w:rPr>
          <w:rFonts w:eastAsia="georgia" w:cs="georgia" w:ascii="georgia" w:hAnsi="georgia"/>
          <w:color w:val="000000"/>
        </w:rPr>
        <w:t xml:space="preserve"> A falling participation rate means people are dropping out of the workforce entirely. This can make headline unemployment look better than it really is.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job_openings_jolts_jtsjol"/>
      <w:r>
        <w:rPr>
          <w:rFonts w:eastAsia="georgia" w:cs="georgia" w:ascii="georgia" w:hAnsi="georgia"/>
          <w:b/>
          <w:color w:val="000000"/>
          <w:sz w:val="24"/>
        </w:rPr>
        <w:t xml:space="preserve">Job Openings JOLTS (JTSJOL)</w:t>
      </w:r>
      <w:bookmarkEnd w:id="18"/>
    </w:p>
    <w:p>
      <w:pPr>
        <w:spacing w:line="360" w:after="210" w:lineRule="auto"/>
      </w:pPr>
      <w:r>
        <w:rPr>
          <w:rFonts w:eastAsia="georgia" w:cs="georgia" w:ascii="georgia" w:hAnsi="georgia"/>
          <w:b/>
          <w:color w:val="000000"/>
        </w:rPr>
        <w:t xml:space="preserve">What it is:</w:t>
      </w:r>
      <w:r>
        <w:rPr>
          <w:rFonts w:eastAsia="georgia" w:cs="georgia" w:ascii="georgia" w:hAnsi="georgia"/>
          <w:color w:val="000000"/>
        </w:rPr>
        <w:t xml:space="preserve"> Total number of unfilled job openings in the US economy, measured in thousands by the Bureau of Labor Statistics' Job Openings and Labor Turnover Survey.</w:t>
      </w:r>
    </w:p>
    <w:p>
      <w:pPr>
        <w:spacing w:line="360" w:after="210" w:lineRule="auto"/>
      </w:pPr>
      <w:r>
        <w:rPr>
          <w:rFonts w:eastAsia="georgia" w:cs="georgia" w:ascii="georgia" w:hAnsi="georgia"/>
          <w:b/>
          <w:color w:val="000000"/>
        </w:rPr>
        <w:t xml:space="preserve">How to read it:</w:t>
      </w:r>
      <w:r>
        <w:rPr>
          <w:rFonts w:eastAsia="georgia" w:cs="georgia" w:ascii="georgia" w:hAnsi="georgia"/>
          <w:color w:val="000000"/>
        </w:rPr>
        <w:t xml:space="preserve"> When job openings significantly outnumber unemployed workers (a tight labour market), wages and inflation tend to rise. JOLTS data is used by the Fed to gauge labour market tightness and is a key input in modern Phillips Curve models.[cite:5]</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 w:name="average_hourly_earnings_ces0500000003"/>
      <w:r>
        <w:rPr>
          <w:rFonts w:eastAsia="georgia" w:cs="georgia" w:ascii="georgia" w:hAnsi="georgia"/>
          <w:b/>
          <w:color w:val="000000"/>
          <w:sz w:val="24"/>
        </w:rPr>
        <w:t xml:space="preserve">Average Hourly Earnings (CES0500000003)</w:t>
      </w:r>
      <w:bookmarkEnd w:id="19"/>
    </w:p>
    <w:p>
      <w:pPr>
        <w:spacing w:line="360" w:after="210" w:lineRule="auto"/>
      </w:pPr>
      <w:r>
        <w:rPr>
          <w:rFonts w:eastAsia="georgia" w:cs="georgia" w:ascii="georgia" w:hAnsi="georgia"/>
          <w:b/>
          <w:color w:val="000000"/>
        </w:rPr>
        <w:t xml:space="preserve">What it is:</w:t>
      </w:r>
      <w:r>
        <w:rPr>
          <w:rFonts w:eastAsia="georgia" w:cs="georgia" w:ascii="georgia" w:hAnsi="georgia"/>
          <w:color w:val="000000"/>
        </w:rPr>
        <w:t xml:space="preserve"> Year-over-year percentage change in average hourly earnings for all private-sector employees.</w:t>
      </w:r>
    </w:p>
    <w:p>
      <w:pPr>
        <w:spacing w:line="360" w:after="210" w:lineRule="auto"/>
      </w:pPr>
      <w:r>
        <w:rPr>
          <w:rFonts w:eastAsia="georgia" w:cs="georgia" w:ascii="georgia" w:hAnsi="georgia"/>
          <w:b/>
          <w:color w:val="000000"/>
        </w:rPr>
        <w:t xml:space="preserve">How to read it:</w:t>
      </w:r>
      <w:r>
        <w:rPr>
          <w:rFonts w:eastAsia="georgia" w:cs="georgia" w:ascii="georgia" w:hAnsi="georgia"/>
          <w:color w:val="000000"/>
        </w:rPr>
        <w:t xml:space="preserve"> Wage growth above 3–4% is associated with consumer spending power and can feed inflation if it exceeds productivity growth. The Fed watches wage growth closely because wage-price spirals (where wages and prices each drive the other higher) are very difficult to break.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 w:name="initial_jobless_claims_icsa"/>
      <w:r>
        <w:rPr>
          <w:rFonts w:eastAsia="georgia" w:cs="georgia" w:ascii="georgia" w:hAnsi="georgia"/>
          <w:b/>
          <w:color w:val="000000"/>
          <w:sz w:val="24"/>
        </w:rPr>
        <w:t xml:space="preserve">Initial Jobless Claims (ICSA)</w:t>
      </w:r>
      <w:bookmarkEnd w:id="20"/>
    </w:p>
    <w:p>
      <w:pPr>
        <w:spacing w:line="360" w:after="210" w:lineRule="auto"/>
      </w:pPr>
      <w:r>
        <w:rPr>
          <w:rFonts w:eastAsia="georgia" w:cs="georgia" w:ascii="georgia" w:hAnsi="georgia"/>
          <w:b/>
          <w:color w:val="000000"/>
        </w:rPr>
        <w:t xml:space="preserve">What it is:</w:t>
      </w:r>
      <w:r>
        <w:rPr>
          <w:rFonts w:eastAsia="georgia" w:cs="georgia" w:ascii="georgia" w:hAnsi="georgia"/>
          <w:color w:val="000000"/>
        </w:rPr>
        <w:t xml:space="preserve"> The number of first-time unemployment insurance filings in a given week, measured in thousands.</w:t>
      </w:r>
    </w:p>
    <w:p>
      <w:pPr>
        <w:spacing w:line="360" w:after="210" w:lineRule="auto"/>
      </w:pPr>
      <w:r>
        <w:rPr>
          <w:rFonts w:eastAsia="georgia" w:cs="georgia" w:ascii="georgia" w:hAnsi="georgia"/>
          <w:b/>
          <w:color w:val="000000"/>
        </w:rPr>
        <w:t xml:space="preserve">Dashboard thresholds:</w:t>
      </w:r>
    </w:p>
    <w:p>
      <w:pPr>
        <w:numPr>
          <w:ilvl w:val="0"/>
          <w:numId w:val="5"/>
        </w:numPr>
        <w:spacing w:line="360" w:before="105" w:after="105" w:lineRule="auto"/>
      </w:pPr>
      <w:r>
        <w:rPr>
          <w:rFonts w:eastAsia="georgia" w:cs="georgia" w:ascii="georgia" w:hAnsi="georgia"/>
          <w:b/>
          <w:color w:val="000000"/>
          <w:sz w:val="21"/>
        </w:rPr>
        <w:t xml:space="preserve">Below 250k</w:t>
      </w:r>
      <w:r>
        <w:rPr>
          <w:rFonts w:eastAsia="georgia" w:cs="georgia" w:ascii="georgia" w:hAnsi="georgia"/>
          <w:color w:val="000000"/>
          <w:sz w:val="21"/>
        </w:rPr>
        <w:t xml:space="preserve"> → Green (labour market healthy)</w:t>
      </w:r>
    </w:p>
    <w:p>
      <w:pPr>
        <w:numPr>
          <w:ilvl w:val="0"/>
          <w:numId w:val="5"/>
        </w:numPr>
        <w:spacing w:line="360" w:before="105" w:after="105" w:lineRule="auto"/>
      </w:pPr>
      <w:r>
        <w:rPr>
          <w:rFonts w:eastAsia="georgia" w:cs="georgia" w:ascii="georgia" w:hAnsi="georgia"/>
          <w:b/>
          <w:color w:val="000000"/>
          <w:sz w:val="21"/>
        </w:rPr>
        <w:t xml:space="preserve">250k–350k</w:t>
      </w:r>
      <w:r>
        <w:rPr>
          <w:rFonts w:eastAsia="georgia" w:cs="georgia" w:ascii="georgia" w:hAnsi="georgia"/>
          <w:color w:val="000000"/>
          <w:sz w:val="21"/>
        </w:rPr>
        <w:t xml:space="preserve"> → Yellow (labour market softening)</w:t>
      </w:r>
    </w:p>
    <w:p>
      <w:pPr>
        <w:numPr>
          <w:ilvl w:val="0"/>
          <w:numId w:val="5"/>
        </w:numPr>
        <w:spacing w:line="360" w:before="105" w:after="105" w:lineRule="auto"/>
      </w:pPr>
      <w:r>
        <w:rPr>
          <w:rFonts w:eastAsia="georgia" w:cs="georgia" w:ascii="georgia" w:hAnsi="georgia"/>
          <w:b/>
          <w:color w:val="000000"/>
          <w:sz w:val="21"/>
        </w:rPr>
        <w:t xml:space="preserve">Above 350k</w:t>
      </w:r>
      <w:r>
        <w:rPr>
          <w:rFonts w:eastAsia="georgia" w:cs="georgia" w:ascii="georgia" w:hAnsi="georgia"/>
          <w:color w:val="000000"/>
          <w:sz w:val="21"/>
        </w:rPr>
        <w:t xml:space="preserve"> → Red (layoffs accelerating)</w:t>
      </w:r>
    </w:p>
    <w:p>
      <w:pPr>
        <w:spacing w:line="360" w:after="210" w:lineRule="auto"/>
      </w:pPr>
      <w:r>
        <w:rPr>
          <w:rFonts w:eastAsia="georgia" w:cs="georgia" w:ascii="georgia" w:hAnsi="georgia"/>
          <w:b/>
          <w:color w:val="000000"/>
        </w:rPr>
        <w:t xml:space="preserve">Why it matters:</w:t>
      </w:r>
      <w:r>
        <w:rPr>
          <w:rFonts w:eastAsia="georgia" w:cs="georgia" w:ascii="georgia" w:hAnsi="georgia"/>
          <w:color w:val="000000"/>
        </w:rPr>
        <w:t xml:space="preserve"> Because jobless claims are released every Thursday, they provide the fastest real-time read on layoffs. A sudden spike (e.g., above 400k) is a strong recession warning.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 w:name="section_4_federal_reserve_monetar_9414d5"/>
      <w:r>
        <w:rPr>
          <w:rFonts w:eastAsia="georgia" w:cs="georgia" w:ascii="georgia" w:hAnsi="georgia"/>
          <w:b/>
          <w:color w:val="000000"/>
          <w:sz w:val="24"/>
        </w:rPr>
        <w:t xml:space="preserve">Section 4: Federal Reserve &amp; Monetary Policy</w:t>
      </w:r>
      <w:bookmarkEnd w:id="21"/>
    </w:p>
    <w:p>
      <w:pPr>
        <w:spacing w:line="360" w:after="210" w:lineRule="auto"/>
      </w:pPr>
      <w:r>
        <w:rPr>
          <w:rFonts w:eastAsia="georgia" w:cs="georgia" w:ascii="georgia" w:hAnsi="georgia"/>
          <w:color w:val="000000"/>
        </w:rPr>
        <w:t xml:space="preserve">These indicators reveal the stance of monetary policy — whether money is cheap or expensive to borrow, and how much liquidity is in the system.</w:t>
      </w:r>
    </w:p>
    <w:p>
      <w:pPr>
        <w:spacing w:line="360" w:before="315" w:after="105" w:lineRule="auto"/>
        <w:ind w:left="-30"/>
        <w:jc w:val="left"/>
      </w:pPr>
      <w:bookmarkStart w:id="22" w:name="federal_funds_rate_dff_dfedtaru_dfedtarl"/>
      <w:r>
        <w:rPr>
          <w:rFonts w:eastAsia="georgia" w:cs="georgia" w:ascii="georgia" w:hAnsi="georgia"/>
          <w:b/>
          <w:color w:val="000000"/>
          <w:sz w:val="24"/>
        </w:rPr>
        <w:t xml:space="preserve">Federal Funds Rate (DFF / DFEDTARU / DFEDTARL)</w:t>
      </w:r>
      <w:bookmarkEnd w:id="22"/>
    </w:p>
    <w:p>
      <w:pPr>
        <w:spacing w:line="360" w:after="210" w:lineRule="auto"/>
      </w:pPr>
      <w:r>
        <w:rPr>
          <w:rFonts w:eastAsia="georgia" w:cs="georgia" w:ascii="georgia" w:hAnsi="georgia"/>
          <w:b/>
          <w:color w:val="000000"/>
        </w:rPr>
        <w:t xml:space="preserve">What it is:</w:t>
      </w:r>
      <w:r>
        <w:rPr>
          <w:rFonts w:eastAsia="georgia" w:cs="georgia" w:ascii="georgia" w:hAnsi="georgia"/>
          <w:color w:val="000000"/>
        </w:rPr>
        <w:t xml:space="preserve"> The interest rate at which banks lend reserve balances to each other overnight. The Fed sets a target range (upper and lower bounds). This rate is the foundation of the entire US borrowing cost structure.</w:t>
      </w:r>
    </w:p>
    <w:p>
      <w:pPr>
        <w:spacing w:line="360" w:after="210" w:lineRule="auto"/>
      </w:pPr>
      <w:r>
        <w:rPr>
          <w:rFonts w:eastAsia="georgia" w:cs="georgia" w:ascii="georgia" w:hAnsi="georgia"/>
          <w:b/>
          <w:color w:val="000000"/>
        </w:rPr>
        <w:t xml:space="preserve">How to read it:</w:t>
      </w:r>
      <w:r>
        <w:rPr>
          <w:rFonts w:eastAsia="georgia" w:cs="georgia" w:ascii="georgia" w:hAnsi="georgia"/>
          <w:color w:val="000000"/>
        </w:rPr>
        <w:t xml:space="preserve"> A high Fed Funds Rate (e.g., 5%+) means the Fed is fighting inflation by making borrowing expensive. A low rate (0–1%) means the Fed is stimulating the economy. Rate changes ripple through mortgages, car loans, corporate bonds, and stock valuations within months.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 w:name="fed_balance_sheet_walcl"/>
      <w:r>
        <w:rPr>
          <w:rFonts w:eastAsia="georgia" w:cs="georgia" w:ascii="georgia" w:hAnsi="georgia"/>
          <w:b/>
          <w:color w:val="000000"/>
          <w:sz w:val="24"/>
        </w:rPr>
        <w:t xml:space="preserve">Fed Balance Sheet (WALCL)</w:t>
      </w:r>
      <w:bookmarkEnd w:id="23"/>
    </w:p>
    <w:p>
      <w:pPr>
        <w:spacing w:line="360" w:after="210" w:lineRule="auto"/>
      </w:pPr>
      <w:r>
        <w:rPr>
          <w:rFonts w:eastAsia="georgia" w:cs="georgia" w:ascii="georgia" w:hAnsi="georgia"/>
          <w:b/>
          <w:color w:val="000000"/>
        </w:rPr>
        <w:t xml:space="preserve">What it is:</w:t>
      </w:r>
      <w:r>
        <w:rPr>
          <w:rFonts w:eastAsia="georgia" w:cs="georgia" w:ascii="georgia" w:hAnsi="georgia"/>
          <w:color w:val="000000"/>
        </w:rPr>
        <w:t xml:space="preserve"> The total assets held by the Federal Reserve, expressed in billions of dollars. When the Fed buys assets (QE — Quantitative Easing), the balance sheet expands; when it sells (QT — Quantitative Tightening), it shrinks.</w:t>
      </w:r>
    </w:p>
    <w:p>
      <w:pPr>
        <w:spacing w:line="360" w:after="210" w:lineRule="auto"/>
      </w:pPr>
      <w:r>
        <w:rPr>
          <w:rFonts w:eastAsia="georgia" w:cs="georgia" w:ascii="georgia" w:hAnsi="georgia"/>
          <w:b/>
          <w:color w:val="000000"/>
        </w:rPr>
        <w:t xml:space="preserve">How to read it:</w:t>
      </w:r>
      <w:r>
        <w:rPr>
          <w:rFonts w:eastAsia="georgia" w:cs="georgia" w:ascii="georgia" w:hAnsi="georgia"/>
          <w:color w:val="000000"/>
        </w:rPr>
        <w:t xml:space="preserve"> A growing Fed balance sheet injects liquidity into financial markets and typically supports asset prices. A shrinking balance sheet (as seen in 2022–2024) removes liquidity and can pressure stock and bond prices. The dashboard shows this in trillions (T).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 w:name="m2_money_supply_m2sl"/>
      <w:r>
        <w:rPr>
          <w:rFonts w:eastAsia="georgia" w:cs="georgia" w:ascii="georgia" w:hAnsi="georgia"/>
          <w:b/>
          <w:color w:val="000000"/>
          <w:sz w:val="24"/>
        </w:rPr>
        <w:t xml:space="preserve">M2 Money Supply (M2SL)</w:t>
      </w:r>
      <w:bookmarkEnd w:id="24"/>
    </w:p>
    <w:p>
      <w:pPr>
        <w:spacing w:line="360" w:after="210" w:lineRule="auto"/>
      </w:pPr>
      <w:r>
        <w:rPr>
          <w:rFonts w:eastAsia="georgia" w:cs="georgia" w:ascii="georgia" w:hAnsi="georgia"/>
          <w:b/>
          <w:color w:val="000000"/>
        </w:rPr>
        <w:t xml:space="preserve">What it is:</w:t>
      </w:r>
      <w:r>
        <w:rPr>
          <w:rFonts w:eastAsia="georgia" w:cs="georgia" w:ascii="georgia" w:hAnsi="georgia"/>
          <w:color w:val="000000"/>
        </w:rPr>
        <w:t xml:space="preserve"> The total amount of money in the economy including cash, checking deposits, savings accounts, and money market funds, expressed in billions.</w:t>
      </w:r>
    </w:p>
    <w:p>
      <w:pPr>
        <w:spacing w:line="360" w:after="210" w:lineRule="auto"/>
      </w:pPr>
      <w:r>
        <w:rPr>
          <w:rFonts w:eastAsia="georgia" w:cs="georgia" w:ascii="georgia" w:hAnsi="georgia"/>
          <w:b/>
          <w:color w:val="000000"/>
        </w:rPr>
        <w:t xml:space="preserve">How to read it:</w:t>
      </w:r>
      <w:r>
        <w:rPr>
          <w:rFonts w:eastAsia="georgia" w:cs="georgia" w:ascii="georgia" w:hAnsi="georgia"/>
          <w:color w:val="000000"/>
        </w:rPr>
        <w:t xml:space="preserve"> Rapid M2 growth (&gt;10% year-over-year) historically precedes inflation. The 2020–2021 M2 surge of ~25% was a major academic driver of the 2021–2022 inflation wave, consistent with Milton Friedman's classic research that "inflation is always and everywhere a monetary phenomenon."[cite:3]</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 w:name="global_central_bank_rates_ecb_ban_e2c752"/>
      <w:r>
        <w:rPr>
          <w:rFonts w:eastAsia="georgia" w:cs="georgia" w:ascii="georgia" w:hAnsi="georgia"/>
          <w:b/>
          <w:color w:val="000000"/>
          <w:sz w:val="24"/>
        </w:rPr>
        <w:t xml:space="preserve">Global Central Bank Rates (ECB, Bank of England, Bank of Japan)</w:t>
      </w:r>
      <w:bookmarkEnd w:id="25"/>
    </w:p>
    <w:p>
      <w:pPr>
        <w:spacing w:line="360" w:after="210" w:lineRule="auto"/>
      </w:pPr>
      <w:r>
        <w:rPr>
          <w:rFonts w:eastAsia="georgia" w:cs="georgia" w:ascii="georgia" w:hAnsi="georgia"/>
          <w:b/>
          <w:color w:val="000000"/>
        </w:rPr>
        <w:t xml:space="preserve">What they are:</w:t>
      </w:r>
      <w:r>
        <w:rPr>
          <w:rFonts w:eastAsia="georgia" w:cs="georgia" w:ascii="georgia" w:hAnsi="georgia"/>
          <w:color w:val="000000"/>
        </w:rPr>
        <w:t xml:space="preserve"> The benchmark policy rates for the three other major global central banks.</w:t>
      </w:r>
    </w:p>
    <w:p>
      <w:pPr>
        <w:spacing w:line="360" w:after="210" w:lineRule="auto"/>
      </w:pPr>
      <w:r>
        <w:rPr>
          <w:rFonts w:eastAsia="georgia" w:cs="georgia" w:ascii="georgia" w:hAnsi="georgia"/>
          <w:b/>
          <w:color w:val="000000"/>
        </w:rPr>
        <w:t xml:space="preserve">Why they matter:</w:t>
      </w:r>
      <w:r>
        <w:rPr>
          <w:rFonts w:eastAsia="georgia" w:cs="georgia" w:ascii="georgia" w:hAnsi="georgia"/>
          <w:color w:val="000000"/>
        </w:rPr>
        <w:t xml:space="preserve"> Central bank divergence — when the Fed raises rates while others hold steady — tends to strengthen the US dollar (DXY), which pressures emerging markets and commodity prices. Convergence in rate-cutting cycles can be bullish for global equities.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 w:name="section_5_credit_market_indicators"/>
      <w:r>
        <w:rPr>
          <w:rFonts w:eastAsia="georgia" w:cs="georgia" w:ascii="georgia" w:hAnsi="georgia"/>
          <w:b/>
          <w:color w:val="000000"/>
          <w:sz w:val="24"/>
        </w:rPr>
        <w:t xml:space="preserve">Section 5: Credit Market Indicators</w:t>
      </w:r>
      <w:bookmarkEnd w:id="26"/>
    </w:p>
    <w:p>
      <w:pPr>
        <w:spacing w:line="360" w:after="210" w:lineRule="auto"/>
      </w:pPr>
      <w:r>
        <w:rPr>
          <w:rFonts w:eastAsia="georgia" w:cs="georgia" w:ascii="georgia" w:hAnsi="georgia"/>
          <w:color w:val="000000"/>
        </w:rPr>
        <w:t xml:space="preserve">Credit markets reveal the cost and availability of borrowing for corporations. Stress in credit markets almost always precedes recessions.</w:t>
      </w:r>
    </w:p>
    <w:p>
      <w:pPr>
        <w:spacing w:line="360" w:before="315" w:after="105" w:lineRule="auto"/>
        <w:ind w:left="-30"/>
        <w:jc w:val="left"/>
      </w:pPr>
      <w:bookmarkStart w:id="27" w:name="hy_credit_spread_bamlh0a0hym2"/>
      <w:r>
        <w:rPr>
          <w:rFonts w:eastAsia="georgia" w:cs="georgia" w:ascii="georgia" w:hAnsi="georgia"/>
          <w:b/>
          <w:color w:val="000000"/>
          <w:sz w:val="24"/>
        </w:rPr>
        <w:t xml:space="preserve">HY Credit Spread (BAMLH0A0HYM2)</w:t>
      </w:r>
      <w:bookmarkEnd w:id="27"/>
    </w:p>
    <w:p>
      <w:pPr>
        <w:spacing w:line="360" w:after="210" w:lineRule="auto"/>
      </w:pPr>
      <w:r>
        <w:rPr>
          <w:rFonts w:eastAsia="georgia" w:cs="georgia" w:ascii="georgia" w:hAnsi="georgia"/>
          <w:b/>
          <w:color w:val="000000"/>
        </w:rPr>
        <w:t xml:space="preserve">What it is:</w:t>
      </w:r>
      <w:r>
        <w:rPr>
          <w:rFonts w:eastAsia="georgia" w:cs="georgia" w:ascii="georgia" w:hAnsi="georgia"/>
          <w:color w:val="000000"/>
        </w:rPr>
        <w:t xml:space="preserve"> The extra yield (in basis points, bp) that high-yield ("junk") corporate bonds pay above equivalent US Treasuries. Published by ICE/BofA. 1 basis point = 0.01%.</w:t>
      </w:r>
    </w:p>
    <w:p>
      <w:pPr>
        <w:spacing w:line="360" w:after="210" w:lineRule="auto"/>
      </w:pPr>
      <w:r>
        <w:rPr>
          <w:rFonts w:eastAsia="georgia" w:cs="georgia" w:ascii="georgia" w:hAnsi="georgia"/>
          <w:b/>
          <w:color w:val="000000"/>
        </w:rPr>
        <w:t xml:space="preserve">Dashboard thresholds:</w:t>
      </w:r>
    </w:p>
    <w:p>
      <w:pPr>
        <w:numPr>
          <w:ilvl w:val="0"/>
          <w:numId w:val="6"/>
        </w:numPr>
        <w:spacing w:line="360" w:before="105" w:after="105" w:lineRule="auto"/>
      </w:pPr>
      <w:r>
        <w:rPr>
          <w:rFonts w:eastAsia="georgia" w:cs="georgia" w:ascii="georgia" w:hAnsi="georgia"/>
          <w:b/>
          <w:color w:val="000000"/>
          <w:sz w:val="21"/>
        </w:rPr>
        <w:t xml:space="preserve">Below 300 bp</w:t>
      </w:r>
      <w:r>
        <w:rPr>
          <w:rFonts w:eastAsia="georgia" w:cs="georgia" w:ascii="georgia" w:hAnsi="georgia"/>
          <w:color w:val="000000"/>
          <w:sz w:val="21"/>
        </w:rPr>
        <w:t xml:space="preserve"> → Green (credit conditions relaxed)</w:t>
      </w:r>
    </w:p>
    <w:p>
      <w:pPr>
        <w:numPr>
          <w:ilvl w:val="0"/>
          <w:numId w:val="6"/>
        </w:numPr>
        <w:spacing w:line="360" w:before="105" w:after="105" w:lineRule="auto"/>
      </w:pPr>
      <w:r>
        <w:rPr>
          <w:rFonts w:eastAsia="georgia" w:cs="georgia" w:ascii="georgia" w:hAnsi="georgia"/>
          <w:b/>
          <w:color w:val="000000"/>
          <w:sz w:val="21"/>
        </w:rPr>
        <w:t xml:space="preserve">300–500 bp</w:t>
      </w:r>
      <w:r>
        <w:rPr>
          <w:rFonts w:eastAsia="georgia" w:cs="georgia" w:ascii="georgia" w:hAnsi="georgia"/>
          <w:color w:val="000000"/>
          <w:sz w:val="21"/>
        </w:rPr>
        <w:t xml:space="preserve"> → Yellow (stress building)</w:t>
      </w:r>
    </w:p>
    <w:p>
      <w:pPr>
        <w:numPr>
          <w:ilvl w:val="0"/>
          <w:numId w:val="6"/>
        </w:numPr>
        <w:spacing w:line="360" w:before="105" w:after="105" w:lineRule="auto"/>
      </w:pPr>
      <w:r>
        <w:rPr>
          <w:rFonts w:eastAsia="georgia" w:cs="georgia" w:ascii="georgia" w:hAnsi="georgia"/>
          <w:b/>
          <w:color w:val="000000"/>
          <w:sz w:val="21"/>
        </w:rPr>
        <w:t xml:space="preserve">Above 500 bp</w:t>
      </w:r>
      <w:r>
        <w:rPr>
          <w:rFonts w:eastAsia="georgia" w:cs="georgia" w:ascii="georgia" w:hAnsi="georgia"/>
          <w:color w:val="000000"/>
          <w:sz w:val="21"/>
        </w:rPr>
        <w:t xml:space="preserve"> → Red (credit crisis / recession risk)</w:t>
      </w:r>
    </w:p>
    <w:p>
      <w:pPr>
        <w:spacing w:line="360" w:after="210" w:lineRule="auto"/>
      </w:pPr>
      <w:r>
        <w:rPr>
          <w:rFonts w:eastAsia="georgia" w:cs="georgia" w:ascii="georgia" w:hAnsi="georgia"/>
          <w:b/>
          <w:color w:val="000000"/>
        </w:rPr>
        <w:t xml:space="preserve">Why it matters:</w:t>
      </w:r>
      <w:r>
        <w:rPr>
          <w:rFonts w:eastAsia="georgia" w:cs="georgia" w:ascii="georgia" w:hAnsi="georgia"/>
          <w:color w:val="000000"/>
        </w:rPr>
        <w:t xml:space="preserve"> When credit spreads widen sharply, it means bond investors are demanding more compensation for default risk — a sign that the corporate sector is under stress. Historical research shows HY spread spikes lead equity market peaks by 3–6 months on average.[cite:8]</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 w:name="ig_credit_spread_bamlc0a0cm"/>
      <w:r>
        <w:rPr>
          <w:rFonts w:eastAsia="georgia" w:cs="georgia" w:ascii="georgia" w:hAnsi="georgia"/>
          <w:b/>
          <w:color w:val="000000"/>
          <w:sz w:val="24"/>
        </w:rPr>
        <w:t xml:space="preserve">IG Credit Spread (BAMLC0A0CM)</w:t>
      </w:r>
      <w:bookmarkEnd w:id="28"/>
    </w:p>
    <w:p>
      <w:pPr>
        <w:spacing w:line="360" w:after="210" w:lineRule="auto"/>
      </w:pPr>
      <w:r>
        <w:rPr>
          <w:rFonts w:eastAsia="georgia" w:cs="georgia" w:ascii="georgia" w:hAnsi="georgia"/>
          <w:b/>
          <w:color w:val="000000"/>
        </w:rPr>
        <w:t xml:space="preserve">What it is:</w:t>
      </w:r>
      <w:r>
        <w:rPr>
          <w:rFonts w:eastAsia="georgia" w:cs="georgia" w:ascii="georgia" w:hAnsi="georgia"/>
          <w:color w:val="000000"/>
        </w:rPr>
        <w:t xml:space="preserve"> The extra yield on investment-grade corporate bonds above equivalent Treasuries, in basis points.</w:t>
      </w:r>
    </w:p>
    <w:p>
      <w:pPr>
        <w:spacing w:line="360" w:after="210" w:lineRule="auto"/>
      </w:pPr>
      <w:r>
        <w:rPr>
          <w:rFonts w:eastAsia="georgia" w:cs="georgia" w:ascii="georgia" w:hAnsi="georgia"/>
          <w:b/>
          <w:color w:val="000000"/>
        </w:rPr>
        <w:t xml:space="preserve">Dashboard thresholds:</w:t>
      </w:r>
    </w:p>
    <w:p>
      <w:pPr>
        <w:numPr>
          <w:ilvl w:val="0"/>
          <w:numId w:val="7"/>
        </w:numPr>
        <w:spacing w:line="360" w:before="105" w:after="105" w:lineRule="auto"/>
      </w:pPr>
      <w:r>
        <w:rPr>
          <w:rFonts w:eastAsia="georgia" w:cs="georgia" w:ascii="georgia" w:hAnsi="georgia"/>
          <w:b/>
          <w:color w:val="000000"/>
          <w:sz w:val="21"/>
        </w:rPr>
        <w:t xml:space="preserve">Below 100 bp</w:t>
      </w:r>
      <w:r>
        <w:rPr>
          <w:rFonts w:eastAsia="georgia" w:cs="georgia" w:ascii="georgia" w:hAnsi="georgia"/>
          <w:color w:val="000000"/>
          <w:sz w:val="21"/>
        </w:rPr>
        <w:t xml:space="preserve"> → Green</w:t>
      </w:r>
    </w:p>
    <w:p>
      <w:pPr>
        <w:numPr>
          <w:ilvl w:val="0"/>
          <w:numId w:val="7"/>
        </w:numPr>
        <w:spacing w:line="360" w:before="105" w:after="105" w:lineRule="auto"/>
      </w:pPr>
      <w:r>
        <w:rPr>
          <w:rFonts w:eastAsia="georgia" w:cs="georgia" w:ascii="georgia" w:hAnsi="georgia"/>
          <w:b/>
          <w:color w:val="000000"/>
          <w:sz w:val="21"/>
        </w:rPr>
        <w:t xml:space="preserve">100–200 bp</w:t>
      </w:r>
      <w:r>
        <w:rPr>
          <w:rFonts w:eastAsia="georgia" w:cs="georgia" w:ascii="georgia" w:hAnsi="georgia"/>
          <w:color w:val="000000"/>
          <w:sz w:val="21"/>
        </w:rPr>
        <w:t xml:space="preserve"> → Yellow</w:t>
      </w:r>
    </w:p>
    <w:p>
      <w:pPr>
        <w:numPr>
          <w:ilvl w:val="0"/>
          <w:numId w:val="7"/>
        </w:numPr>
        <w:spacing w:line="360" w:before="105" w:after="105" w:lineRule="auto"/>
      </w:pPr>
      <w:r>
        <w:rPr>
          <w:rFonts w:eastAsia="georgia" w:cs="georgia" w:ascii="georgia" w:hAnsi="georgia"/>
          <w:b/>
          <w:color w:val="000000"/>
          <w:sz w:val="21"/>
        </w:rPr>
        <w:t xml:space="preserve">Above 200 bp</w:t>
      </w:r>
      <w:r>
        <w:rPr>
          <w:rFonts w:eastAsia="georgia" w:cs="georgia" w:ascii="georgia" w:hAnsi="georgia"/>
          <w:color w:val="000000"/>
          <w:sz w:val="21"/>
        </w:rPr>
        <w:t xml:space="preserve"> → Red</w:t>
      </w:r>
    </w:p>
    <w:p>
      <w:pPr>
        <w:spacing w:line="360" w:after="210" w:lineRule="auto"/>
      </w:pPr>
      <w:r>
        <w:rPr>
          <w:rFonts w:eastAsia="georgia" w:cs="georgia" w:ascii="georgia" w:hAnsi="georgia"/>
          <w:b/>
          <w:color w:val="000000"/>
        </w:rPr>
        <w:t xml:space="preserve">How it differs from HY:</w:t>
      </w:r>
      <w:r>
        <w:rPr>
          <w:rFonts w:eastAsia="georgia" w:cs="georgia" w:ascii="georgia" w:hAnsi="georgia"/>
          <w:color w:val="000000"/>
        </w:rPr>
        <w:t xml:space="preserve"> Investment-grade spreads widen more slowly than junk spreads but are a more reliable signal of broad financial stress because they affect the largest companies in the economy.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 w:name="chicago_fed_national_financial_co_3d251a"/>
      <w:r>
        <w:rPr>
          <w:rFonts w:eastAsia="georgia" w:cs="georgia" w:ascii="georgia" w:hAnsi="georgia"/>
          <w:b/>
          <w:color w:val="000000"/>
          <w:sz w:val="24"/>
        </w:rPr>
        <w:t xml:space="preserve">Chicago Fed National Financial Conditions Index (NFCI)</w:t>
      </w:r>
      <w:bookmarkEnd w:id="29"/>
    </w:p>
    <w:p>
      <w:pPr>
        <w:spacing w:line="360" w:after="210" w:lineRule="auto"/>
      </w:pPr>
      <w:r>
        <w:rPr>
          <w:rFonts w:eastAsia="georgia" w:cs="georgia" w:ascii="georgia" w:hAnsi="georgia"/>
          <w:b/>
          <w:color w:val="000000"/>
        </w:rPr>
        <w:t xml:space="preserve">What it is:</w:t>
      </w:r>
      <w:r>
        <w:rPr>
          <w:rFonts w:eastAsia="georgia" w:cs="georgia" w:ascii="georgia" w:hAnsi="georgia"/>
          <w:color w:val="000000"/>
        </w:rPr>
        <w:t xml:space="preserve"> A weekly index of 105 financial indicators covering money markets, debt markets, equity markets, and the traditional and shadow banking systems. A reading of zero represents average conditions; positive values indicate tighter-than-average conditions.</w:t>
      </w:r>
    </w:p>
    <w:p>
      <w:pPr>
        <w:spacing w:line="360" w:after="210" w:lineRule="auto"/>
      </w:pPr>
      <w:r>
        <w:rPr>
          <w:rFonts w:eastAsia="georgia" w:cs="georgia" w:ascii="georgia" w:hAnsi="georgia"/>
          <w:b/>
          <w:color w:val="000000"/>
        </w:rPr>
        <w:t xml:space="preserve">Dashboard thresholds:</w:t>
      </w:r>
    </w:p>
    <w:p>
      <w:pPr>
        <w:numPr>
          <w:ilvl w:val="0"/>
          <w:numId w:val="8"/>
        </w:numPr>
        <w:spacing w:line="360" w:before="105" w:after="105" w:lineRule="auto"/>
      </w:pPr>
      <w:r>
        <w:rPr>
          <w:rFonts w:eastAsia="georgia" w:cs="georgia" w:ascii="georgia" w:hAnsi="georgia"/>
          <w:b/>
          <w:color w:val="000000"/>
          <w:sz w:val="21"/>
        </w:rPr>
        <w:t xml:space="preserve">Below –0.5</w:t>
      </w:r>
      <w:r>
        <w:rPr>
          <w:rFonts w:eastAsia="georgia" w:cs="georgia" w:ascii="georgia" w:hAnsi="georgia"/>
          <w:color w:val="000000"/>
          <w:sz w:val="21"/>
        </w:rPr>
        <w:t xml:space="preserve"> → Green (very easy financial conditions)</w:t>
      </w:r>
    </w:p>
    <w:p>
      <w:pPr>
        <w:numPr>
          <w:ilvl w:val="0"/>
          <w:numId w:val="8"/>
        </w:numPr>
        <w:spacing w:line="360" w:before="105" w:after="105" w:lineRule="auto"/>
      </w:pPr>
      <w:r>
        <w:rPr>
          <w:rFonts w:eastAsia="georgia" w:cs="georgia" w:ascii="georgia" w:hAnsi="georgia"/>
          <w:b/>
          <w:color w:val="000000"/>
          <w:sz w:val="21"/>
        </w:rPr>
        <w:t xml:space="preserve">–0.5 to +0.5</w:t>
      </w:r>
      <w:r>
        <w:rPr>
          <w:rFonts w:eastAsia="georgia" w:cs="georgia" w:ascii="georgia" w:hAnsi="georgia"/>
          <w:color w:val="000000"/>
          <w:sz w:val="21"/>
        </w:rPr>
        <w:t xml:space="preserve"> → Yellow (normal range)</w:t>
      </w:r>
    </w:p>
    <w:p>
      <w:pPr>
        <w:numPr>
          <w:ilvl w:val="0"/>
          <w:numId w:val="8"/>
        </w:numPr>
        <w:spacing w:line="360" w:before="105" w:after="105" w:lineRule="auto"/>
      </w:pPr>
      <w:r>
        <w:rPr>
          <w:rFonts w:eastAsia="georgia" w:cs="georgia" w:ascii="georgia" w:hAnsi="georgia"/>
          <w:b/>
          <w:color w:val="000000"/>
          <w:sz w:val="21"/>
        </w:rPr>
        <w:t xml:space="preserve">Above +0.5</w:t>
      </w:r>
      <w:r>
        <w:rPr>
          <w:rFonts w:eastAsia="georgia" w:cs="georgia" w:ascii="georgia" w:hAnsi="georgia"/>
          <w:color w:val="000000"/>
          <w:sz w:val="21"/>
        </w:rPr>
        <w:t xml:space="preserve"> → Red (tight financial conditions; growth headwind)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 w:name="st_louis_financial_stress_index_stlfsi2"/>
      <w:r>
        <w:rPr>
          <w:rFonts w:eastAsia="georgia" w:cs="georgia" w:ascii="georgia" w:hAnsi="georgia"/>
          <w:b/>
          <w:color w:val="000000"/>
          <w:sz w:val="24"/>
        </w:rPr>
        <w:t xml:space="preserve">St. Louis Financial Stress Index (STLFSI2)</w:t>
      </w:r>
      <w:bookmarkEnd w:id="30"/>
    </w:p>
    <w:p>
      <w:pPr>
        <w:spacing w:line="360" w:after="210" w:lineRule="auto"/>
      </w:pPr>
      <w:r>
        <w:rPr>
          <w:rFonts w:eastAsia="georgia" w:cs="georgia" w:ascii="georgia" w:hAnsi="georgia"/>
          <w:b/>
          <w:color w:val="000000"/>
        </w:rPr>
        <w:t xml:space="preserve">What it is:</w:t>
      </w:r>
      <w:r>
        <w:rPr>
          <w:rFonts w:eastAsia="georgia" w:cs="georgia" w:ascii="georgia" w:hAnsi="georgia"/>
          <w:color w:val="000000"/>
        </w:rPr>
        <w:t xml:space="preserve"> A weekly index from the St. Louis Fed measuring financial stress using 18 data series (interest rates, yield spreads, and other indicators). Zero represents normal; positive values = above-average stress.</w:t>
      </w:r>
    </w:p>
    <w:p>
      <w:pPr>
        <w:spacing w:line="360" w:after="210" w:lineRule="auto"/>
      </w:pPr>
      <w:r>
        <w:rPr>
          <w:rFonts w:eastAsia="georgia" w:cs="georgia" w:ascii="georgia" w:hAnsi="georgia"/>
          <w:b/>
          <w:color w:val="000000"/>
        </w:rPr>
        <w:t xml:space="preserve">How to read it alongside NFCI:</w:t>
      </w:r>
      <w:r>
        <w:rPr>
          <w:rFonts w:eastAsia="georgia" w:cs="georgia" w:ascii="georgia" w:hAnsi="georgia"/>
          <w:color w:val="000000"/>
        </w:rPr>
        <w:t xml:space="preserve"> Both NFCI and STLFSI2 measure financial conditions. If both spike simultaneously, financial stress is confirmed across multiple measurement approaches — this is a strong signal.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 w:name="section_6_consumer_indicators"/>
      <w:r>
        <w:rPr>
          <w:rFonts w:eastAsia="georgia" w:cs="georgia" w:ascii="georgia" w:hAnsi="georgia"/>
          <w:b/>
          <w:color w:val="000000"/>
          <w:sz w:val="24"/>
        </w:rPr>
        <w:t xml:space="preserve">Section 6: Consumer Indicators</w:t>
      </w:r>
      <w:bookmarkEnd w:id="31"/>
    </w:p>
    <w:p>
      <w:pPr>
        <w:spacing w:line="360" w:after="210" w:lineRule="auto"/>
      </w:pPr>
      <w:r>
        <w:rPr>
          <w:rFonts w:eastAsia="georgia" w:cs="georgia" w:ascii="georgia" w:hAnsi="georgia"/>
          <w:color w:val="000000"/>
        </w:rPr>
        <w:t xml:space="preserve">Consumer spending accounts for roughly 70% of US GDP. Consumer health is therefore central to the overall economic outlook.</w:t>
      </w:r>
    </w:p>
    <w:p>
      <w:pPr>
        <w:spacing w:line="360" w:before="315" w:after="105" w:lineRule="auto"/>
        <w:ind w:left="-30"/>
        <w:jc w:val="left"/>
      </w:pPr>
      <w:bookmarkStart w:id="32" w:name="consumer_sentiment_umcsent"/>
      <w:r>
        <w:rPr>
          <w:rFonts w:eastAsia="georgia" w:cs="georgia" w:ascii="georgia" w:hAnsi="georgia"/>
          <w:b/>
          <w:color w:val="000000"/>
          <w:sz w:val="24"/>
        </w:rPr>
        <w:t xml:space="preserve">Consumer Sentiment (UMCSENT)</w:t>
      </w:r>
      <w:bookmarkEnd w:id="32"/>
    </w:p>
    <w:p>
      <w:pPr>
        <w:spacing w:line="360" w:after="210" w:lineRule="auto"/>
      </w:pPr>
      <w:r>
        <w:rPr>
          <w:rFonts w:eastAsia="georgia" w:cs="georgia" w:ascii="georgia" w:hAnsi="georgia"/>
          <w:b/>
          <w:color w:val="000000"/>
        </w:rPr>
        <w:t xml:space="preserve">What it is:</w:t>
      </w:r>
      <w:r>
        <w:rPr>
          <w:rFonts w:eastAsia="georgia" w:cs="georgia" w:ascii="georgia" w:hAnsi="georgia"/>
          <w:color w:val="000000"/>
        </w:rPr>
        <w:t xml:space="preserve"> The University of Michigan Consumer Sentiment Index, a monthly survey of household attitudes toward personal finances and business conditions. Scale: 0–100+; historical average around 86.</w:t>
      </w:r>
    </w:p>
    <w:p>
      <w:pPr>
        <w:spacing w:line="360" w:after="210" w:lineRule="auto"/>
      </w:pPr>
      <w:r>
        <w:rPr>
          <w:rFonts w:eastAsia="georgia" w:cs="georgia" w:ascii="georgia" w:hAnsi="georgia"/>
          <w:b/>
          <w:color w:val="000000"/>
        </w:rPr>
        <w:t xml:space="preserve">Dashboard thresholds:</w:t>
      </w:r>
    </w:p>
    <w:p>
      <w:pPr>
        <w:numPr>
          <w:ilvl w:val="0"/>
          <w:numId w:val="9"/>
        </w:numPr>
        <w:spacing w:line="360" w:before="105" w:after="105" w:lineRule="auto"/>
      </w:pPr>
      <w:r>
        <w:rPr>
          <w:rFonts w:eastAsia="georgia" w:cs="georgia" w:ascii="georgia" w:hAnsi="georgia"/>
          <w:b/>
          <w:color w:val="000000"/>
          <w:sz w:val="21"/>
        </w:rPr>
        <w:t xml:space="preserve">Above 80</w:t>
      </w:r>
      <w:r>
        <w:rPr>
          <w:rFonts w:eastAsia="georgia" w:cs="georgia" w:ascii="georgia" w:hAnsi="georgia"/>
          <w:color w:val="000000"/>
          <w:sz w:val="21"/>
        </w:rPr>
        <w:t xml:space="preserve"> → Green</w:t>
      </w:r>
    </w:p>
    <w:p>
      <w:pPr>
        <w:numPr>
          <w:ilvl w:val="0"/>
          <w:numId w:val="9"/>
        </w:numPr>
        <w:spacing w:line="360" w:before="105" w:after="105" w:lineRule="auto"/>
      </w:pPr>
      <w:r>
        <w:rPr>
          <w:rFonts w:eastAsia="georgia" w:cs="georgia" w:ascii="georgia" w:hAnsi="georgia"/>
          <w:b/>
          <w:color w:val="000000"/>
          <w:sz w:val="21"/>
        </w:rPr>
        <w:t xml:space="preserve">60–80</w:t>
      </w:r>
      <w:r>
        <w:rPr>
          <w:rFonts w:eastAsia="georgia" w:cs="georgia" w:ascii="georgia" w:hAnsi="georgia"/>
          <w:color w:val="000000"/>
          <w:sz w:val="21"/>
        </w:rPr>
        <w:t xml:space="preserve"> → Yellow</w:t>
      </w:r>
    </w:p>
    <w:p>
      <w:pPr>
        <w:numPr>
          <w:ilvl w:val="0"/>
          <w:numId w:val="9"/>
        </w:numPr>
        <w:spacing w:line="360" w:before="105" w:after="105" w:lineRule="auto"/>
      </w:pPr>
      <w:r>
        <w:rPr>
          <w:rFonts w:eastAsia="georgia" w:cs="georgia" w:ascii="georgia" w:hAnsi="georgia"/>
          <w:b/>
          <w:color w:val="000000"/>
          <w:sz w:val="21"/>
        </w:rPr>
        <w:t xml:space="preserve">Below 60</w:t>
      </w:r>
      <w:r>
        <w:rPr>
          <w:rFonts w:eastAsia="georgia" w:cs="georgia" w:ascii="georgia" w:hAnsi="georgia"/>
          <w:color w:val="000000"/>
          <w:sz w:val="21"/>
        </w:rPr>
        <w:t xml:space="preserve"> → Red (consumer pessimism; spending likely to fall)</w:t>
      </w:r>
    </w:p>
    <w:p>
      <w:pPr>
        <w:spacing w:line="360" w:after="210" w:lineRule="auto"/>
      </w:pPr>
      <w:r>
        <w:rPr>
          <w:rFonts w:eastAsia="georgia" w:cs="georgia" w:ascii="georgia" w:hAnsi="georgia"/>
          <w:b/>
          <w:color w:val="000000"/>
        </w:rPr>
        <w:t xml:space="preserve">Academic link:</w:t>
      </w:r>
      <w:r>
        <w:rPr>
          <w:rFonts w:eastAsia="georgia" w:cs="georgia" w:ascii="georgia" w:hAnsi="georgia"/>
          <w:color w:val="000000"/>
        </w:rPr>
        <w:t xml:space="preserve"> Research by Carroll, Fuhrer, and Wilcox (1994) demonstrated that consumer sentiment is a statistically significant predictor of future consumer spending, even after controlling for income and wealth.[cite:10]</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3" w:name="retail_sales_ex_auto_rsxfs"/>
      <w:r>
        <w:rPr>
          <w:rFonts w:eastAsia="georgia" w:cs="georgia" w:ascii="georgia" w:hAnsi="georgia"/>
          <w:b/>
          <w:color w:val="000000"/>
          <w:sz w:val="24"/>
        </w:rPr>
        <w:t xml:space="preserve">Retail Sales ex-Auto (RSXFS)</w:t>
      </w:r>
      <w:bookmarkEnd w:id="33"/>
    </w:p>
    <w:p>
      <w:pPr>
        <w:spacing w:line="360" w:after="210" w:lineRule="auto"/>
      </w:pPr>
      <w:r>
        <w:rPr>
          <w:rFonts w:eastAsia="georgia" w:cs="georgia" w:ascii="georgia" w:hAnsi="georgia"/>
          <w:b/>
          <w:color w:val="000000"/>
        </w:rPr>
        <w:t xml:space="preserve">What it is:</w:t>
      </w:r>
      <w:r>
        <w:rPr>
          <w:rFonts w:eastAsia="georgia" w:cs="georgia" w:ascii="georgia" w:hAnsi="georgia"/>
          <w:color w:val="000000"/>
        </w:rPr>
        <w:t xml:space="preserve"> Monthly retail sales excluding automobile purchases, expressed in billions of dollars (year-over-year percentage change on the dashboard). Excludes autos because they are infrequent, large purchases that distort the trend.</w:t>
      </w:r>
    </w:p>
    <w:p>
      <w:pPr>
        <w:spacing w:line="360" w:after="210" w:lineRule="auto"/>
      </w:pPr>
      <w:r>
        <w:rPr>
          <w:rFonts w:eastAsia="georgia" w:cs="georgia" w:ascii="georgia" w:hAnsi="georgia"/>
          <w:b/>
          <w:color w:val="000000"/>
        </w:rPr>
        <w:t xml:space="preserve">How to read it:</w:t>
      </w:r>
      <w:r>
        <w:rPr>
          <w:rFonts w:eastAsia="georgia" w:cs="georgia" w:ascii="georgia" w:hAnsi="georgia"/>
          <w:color w:val="000000"/>
        </w:rPr>
        <w:t xml:space="preserve"> Rising retail sales signal healthy consumer spending. A deceleration below 0% (year-over-year decline) warns of a consumption-led slowdown.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 w:name="real_disposable_income_dspic96"/>
      <w:r>
        <w:rPr>
          <w:rFonts w:eastAsia="georgia" w:cs="georgia" w:ascii="georgia" w:hAnsi="georgia"/>
          <w:b/>
          <w:color w:val="000000"/>
          <w:sz w:val="24"/>
        </w:rPr>
        <w:t xml:space="preserve">Real Disposable Income (DSPIC96)</w:t>
      </w:r>
      <w:bookmarkEnd w:id="34"/>
    </w:p>
    <w:p>
      <w:pPr>
        <w:spacing w:line="360" w:after="210" w:lineRule="auto"/>
      </w:pPr>
      <w:r>
        <w:rPr>
          <w:rFonts w:eastAsia="georgia" w:cs="georgia" w:ascii="georgia" w:hAnsi="georgia"/>
          <w:b/>
          <w:color w:val="000000"/>
        </w:rPr>
        <w:t xml:space="preserve">What it is:</w:t>
      </w:r>
      <w:r>
        <w:rPr>
          <w:rFonts w:eastAsia="georgia" w:cs="georgia" w:ascii="georgia" w:hAnsi="georgia"/>
          <w:color w:val="000000"/>
        </w:rPr>
        <w:t xml:space="preserve"> Personal income after taxes, adjusted for inflation. Expressed in billions of chained 2017 dollars. Year-over-year change shown.</w:t>
      </w:r>
    </w:p>
    <w:p>
      <w:pPr>
        <w:spacing w:line="360" w:after="210" w:lineRule="auto"/>
      </w:pPr>
      <w:r>
        <w:rPr>
          <w:rFonts w:eastAsia="georgia" w:cs="georgia" w:ascii="georgia" w:hAnsi="georgia"/>
          <w:b/>
          <w:color w:val="000000"/>
        </w:rPr>
        <w:t xml:space="preserve">Why it matters:</w:t>
      </w:r>
      <w:r>
        <w:rPr>
          <w:rFonts w:eastAsia="georgia" w:cs="georgia" w:ascii="georgia" w:hAnsi="georgia"/>
          <w:color w:val="000000"/>
        </w:rPr>
        <w:t xml:space="preserve"> Real disposable income is what households actually have left to spend. When incomes grow faster than inflation, purchasing power rises and consumer spending is sustainable. When real incomes are flat or falling, any spending growth is funded by savings drawdowns or debt — unsustainable.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5" w:name="personal_savings_rate_psavert"/>
      <w:r>
        <w:rPr>
          <w:rFonts w:eastAsia="georgia" w:cs="georgia" w:ascii="georgia" w:hAnsi="georgia"/>
          <w:b/>
          <w:color w:val="000000"/>
          <w:sz w:val="24"/>
        </w:rPr>
        <w:t xml:space="preserve">Personal Savings Rate (PSAVERT)</w:t>
      </w:r>
      <w:bookmarkEnd w:id="35"/>
    </w:p>
    <w:p>
      <w:pPr>
        <w:spacing w:line="360" w:after="210" w:lineRule="auto"/>
      </w:pPr>
      <w:r>
        <w:rPr>
          <w:rFonts w:eastAsia="georgia" w:cs="georgia" w:ascii="georgia" w:hAnsi="georgia"/>
          <w:b/>
          <w:color w:val="000000"/>
        </w:rPr>
        <w:t xml:space="preserve">What it is:</w:t>
      </w:r>
      <w:r>
        <w:rPr>
          <w:rFonts w:eastAsia="georgia" w:cs="georgia" w:ascii="georgia" w:hAnsi="georgia"/>
          <w:color w:val="000000"/>
        </w:rPr>
        <w:t xml:space="preserve"> The percentage of disposable income that households save rather than spend.</w:t>
      </w:r>
    </w:p>
    <w:p>
      <w:pPr>
        <w:spacing w:line="360" w:after="210" w:lineRule="auto"/>
      </w:pPr>
      <w:r>
        <w:rPr>
          <w:rFonts w:eastAsia="georgia" w:cs="georgia" w:ascii="georgia" w:hAnsi="georgia"/>
          <w:b/>
          <w:color w:val="000000"/>
        </w:rPr>
        <w:t xml:space="preserve">Dashboard thresholds:</w:t>
      </w:r>
    </w:p>
    <w:p>
      <w:pPr>
        <w:numPr>
          <w:ilvl w:val="0"/>
          <w:numId w:val="10"/>
        </w:numPr>
        <w:spacing w:line="360" w:before="105" w:after="105" w:lineRule="auto"/>
      </w:pPr>
      <w:r>
        <w:rPr>
          <w:rFonts w:eastAsia="georgia" w:cs="georgia" w:ascii="georgia" w:hAnsi="georgia"/>
          <w:b/>
          <w:color w:val="000000"/>
          <w:sz w:val="21"/>
        </w:rPr>
        <w:t xml:space="preserve">Above 8%</w:t>
      </w:r>
      <w:r>
        <w:rPr>
          <w:rFonts w:eastAsia="georgia" w:cs="georgia" w:ascii="georgia" w:hAnsi="georgia"/>
          <w:color w:val="000000"/>
          <w:sz w:val="21"/>
        </w:rPr>
        <w:t xml:space="preserve"> → Green (households building buffers)</w:t>
      </w:r>
    </w:p>
    <w:p>
      <w:pPr>
        <w:numPr>
          <w:ilvl w:val="0"/>
          <w:numId w:val="10"/>
        </w:numPr>
        <w:spacing w:line="360" w:before="105" w:after="105" w:lineRule="auto"/>
      </w:pPr>
      <w:r>
        <w:rPr>
          <w:rFonts w:eastAsia="georgia" w:cs="georgia" w:ascii="georgia" w:hAnsi="georgia"/>
          <w:b/>
          <w:color w:val="000000"/>
          <w:sz w:val="21"/>
        </w:rPr>
        <w:t xml:space="preserve">3–8%</w:t>
      </w:r>
      <w:r>
        <w:rPr>
          <w:rFonts w:eastAsia="georgia" w:cs="georgia" w:ascii="georgia" w:hAnsi="georgia"/>
          <w:color w:val="000000"/>
          <w:sz w:val="21"/>
        </w:rPr>
        <w:t xml:space="preserve"> → Yellow (normal range)</w:t>
      </w:r>
    </w:p>
    <w:p>
      <w:pPr>
        <w:numPr>
          <w:ilvl w:val="0"/>
          <w:numId w:val="10"/>
        </w:numPr>
        <w:spacing w:line="360" w:before="105" w:after="105" w:lineRule="auto"/>
      </w:pPr>
      <w:r>
        <w:rPr>
          <w:rFonts w:eastAsia="georgia" w:cs="georgia" w:ascii="georgia" w:hAnsi="georgia"/>
          <w:b/>
          <w:color w:val="000000"/>
          <w:sz w:val="21"/>
        </w:rPr>
        <w:t xml:space="preserve">Below 3%</w:t>
      </w:r>
      <w:r>
        <w:rPr>
          <w:rFonts w:eastAsia="georgia" w:cs="georgia" w:ascii="georgia" w:hAnsi="georgia"/>
          <w:color w:val="000000"/>
          <w:sz w:val="21"/>
        </w:rPr>
        <w:t xml:space="preserve"> → Red (households stretched; spending unsustainable)</w:t>
      </w:r>
    </w:p>
    <w:p>
      <w:pPr>
        <w:spacing w:line="360" w:after="210" w:lineRule="auto"/>
      </w:pPr>
      <w:r>
        <w:rPr>
          <w:rFonts w:eastAsia="georgia" w:cs="georgia" w:ascii="georgia" w:hAnsi="georgia"/>
          <w:b/>
          <w:color w:val="000000"/>
        </w:rPr>
        <w:t xml:space="preserve">Why it matters:</w:t>
      </w:r>
      <w:r>
        <w:rPr>
          <w:rFonts w:eastAsia="georgia" w:cs="georgia" w:ascii="georgia" w:hAnsi="georgia"/>
          <w:color w:val="000000"/>
        </w:rPr>
        <w:t xml:space="preserve"> A very low savings rate means households have little buffer against job loss or economic shock. It also implies that recent strong consumer spending may not be durable.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6" w:name="total_consumer_credit_totalsl"/>
      <w:r>
        <w:rPr>
          <w:rFonts w:eastAsia="georgia" w:cs="georgia" w:ascii="georgia" w:hAnsi="georgia"/>
          <w:b/>
          <w:color w:val="000000"/>
          <w:sz w:val="24"/>
        </w:rPr>
        <w:t xml:space="preserve">Total Consumer Credit (TOTALSL)</w:t>
      </w:r>
      <w:bookmarkEnd w:id="36"/>
    </w:p>
    <w:p>
      <w:pPr>
        <w:spacing w:line="360" w:after="210" w:lineRule="auto"/>
      </w:pPr>
      <w:r>
        <w:rPr>
          <w:rFonts w:eastAsia="georgia" w:cs="georgia" w:ascii="georgia" w:hAnsi="georgia"/>
          <w:b/>
          <w:color w:val="000000"/>
        </w:rPr>
        <w:t xml:space="preserve">What it is:</w:t>
      </w:r>
      <w:r>
        <w:rPr>
          <w:rFonts w:eastAsia="georgia" w:cs="georgia" w:ascii="georgia" w:hAnsi="georgia"/>
          <w:color w:val="000000"/>
        </w:rPr>
        <w:t xml:space="preserve"> Total outstanding consumer credit (auto loans, student loans, credit cards) in billions of dollars.</w:t>
      </w:r>
    </w:p>
    <w:p>
      <w:pPr>
        <w:spacing w:line="360" w:after="210" w:lineRule="auto"/>
      </w:pPr>
      <w:r>
        <w:rPr>
          <w:rFonts w:eastAsia="georgia" w:cs="georgia" w:ascii="georgia" w:hAnsi="georgia"/>
          <w:b/>
          <w:color w:val="000000"/>
        </w:rPr>
        <w:t xml:space="preserve">How to read it:</w:t>
      </w:r>
      <w:r>
        <w:rPr>
          <w:rFonts w:eastAsia="georgia" w:cs="georgia" w:ascii="georgia" w:hAnsi="georgia"/>
          <w:color w:val="000000"/>
        </w:rPr>
        <w:t xml:space="preserve"> Rapidly growing consumer credit signals either optimistic consumers borrowing to spend (bullish short-term, risky long-term) or distressed consumers borrowing to cover basic expenses (bearish). Context matters — compare with savings rate and real income.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7" w:name="section_7_housing_indicators"/>
      <w:r>
        <w:rPr>
          <w:rFonts w:eastAsia="georgia" w:cs="georgia" w:ascii="georgia" w:hAnsi="georgia"/>
          <w:b/>
          <w:color w:val="000000"/>
          <w:sz w:val="24"/>
        </w:rPr>
        <w:t xml:space="preserve">Section 7: Housing Indicators</w:t>
      </w:r>
      <w:bookmarkEnd w:id="37"/>
    </w:p>
    <w:p>
      <w:pPr>
        <w:spacing w:line="360" w:after="210" w:lineRule="auto"/>
      </w:pPr>
      <w:r>
        <w:rPr>
          <w:rFonts w:eastAsia="georgia" w:cs="georgia" w:ascii="georgia" w:hAnsi="georgia"/>
          <w:color w:val="000000"/>
        </w:rPr>
        <w:t xml:space="preserve">Housing is one of the most interest-rate-sensitive sectors of the economy and a leading indicator of economic cycles.</w:t>
      </w:r>
    </w:p>
    <w:p>
      <w:pPr>
        <w:spacing w:line="360" w:before="315" w:after="105" w:lineRule="auto"/>
        <w:ind w:left="-30"/>
        <w:jc w:val="left"/>
      </w:pPr>
      <w:bookmarkStart w:id="38" w:name="bm_30_year_15_year_mortgage_rates_ed2549"/>
      <w:r>
        <w:rPr>
          <w:rFonts w:eastAsia="georgia" w:cs="georgia" w:ascii="georgia" w:hAnsi="georgia"/>
          <w:b/>
          <w:color w:val="000000"/>
          <w:sz w:val="24"/>
        </w:rPr>
        <w:t xml:space="preserve">30-Year &amp; 15-Year Mortgage Rates (MORTGAGE30US / MORTGAGE15US)</w:t>
      </w:r>
      <w:bookmarkEnd w:id="38"/>
    </w:p>
    <w:p>
      <w:pPr>
        <w:spacing w:line="360" w:after="210" w:lineRule="auto"/>
      </w:pPr>
      <w:r>
        <w:rPr>
          <w:rFonts w:eastAsia="georgia" w:cs="georgia" w:ascii="georgia" w:hAnsi="georgia"/>
          <w:b/>
          <w:color w:val="000000"/>
        </w:rPr>
        <w:t xml:space="preserve">What they are:</w:t>
      </w:r>
      <w:r>
        <w:rPr>
          <w:rFonts w:eastAsia="georgia" w:cs="georgia" w:ascii="georgia" w:hAnsi="georgia"/>
          <w:color w:val="000000"/>
        </w:rPr>
        <w:t xml:space="preserve"> The average rates on 30-year and 15-year fixed-rate home loans, published weekly by Freddie Mac.</w:t>
      </w:r>
    </w:p>
    <w:p>
      <w:pPr>
        <w:spacing w:line="360" w:after="210" w:lineRule="auto"/>
      </w:pPr>
      <w:r>
        <w:rPr>
          <w:rFonts w:eastAsia="georgia" w:cs="georgia" w:ascii="georgia" w:hAnsi="georgia"/>
          <w:b/>
          <w:color w:val="000000"/>
        </w:rPr>
        <w:t xml:space="preserve">Dashboard thresholds (30-year):</w:t>
      </w:r>
    </w:p>
    <w:p>
      <w:pPr>
        <w:numPr>
          <w:ilvl w:val="0"/>
          <w:numId w:val="11"/>
        </w:numPr>
        <w:spacing w:line="360" w:before="105" w:after="105" w:lineRule="auto"/>
      </w:pPr>
      <w:r>
        <w:rPr>
          <w:rFonts w:eastAsia="georgia" w:cs="georgia" w:ascii="georgia" w:hAnsi="georgia"/>
          <w:b/>
          <w:color w:val="000000"/>
          <w:sz w:val="21"/>
        </w:rPr>
        <w:t xml:space="preserve">Below 6%</w:t>
      </w:r>
      <w:r>
        <w:rPr>
          <w:rFonts w:eastAsia="georgia" w:cs="georgia" w:ascii="georgia" w:hAnsi="georgia"/>
          <w:color w:val="000000"/>
          <w:sz w:val="21"/>
        </w:rPr>
        <w:t xml:space="preserve"> → Green (affordable)</w:t>
      </w:r>
    </w:p>
    <w:p>
      <w:pPr>
        <w:numPr>
          <w:ilvl w:val="0"/>
          <w:numId w:val="11"/>
        </w:numPr>
        <w:spacing w:line="360" w:before="105" w:after="105" w:lineRule="auto"/>
      </w:pPr>
      <w:r>
        <w:rPr>
          <w:rFonts w:eastAsia="georgia" w:cs="georgia" w:ascii="georgia" w:hAnsi="georgia"/>
          <w:b/>
          <w:color w:val="000000"/>
          <w:sz w:val="21"/>
        </w:rPr>
        <w:t xml:space="preserve">6–7%</w:t>
      </w:r>
      <w:r>
        <w:rPr>
          <w:rFonts w:eastAsia="georgia" w:cs="georgia" w:ascii="georgia" w:hAnsi="georgia"/>
          <w:color w:val="000000"/>
          <w:sz w:val="21"/>
        </w:rPr>
        <w:t xml:space="preserve"> → Yellow (affordability stressed)</w:t>
      </w:r>
    </w:p>
    <w:p>
      <w:pPr>
        <w:numPr>
          <w:ilvl w:val="0"/>
          <w:numId w:val="11"/>
        </w:numPr>
        <w:spacing w:line="360" w:before="105" w:after="105" w:lineRule="auto"/>
      </w:pPr>
      <w:r>
        <w:rPr>
          <w:rFonts w:eastAsia="georgia" w:cs="georgia" w:ascii="georgia" w:hAnsi="georgia"/>
          <w:b/>
          <w:color w:val="000000"/>
          <w:sz w:val="21"/>
        </w:rPr>
        <w:t xml:space="preserve">Above 7.5%</w:t>
      </w:r>
      <w:r>
        <w:rPr>
          <w:rFonts w:eastAsia="georgia" w:cs="georgia" w:ascii="georgia" w:hAnsi="georgia"/>
          <w:color w:val="000000"/>
          <w:sz w:val="21"/>
        </w:rPr>
        <w:t xml:space="preserve"> → Red (affordability severely constrained)</w:t>
      </w:r>
    </w:p>
    <w:p>
      <w:pPr>
        <w:spacing w:line="360" w:after="210" w:lineRule="auto"/>
      </w:pPr>
      <w:r>
        <w:rPr>
          <w:rFonts w:eastAsia="georgia" w:cs="georgia" w:ascii="georgia" w:hAnsi="georgia"/>
          <w:b/>
          <w:color w:val="000000"/>
        </w:rPr>
        <w:t xml:space="preserve">Why they matter:</w:t>
      </w:r>
      <w:r>
        <w:rPr>
          <w:rFonts w:eastAsia="georgia" w:cs="georgia" w:ascii="georgia" w:hAnsi="georgia"/>
          <w:color w:val="000000"/>
        </w:rPr>
        <w:t xml:space="preserve"> When mortgage rates rise sharply, monthly payments increase dramatically, pricing many buyers out of the market. Research by Case and Shiller (2003) linked mortgage rate increases to housing price deceleration and economic slowing with a 6–12 month lag.[cite:14]</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9" w:name="housing_starts_houst_building_per_b0ed5c"/>
      <w:r>
        <w:rPr>
          <w:rFonts w:eastAsia="georgia" w:cs="georgia" w:ascii="georgia" w:hAnsi="georgia"/>
          <w:b/>
          <w:color w:val="000000"/>
          <w:sz w:val="24"/>
        </w:rPr>
        <w:t xml:space="preserve">Housing Starts (HOUST) &amp; Building Permits (PERMIT)</w:t>
      </w:r>
      <w:bookmarkEnd w:id="39"/>
    </w:p>
    <w:p>
      <w:pPr>
        <w:spacing w:line="360" w:after="210" w:lineRule="auto"/>
      </w:pPr>
      <w:r>
        <w:rPr>
          <w:rFonts w:eastAsia="georgia" w:cs="georgia" w:ascii="georgia" w:hAnsi="georgia"/>
          <w:b/>
          <w:color w:val="000000"/>
        </w:rPr>
        <w:t xml:space="preserve">What they are:</w:t>
      </w:r>
      <w:r>
        <w:rPr>
          <w:rFonts w:eastAsia="georgia" w:cs="georgia" w:ascii="georgia" w:hAnsi="georgia"/>
          <w:color w:val="000000"/>
        </w:rPr>
        <w:t xml:space="preserve"> Housing starts = number of new residential construction projects begun in a month. Building permits = number of authorised future construction units. Both measured in thousands.</w:t>
      </w:r>
    </w:p>
    <w:p>
      <w:pPr>
        <w:spacing w:line="360" w:after="210" w:lineRule="auto"/>
      </w:pPr>
      <w:r>
        <w:rPr>
          <w:rFonts w:eastAsia="georgia" w:cs="georgia" w:ascii="georgia" w:hAnsi="georgia"/>
          <w:b/>
          <w:color w:val="000000"/>
        </w:rPr>
        <w:t xml:space="preserve">How to read them:</w:t>
      </w:r>
      <w:r>
        <w:rPr>
          <w:rFonts w:eastAsia="georgia" w:cs="georgia" w:ascii="georgia" w:hAnsi="georgia"/>
          <w:color w:val="000000"/>
        </w:rPr>
        <w:t xml:space="preserve"> Housing starts lead economic activity by 6–9 months. A sharp drop in permits (which lead starts by 1–2 months) can signal an impending construction slowdown and related job losses.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0" w:name="median_home_price_mspus"/>
      <w:r>
        <w:rPr>
          <w:rFonts w:eastAsia="georgia" w:cs="georgia" w:ascii="georgia" w:hAnsi="georgia"/>
          <w:b/>
          <w:color w:val="000000"/>
          <w:sz w:val="24"/>
        </w:rPr>
        <w:t xml:space="preserve">Median Home Price (MSPUS)</w:t>
      </w:r>
      <w:bookmarkEnd w:id="40"/>
    </w:p>
    <w:p>
      <w:pPr>
        <w:spacing w:line="360" w:after="210" w:lineRule="auto"/>
      </w:pPr>
      <w:r>
        <w:rPr>
          <w:rFonts w:eastAsia="georgia" w:cs="georgia" w:ascii="georgia" w:hAnsi="georgia"/>
          <w:b/>
          <w:color w:val="000000"/>
        </w:rPr>
        <w:t xml:space="preserve">What it is:</w:t>
      </w:r>
      <w:r>
        <w:rPr>
          <w:rFonts w:eastAsia="georgia" w:cs="georgia" w:ascii="georgia" w:hAnsi="georgia"/>
          <w:color w:val="000000"/>
        </w:rPr>
        <w:t xml:space="preserve"> The median sale price of all existing and new homes sold in the US, in dollars.</w:t>
      </w:r>
    </w:p>
    <w:p>
      <w:pPr>
        <w:spacing w:line="360" w:after="210" w:lineRule="auto"/>
      </w:pPr>
      <w:r>
        <w:rPr>
          <w:rFonts w:eastAsia="georgia" w:cs="georgia" w:ascii="georgia" w:hAnsi="georgia"/>
          <w:b/>
          <w:color w:val="000000"/>
        </w:rPr>
        <w:t xml:space="preserve">How to read it:</w:t>
      </w:r>
      <w:r>
        <w:rPr>
          <w:rFonts w:eastAsia="georgia" w:cs="georgia" w:ascii="georgia" w:hAnsi="georgia"/>
          <w:color w:val="000000"/>
        </w:rPr>
        <w:t xml:space="preserve"> Nominal home price appreciation above 5–6% annually tends to signal a potential housing bubble, especially when paired with high mortgage rates (indicating prices are not driven by affordability but by speculation or supply constraints).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1" w:name="case_shiller_home_price_index_yoy_eaf8ea"/>
      <w:r>
        <w:rPr>
          <w:rFonts w:eastAsia="georgia" w:cs="georgia" w:ascii="georgia" w:hAnsi="georgia"/>
          <w:b/>
          <w:color w:val="000000"/>
          <w:sz w:val="24"/>
        </w:rPr>
        <w:t xml:space="preserve">Case-Shiller Home Price Index YoY (CSUSHPINSA)</w:t>
      </w:r>
      <w:bookmarkEnd w:id="41"/>
    </w:p>
    <w:p>
      <w:pPr>
        <w:spacing w:line="360" w:after="210" w:lineRule="auto"/>
      </w:pPr>
      <w:r>
        <w:rPr>
          <w:rFonts w:eastAsia="georgia" w:cs="georgia" w:ascii="georgia" w:hAnsi="georgia"/>
          <w:b/>
          <w:color w:val="000000"/>
        </w:rPr>
        <w:t xml:space="preserve">What it is:</w:t>
      </w:r>
      <w:r>
        <w:rPr>
          <w:rFonts w:eastAsia="georgia" w:cs="georgia" w:ascii="georgia" w:hAnsi="georgia"/>
          <w:color w:val="000000"/>
        </w:rPr>
        <w:t xml:space="preserve"> A repeat-sales index measuring year-over-year price changes for existing single-family homes across 20 major cities, published by S&amp;P.</w:t>
      </w:r>
    </w:p>
    <w:p>
      <w:pPr>
        <w:spacing w:line="360" w:after="210" w:lineRule="auto"/>
      </w:pPr>
      <w:r>
        <w:rPr>
          <w:rFonts w:eastAsia="georgia" w:cs="georgia" w:ascii="georgia" w:hAnsi="georgia"/>
          <w:b/>
          <w:color w:val="000000"/>
        </w:rPr>
        <w:t xml:space="preserve">Dashboard range:</w:t>
      </w:r>
      <w:r>
        <w:rPr>
          <w:rFonts w:eastAsia="georgia" w:cs="georgia" w:ascii="georgia" w:hAnsi="georgia"/>
          <w:color w:val="000000"/>
        </w:rPr>
        <w:t xml:space="preserve"> –15% to +25%. During 2021–2022 this index ran above 20%, historically unprecedented outside of the pre-2008 bubble. Negative readings (home prices falling) were last seen broadly in 2008–2011.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2" w:name="section_8_markets_sentiment_indicators"/>
      <w:r>
        <w:rPr>
          <w:rFonts w:eastAsia="georgia" w:cs="georgia" w:ascii="georgia" w:hAnsi="georgia"/>
          <w:b/>
          <w:color w:val="000000"/>
          <w:sz w:val="24"/>
        </w:rPr>
        <w:t xml:space="preserve">Section 8: Markets &amp; Sentiment Indicators</w:t>
      </w:r>
      <w:bookmarkEnd w:id="42"/>
    </w:p>
    <w:p>
      <w:pPr>
        <w:spacing w:line="360" w:after="210" w:lineRule="auto"/>
      </w:pPr>
      <w:r>
        <w:rPr>
          <w:rFonts w:eastAsia="georgia" w:cs="georgia" w:ascii="georgia" w:hAnsi="georgia"/>
          <w:color w:val="000000"/>
        </w:rPr>
        <w:t xml:space="preserve">These indicators measure the health and psychology of financial markets — crucial for understanding whether market prices are grounded in fundamentals or driven by fear and greed.</w:t>
      </w:r>
    </w:p>
    <w:p>
      <w:pPr>
        <w:spacing w:line="360" w:before="315" w:after="105" w:lineRule="auto"/>
        <w:ind w:left="-30"/>
        <w:jc w:val="left"/>
      </w:pPr>
      <w:bookmarkStart w:id="43" w:name="the_yield_curve_treasury_section"/>
      <w:r>
        <w:rPr>
          <w:rFonts w:eastAsia="georgia" w:cs="georgia" w:ascii="georgia" w:hAnsi="georgia"/>
          <w:b/>
          <w:color w:val="000000"/>
          <w:sz w:val="24"/>
        </w:rPr>
        <w:t xml:space="preserve">The Yield Curve (Treasury Section)</w:t>
      </w:r>
      <w:bookmarkEnd w:id="43"/>
    </w:p>
    <w:p>
      <w:pPr>
        <w:spacing w:line="360" w:after="210" w:lineRule="auto"/>
      </w:pPr>
      <w:r>
        <w:rPr>
          <w:rFonts w:eastAsia="georgia" w:cs="georgia" w:ascii="georgia" w:hAnsi="georgia"/>
          <w:b/>
          <w:color w:val="000000"/>
        </w:rPr>
        <w:t xml:space="preserve">What it is:</w:t>
      </w:r>
      <w:r>
        <w:rPr>
          <w:rFonts w:eastAsia="georgia" w:cs="georgia" w:ascii="georgia" w:hAnsi="georgia"/>
          <w:color w:val="000000"/>
        </w:rPr>
        <w:t xml:space="preserve"> The dashboard displays the entire US Treasury yield curve, plotting yields from 1-month to 30-year maturities. Bars are colour-coded: </w:t>
      </w:r>
      <w:r>
        <w:rPr>
          <w:rFonts w:eastAsia="georgia" w:cs="georgia" w:ascii="georgia" w:hAnsi="georgia"/>
          <w:b/>
          <w:color w:val="000000"/>
        </w:rPr>
        <w:t xml:space="preserve">blue = normal (upward sloping)</w:t>
      </w:r>
      <w:r>
        <w:rPr>
          <w:rFonts w:eastAsia="georgia" w:cs="georgia" w:ascii="georgia" w:hAnsi="georgia"/>
          <w:color w:val="000000"/>
        </w:rPr>
        <w:t xml:space="preserve">, </w:t>
      </w:r>
      <w:r>
        <w:rPr>
          <w:rFonts w:eastAsia="georgia" w:cs="georgia" w:ascii="georgia" w:hAnsi="georgia"/>
          <w:b/>
          <w:color w:val="000000"/>
        </w:rPr>
        <w:t xml:space="preserve">red = inverted</w:t>
      </w:r>
      <w:r>
        <w:rPr>
          <w:rFonts w:eastAsia="georgia" w:cs="georgia" w:ascii="georgia" w:hAnsi="georgia"/>
          <w:color w:val="000000"/>
        </w:rPr>
        <w:t xml:space="preserve">.</w:t>
      </w:r>
    </w:p>
    <w:p>
      <w:pPr>
        <w:spacing w:line="360" w:after="210" w:lineRule="auto"/>
      </w:pPr>
      <w:r>
        <w:rPr>
          <w:rFonts w:eastAsia="georgia" w:cs="georgia" w:ascii="georgia" w:hAnsi="georgia"/>
          <w:b/>
          <w:color w:val="000000"/>
        </w:rPr>
        <w:t xml:space="preserve">The 2Y–10Y Spread:</w:t>
      </w:r>
    </w:p>
    <w:p>
      <w:pPr>
        <w:numPr>
          <w:ilvl w:val="0"/>
          <w:numId w:val="12"/>
        </w:numPr>
        <w:spacing w:line="360" w:before="105" w:after="105" w:lineRule="auto"/>
      </w:pPr>
      <w:r>
        <w:rPr>
          <w:rFonts w:eastAsia="georgia" w:cs="georgia" w:ascii="georgia" w:hAnsi="georgia"/>
          <w:b/>
          <w:color w:val="000000"/>
          <w:sz w:val="21"/>
        </w:rPr>
        <w:t xml:space="preserve">Positive (normal)</w:t>
      </w:r>
      <w:r>
        <w:rPr>
          <w:rFonts w:eastAsia="georgia" w:cs="georgia" w:ascii="georgia" w:hAnsi="georgia"/>
          <w:color w:val="000000"/>
          <w:sz w:val="21"/>
        </w:rPr>
        <w:t xml:space="preserve"> → Investors expect future growth; longer-term rates are higher</w:t>
      </w:r>
    </w:p>
    <w:p>
      <w:pPr>
        <w:numPr>
          <w:ilvl w:val="0"/>
          <w:numId w:val="12"/>
        </w:numPr>
        <w:spacing w:line="360" w:before="105" w:after="105" w:lineRule="auto"/>
      </w:pPr>
      <w:r>
        <w:rPr>
          <w:rFonts w:eastAsia="georgia" w:cs="georgia" w:ascii="georgia" w:hAnsi="georgia"/>
          <w:b/>
          <w:color w:val="000000"/>
          <w:sz w:val="21"/>
        </w:rPr>
        <w:t xml:space="preserve">Negative (inverted)</w:t>
      </w:r>
      <w:r>
        <w:rPr>
          <w:rFonts w:eastAsia="georgia" w:cs="georgia" w:ascii="georgia" w:hAnsi="georgia"/>
          <w:color w:val="000000"/>
          <w:sz w:val="21"/>
        </w:rPr>
        <w:t xml:space="preserve"> → Short-term rates exceed long-term rates; typically signals recession concern</w:t>
      </w:r>
    </w:p>
    <w:p>
      <w:pPr>
        <w:spacing w:line="360" w:after="210" w:lineRule="auto"/>
      </w:pPr>
      <w:r>
        <w:rPr>
          <w:rFonts w:eastAsia="georgia" w:cs="georgia" w:ascii="georgia" w:hAnsi="georgia"/>
          <w:b/>
          <w:color w:val="000000"/>
        </w:rPr>
        <w:t xml:space="preserve">Academic backing:</w:t>
      </w:r>
      <w:r>
        <w:rPr>
          <w:rFonts w:eastAsia="georgia" w:cs="georgia" w:ascii="georgia" w:hAnsi="georgia"/>
          <w:color w:val="000000"/>
        </w:rPr>
        <w:t xml:space="preserve"> Estrella and Mishkin (1998) demonstrated that the 2Y–10Y Treasury spread is one of the most reliable recession predictors, with inversions preceding every US recession since World War II, typically by 12–18 months.[cite:8][cite:14] The Fed of Chicago (2018) similarly confirmed that yield-curve slope becomes negative before each recession since the 1970s.[cite:11]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4" w:name="vix_volatility_index"/>
      <w:r>
        <w:rPr>
          <w:rFonts w:eastAsia="georgia" w:cs="georgia" w:ascii="georgia" w:hAnsi="georgia"/>
          <w:b/>
          <w:color w:val="000000"/>
          <w:sz w:val="24"/>
        </w:rPr>
        <w:t xml:space="preserve">VIX — Volatility Index</w:t>
      </w:r>
      <w:bookmarkEnd w:id="44"/>
    </w:p>
    <w:p>
      <w:pPr>
        <w:spacing w:line="360" w:after="210" w:lineRule="auto"/>
      </w:pPr>
      <w:r>
        <w:rPr>
          <w:rFonts w:eastAsia="georgia" w:cs="georgia" w:ascii="georgia" w:hAnsi="georgia"/>
          <w:b/>
          <w:color w:val="000000"/>
        </w:rPr>
        <w:t xml:space="preserve">What it is:</w:t>
      </w:r>
      <w:r>
        <w:rPr>
          <w:rFonts w:eastAsia="georgia" w:cs="georgia" w:ascii="georgia" w:hAnsi="georgia"/>
          <w:color w:val="000000"/>
        </w:rPr>
        <w:t xml:space="preserve"> The CBOE Volatility Index measures the market's expectation of 30-day volatility in the S&amp;P 500, derived from options prices. Often called the "fear gauge."</w:t>
      </w:r>
    </w:p>
    <w:p>
      <w:pPr>
        <w:spacing w:line="360" w:after="210" w:lineRule="auto"/>
      </w:pPr>
      <w:r>
        <w:rPr>
          <w:rFonts w:eastAsia="georgia" w:cs="georgia" w:ascii="georgia" w:hAnsi="georgia"/>
          <w:b/>
          <w:color w:val="000000"/>
        </w:rPr>
        <w:t xml:space="preserve">Reading levels: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VIX Level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Interpretation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Below 15</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Calm; low fear; risk-on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15–20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Normal market volatility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20–30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Elevated uncertainty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Above 30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Fear; potential market dislocation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Above 40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Crisis/panic conditions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5" w:name="vix_term_structure_vix9d_vix_vix3_b9f771"/>
      <w:r>
        <w:rPr>
          <w:rFonts w:eastAsia="georgia" w:cs="georgia" w:ascii="georgia" w:hAnsi="georgia"/>
          <w:b/>
          <w:color w:val="000000"/>
          <w:sz w:val="24"/>
        </w:rPr>
        <w:t xml:space="preserve">VIX Term Structure (VIX9D, VIX, VIX3M, VIX6M, VIX1Y)</w:t>
      </w:r>
      <w:bookmarkEnd w:id="45"/>
    </w:p>
    <w:p>
      <w:pPr>
        <w:spacing w:line="360" w:after="210" w:lineRule="auto"/>
      </w:pPr>
      <w:r>
        <w:rPr>
          <w:rFonts w:eastAsia="georgia" w:cs="georgia" w:ascii="georgia" w:hAnsi="georgia"/>
          <w:b/>
          <w:color w:val="000000"/>
        </w:rPr>
        <w:t xml:space="preserve">What it is:</w:t>
      </w:r>
      <w:r>
        <w:rPr>
          <w:rFonts w:eastAsia="georgia" w:cs="georgia" w:ascii="georgia" w:hAnsi="georgia"/>
          <w:color w:val="000000"/>
        </w:rPr>
        <w:t xml:space="preserve"> VIX measured at multiple time horizons. Normally, longer-dated VIX futures trade at a premium ("contango") — investors pay more for long-dated protection. When near-term VIX exceeds longer-dated VIX, the curve is "inverted" (</w:t>
      </w:r>
      <w:r>
        <w:rPr>
          <w:rFonts w:eastAsia="georgia" w:cs="georgia" w:ascii="georgia" w:hAnsi="georgia"/>
          <w:b/>
          <w:color w:val="000000"/>
        </w:rPr>
        <w:t xml:space="preserve">backwardation</w:t>
      </w:r>
      <w:r>
        <w:rPr>
          <w:rFonts w:eastAsia="georgia" w:cs="georgia" w:ascii="georgia" w:hAnsi="georgia"/>
          <w:color w:val="000000"/>
        </w:rPr>
        <w:t xml:space="preserve">).</w:t>
      </w:r>
    </w:p>
    <w:p>
      <w:pPr>
        <w:spacing w:line="360" w:after="210" w:lineRule="auto"/>
      </w:pPr>
      <w:r>
        <w:rPr>
          <w:rFonts w:eastAsia="georgia" w:cs="georgia" w:ascii="georgia" w:hAnsi="georgia"/>
          <w:b/>
          <w:color w:val="000000"/>
        </w:rPr>
        <w:t xml:space="preserve">Backwardation warning:</w:t>
      </w:r>
      <w:r>
        <w:rPr>
          <w:rFonts w:eastAsia="georgia" w:cs="georgia" w:ascii="georgia" w:hAnsi="georgia"/>
          <w:color w:val="000000"/>
        </w:rPr>
        <w:t xml:space="preserve"> VIX backwardation means traders are paying more for immediate protection than for future protection — they believe a shock is </w:t>
      </w:r>
      <w:r>
        <w:rPr>
          <w:rFonts w:eastAsia="georgia" w:cs="georgia" w:ascii="georgia" w:hAnsi="georgia"/>
          <w:i/>
          <w:color w:val="000000"/>
        </w:rPr>
        <w:t xml:space="preserve">imminent</w:t>
      </w:r>
      <w:r>
        <w:rPr>
          <w:rFonts w:eastAsia="georgia" w:cs="georgia" w:ascii="georgia" w:hAnsi="georgia"/>
          <w:color w:val="000000"/>
        </w:rPr>
        <w:t xml:space="preserve">. The dashboard flags this with a red alert. Historically, VIX backwardation has preceded sharp short-term drawdowns.[cite:8]</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6" w:name="fear_greed_index_cnn"/>
      <w:r>
        <w:rPr>
          <w:rFonts w:eastAsia="georgia" w:cs="georgia" w:ascii="georgia" w:hAnsi="georgia"/>
          <w:b/>
          <w:color w:val="000000"/>
          <w:sz w:val="24"/>
        </w:rPr>
        <w:t xml:space="preserve">Fear &amp; Greed Index (CNN)</w:t>
      </w:r>
      <w:bookmarkEnd w:id="46"/>
    </w:p>
    <w:p>
      <w:pPr>
        <w:spacing w:line="360" w:after="210" w:lineRule="auto"/>
      </w:pPr>
      <w:r>
        <w:rPr>
          <w:rFonts w:eastAsia="georgia" w:cs="georgia" w:ascii="georgia" w:hAnsi="georgia"/>
          <w:b/>
          <w:color w:val="000000"/>
        </w:rPr>
        <w:t xml:space="preserve">What it is:</w:t>
      </w:r>
      <w:r>
        <w:rPr>
          <w:rFonts w:eastAsia="georgia" w:cs="georgia" w:ascii="georgia" w:hAnsi="georgia"/>
          <w:color w:val="000000"/>
        </w:rPr>
        <w:t xml:space="preserve"> CNN's composite sentiment index, built from seven market-based signals (stock momentum, safe-haven demand, put/call ratio, market breadth, junk bond demand, market volatility, and stock price strength). Scale: 0 (Extreme Fear) to 100 (Extreme Greed).</w:t>
      </w:r>
    </w:p>
    <w:p>
      <w:pPr>
        <w:spacing w:line="360" w:after="210" w:lineRule="auto"/>
      </w:pPr>
      <w:r>
        <w:rPr>
          <w:rFonts w:eastAsia="georgia" w:cs="georgia" w:ascii="georgia" w:hAnsi="georgia"/>
          <w:b/>
          <w:color w:val="000000"/>
        </w:rPr>
        <w:t xml:space="preserve">Contrarian interpretation:</w:t>
      </w:r>
    </w:p>
    <w:p>
      <w:pPr>
        <w:numPr>
          <w:ilvl w:val="0"/>
          <w:numId w:val="13"/>
        </w:numPr>
        <w:spacing w:line="360" w:before="105" w:after="105" w:lineRule="auto"/>
      </w:pPr>
      <w:r>
        <w:rPr>
          <w:rFonts w:eastAsia="georgia" w:cs="georgia" w:ascii="georgia" w:hAnsi="georgia"/>
          <w:b/>
          <w:color w:val="000000"/>
          <w:sz w:val="21"/>
        </w:rPr>
        <w:t xml:space="preserve">Below 25 (Extreme Fear)</w:t>
      </w:r>
      <w:r>
        <w:rPr>
          <w:rFonts w:eastAsia="georgia" w:cs="georgia" w:ascii="georgia" w:hAnsi="georgia"/>
          <w:color w:val="000000"/>
          <w:sz w:val="21"/>
        </w:rPr>
        <w:t xml:space="preserve"> → Historically a buying opportunity; market oversold</w:t>
      </w:r>
    </w:p>
    <w:p>
      <w:pPr>
        <w:numPr>
          <w:ilvl w:val="0"/>
          <w:numId w:val="13"/>
        </w:numPr>
        <w:spacing w:line="360" w:before="105" w:after="105" w:lineRule="auto"/>
      </w:pPr>
      <w:r>
        <w:rPr>
          <w:rFonts w:eastAsia="georgia" w:cs="georgia" w:ascii="georgia" w:hAnsi="georgia"/>
          <w:b/>
          <w:color w:val="000000"/>
          <w:sz w:val="21"/>
        </w:rPr>
        <w:t xml:space="preserve">Above 75 (Extreme Greed)</w:t>
      </w:r>
      <w:r>
        <w:rPr>
          <w:rFonts w:eastAsia="georgia" w:cs="georgia" w:ascii="georgia" w:hAnsi="georgia"/>
          <w:color w:val="000000"/>
          <w:sz w:val="21"/>
        </w:rPr>
        <w:t xml:space="preserve"> → Historically a warning; market may be due for correction</w:t>
      </w:r>
    </w:p>
    <w:p>
      <w:pPr>
        <w:numPr>
          <w:ilvl w:val="0"/>
          <w:numId w:val="13"/>
        </w:numPr>
        <w:spacing w:line="360" w:before="105" w:after="105" w:lineRule="auto"/>
      </w:pPr>
      <w:r>
        <w:rPr>
          <w:rFonts w:eastAsia="georgia" w:cs="georgia" w:ascii="georgia" w:hAnsi="georgia"/>
          <w:b/>
          <w:color w:val="000000"/>
          <w:sz w:val="21"/>
        </w:rPr>
        <w:t xml:space="preserve">Around 50</w:t>
      </w:r>
      <w:r>
        <w:rPr>
          <w:rFonts w:eastAsia="georgia" w:cs="georgia" w:ascii="georgia" w:hAnsi="georgia"/>
          <w:color w:val="000000"/>
          <w:sz w:val="21"/>
        </w:rPr>
        <w:t xml:space="preserve"> → Neutral; no strong signal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7" w:name="naaim_exposure_index"/>
      <w:r>
        <w:rPr>
          <w:rFonts w:eastAsia="georgia" w:cs="georgia" w:ascii="georgia" w:hAnsi="georgia"/>
          <w:b/>
          <w:color w:val="000000"/>
          <w:sz w:val="24"/>
        </w:rPr>
        <w:t xml:space="preserve">NAAIM Exposure Index</w:t>
      </w:r>
      <w:bookmarkEnd w:id="47"/>
    </w:p>
    <w:p>
      <w:pPr>
        <w:spacing w:line="360" w:after="210" w:lineRule="auto"/>
      </w:pPr>
      <w:r>
        <w:rPr>
          <w:rFonts w:eastAsia="georgia" w:cs="georgia" w:ascii="georgia" w:hAnsi="georgia"/>
          <w:b/>
          <w:color w:val="000000"/>
        </w:rPr>
        <w:t xml:space="preserve">What it is:</w:t>
      </w:r>
      <w:r>
        <w:rPr>
          <w:rFonts w:eastAsia="georgia" w:cs="georgia" w:ascii="georgia" w:hAnsi="georgia"/>
          <w:color w:val="000000"/>
        </w:rPr>
        <w:t xml:space="preserve"> The National Association of Active Investment Managers survey of how much of their clients' money professional managers have allocated to US equities. Range: –200 (fully short) to +200 (leveraged long). 100 = fully invested.</w:t>
      </w:r>
    </w:p>
    <w:p>
      <w:pPr>
        <w:spacing w:line="360" w:after="210" w:lineRule="auto"/>
      </w:pPr>
      <w:r>
        <w:rPr>
          <w:rFonts w:eastAsia="georgia" w:cs="georgia" w:ascii="georgia" w:hAnsi="georgia"/>
          <w:b/>
          <w:color w:val="000000"/>
        </w:rPr>
        <w:t xml:space="preserve">How to read it:</w:t>
      </w:r>
    </w:p>
    <w:p>
      <w:pPr>
        <w:numPr>
          <w:ilvl w:val="0"/>
          <w:numId w:val="14"/>
        </w:numPr>
        <w:spacing w:line="360" w:before="105" w:after="105" w:lineRule="auto"/>
      </w:pPr>
      <w:r>
        <w:rPr>
          <w:rFonts w:eastAsia="georgia" w:cs="georgia" w:ascii="georgia" w:hAnsi="georgia"/>
          <w:b/>
          <w:color w:val="000000"/>
          <w:sz w:val="21"/>
        </w:rPr>
        <w:t xml:space="preserve">Above 80–100</w:t>
      </w:r>
      <w:r>
        <w:rPr>
          <w:rFonts w:eastAsia="georgia" w:cs="georgia" w:ascii="georgia" w:hAnsi="georgia"/>
          <w:color w:val="000000"/>
          <w:sz w:val="21"/>
        </w:rPr>
        <w:t xml:space="preserve"> → Managers heavily positioned; limited room to buy more; contrarian warning</w:t>
      </w:r>
    </w:p>
    <w:p>
      <w:pPr>
        <w:numPr>
          <w:ilvl w:val="0"/>
          <w:numId w:val="14"/>
        </w:numPr>
        <w:spacing w:line="360" w:before="105" w:after="105" w:lineRule="auto"/>
      </w:pPr>
      <w:r>
        <w:rPr>
          <w:rFonts w:eastAsia="georgia" w:cs="georgia" w:ascii="georgia" w:hAnsi="georgia"/>
          <w:b/>
          <w:color w:val="000000"/>
          <w:sz w:val="21"/>
        </w:rPr>
        <w:t xml:space="preserve">Below 25–30</w:t>
      </w:r>
      <w:r>
        <w:rPr>
          <w:rFonts w:eastAsia="georgia" w:cs="georgia" w:ascii="georgia" w:hAnsi="georgia"/>
          <w:color w:val="000000"/>
          <w:sz w:val="21"/>
        </w:rPr>
        <w:t xml:space="preserve"> → Managers defensively positioned; potential for re-entry buying; contrarian bullish signal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8" w:name="shiller_cape_ratio"/>
      <w:r>
        <w:rPr>
          <w:rFonts w:eastAsia="georgia" w:cs="georgia" w:ascii="georgia" w:hAnsi="georgia"/>
          <w:b/>
          <w:color w:val="000000"/>
          <w:sz w:val="24"/>
        </w:rPr>
        <w:t xml:space="preserve">Shiller CAPE Ratio</w:t>
      </w:r>
      <w:bookmarkEnd w:id="48"/>
    </w:p>
    <w:p>
      <w:pPr>
        <w:spacing w:line="360" w:after="210" w:lineRule="auto"/>
      </w:pPr>
      <w:r>
        <w:rPr>
          <w:rFonts w:eastAsia="georgia" w:cs="georgia" w:ascii="georgia" w:hAnsi="georgia"/>
          <w:b/>
          <w:color w:val="000000"/>
        </w:rPr>
        <w:t xml:space="preserve">What it is:</w:t>
      </w:r>
      <w:r>
        <w:rPr>
          <w:rFonts w:eastAsia="georgia" w:cs="georgia" w:ascii="georgia" w:hAnsi="georgia"/>
          <w:color w:val="000000"/>
        </w:rPr>
        <w:t xml:space="preserve"> The Cyclically Adjusted Price-to-Earnings ratio, developed by Nobel laureate Robert Shiller. It divides the current S&amp;P 500 price by the average of 10 years of inflation-adjusted earnings, smoothing out business-cycle volatility.</w:t>
      </w:r>
    </w:p>
    <w:p>
      <w:pPr>
        <w:spacing w:line="360" w:after="210" w:lineRule="auto"/>
      </w:pPr>
      <w:r>
        <w:rPr>
          <w:rFonts w:eastAsia="georgia" w:cs="georgia" w:ascii="georgia" w:hAnsi="georgia"/>
          <w:b/>
          <w:color w:val="000000"/>
        </w:rPr>
        <w:t xml:space="preserve">Dashboard thresholds:</w:t>
      </w:r>
    </w:p>
    <w:p>
      <w:pPr>
        <w:numPr>
          <w:ilvl w:val="0"/>
          <w:numId w:val="15"/>
        </w:numPr>
        <w:spacing w:line="360" w:before="105" w:after="105" w:lineRule="auto"/>
      </w:pPr>
      <w:r>
        <w:rPr>
          <w:rFonts w:eastAsia="georgia" w:cs="georgia" w:ascii="georgia" w:hAnsi="georgia"/>
          <w:b/>
          <w:color w:val="000000"/>
          <w:sz w:val="21"/>
        </w:rPr>
        <w:t xml:space="preserve">Below 20</w:t>
      </w:r>
      <w:r>
        <w:rPr>
          <w:rFonts w:eastAsia="georgia" w:cs="georgia" w:ascii="georgia" w:hAnsi="georgia"/>
          <w:color w:val="000000"/>
          <w:sz w:val="21"/>
        </w:rPr>
        <w:t xml:space="preserve"> → Green (undervalued; historically high future returns)</w:t>
      </w:r>
    </w:p>
    <w:p>
      <w:pPr>
        <w:numPr>
          <w:ilvl w:val="0"/>
          <w:numId w:val="15"/>
        </w:numPr>
        <w:spacing w:line="360" w:before="105" w:after="105" w:lineRule="auto"/>
      </w:pPr>
      <w:r>
        <w:rPr>
          <w:rFonts w:eastAsia="georgia" w:cs="georgia" w:ascii="georgia" w:hAnsi="georgia"/>
          <w:b/>
          <w:color w:val="000000"/>
          <w:sz w:val="21"/>
        </w:rPr>
        <w:t xml:space="preserve">20–28</w:t>
      </w:r>
      <w:r>
        <w:rPr>
          <w:rFonts w:eastAsia="georgia" w:cs="georgia" w:ascii="georgia" w:hAnsi="georgia"/>
          <w:color w:val="000000"/>
          <w:sz w:val="21"/>
        </w:rPr>
        <w:t xml:space="preserve"> → Yellow (fair value range; historical average ~16–17)</w:t>
      </w:r>
    </w:p>
    <w:p>
      <w:pPr>
        <w:numPr>
          <w:ilvl w:val="0"/>
          <w:numId w:val="15"/>
        </w:numPr>
        <w:spacing w:line="360" w:before="105" w:after="105" w:lineRule="auto"/>
      </w:pPr>
      <w:r>
        <w:rPr>
          <w:rFonts w:eastAsia="georgia" w:cs="georgia" w:ascii="georgia" w:hAnsi="georgia"/>
          <w:b/>
          <w:color w:val="000000"/>
          <w:sz w:val="21"/>
        </w:rPr>
        <w:t xml:space="preserve">28–35</w:t>
      </w:r>
      <w:r>
        <w:rPr>
          <w:rFonts w:eastAsia="georgia" w:cs="georgia" w:ascii="georgia" w:hAnsi="georgia"/>
          <w:color w:val="000000"/>
          <w:sz w:val="21"/>
        </w:rPr>
        <w:t xml:space="preserve"> → Orange (elevated; moderate future return headwind)</w:t>
      </w:r>
    </w:p>
    <w:p>
      <w:pPr>
        <w:numPr>
          <w:ilvl w:val="0"/>
          <w:numId w:val="15"/>
        </w:numPr>
        <w:spacing w:line="360" w:before="105" w:after="105" w:lineRule="auto"/>
      </w:pPr>
      <w:r>
        <w:rPr>
          <w:rFonts w:eastAsia="georgia" w:cs="georgia" w:ascii="georgia" w:hAnsi="georgia"/>
          <w:b/>
          <w:color w:val="000000"/>
          <w:sz w:val="21"/>
        </w:rPr>
        <w:t xml:space="preserve">Above 35</w:t>
      </w:r>
      <w:r>
        <w:rPr>
          <w:rFonts w:eastAsia="georgia" w:cs="georgia" w:ascii="georgia" w:hAnsi="georgia"/>
          <w:color w:val="000000"/>
          <w:sz w:val="21"/>
        </w:rPr>
        <w:t xml:space="preserve"> → Red (significantly overvalued by historical standards)</w:t>
      </w:r>
    </w:p>
    <w:p>
      <w:pPr>
        <w:spacing w:line="360" w:after="210" w:lineRule="auto"/>
      </w:pPr>
      <w:r>
        <w:rPr>
          <w:rFonts w:eastAsia="georgia" w:cs="georgia" w:ascii="georgia" w:hAnsi="georgia"/>
          <w:b/>
          <w:color w:val="000000"/>
        </w:rPr>
        <w:t xml:space="preserve">Academic backing:</w:t>
      </w:r>
      <w:r>
        <w:rPr>
          <w:rFonts w:eastAsia="georgia" w:cs="georgia" w:ascii="georgia" w:hAnsi="georgia"/>
          <w:color w:val="000000"/>
        </w:rPr>
        <w:t xml:space="preserve"> Robert Shiller demonstrated using 130+ years of data that CAPE is inversely correlated with future 10–20 year returns: the higher the CAPE at entry, the lower the subsequent decade of returns.[cite:9][cite:12][cite:15] An SSRN working paper confirmed that only CAPE and price-to-book reliably forecast long-run market returns, compared to simpler P/E ratios.[cite:12]</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9" w:name="aaii_investor_sentiment_bulls_neu_3b6a86"/>
      <w:r>
        <w:rPr>
          <w:rFonts w:eastAsia="georgia" w:cs="georgia" w:ascii="georgia" w:hAnsi="georgia"/>
          <w:b/>
          <w:color w:val="000000"/>
          <w:sz w:val="24"/>
        </w:rPr>
        <w:t xml:space="preserve">AAII Investor Sentiment (Bulls / Neutral / Bears)</w:t>
      </w:r>
      <w:bookmarkEnd w:id="49"/>
    </w:p>
    <w:p>
      <w:pPr>
        <w:spacing w:line="360" w:after="210" w:lineRule="auto"/>
      </w:pPr>
      <w:r>
        <w:rPr>
          <w:rFonts w:eastAsia="georgia" w:cs="georgia" w:ascii="georgia" w:hAnsi="georgia"/>
          <w:b/>
          <w:color w:val="000000"/>
        </w:rPr>
        <w:t xml:space="preserve">What it is:</w:t>
      </w:r>
      <w:r>
        <w:rPr>
          <w:rFonts w:eastAsia="georgia" w:cs="georgia" w:ascii="georgia" w:hAnsi="georgia"/>
          <w:color w:val="000000"/>
        </w:rPr>
        <w:t xml:space="preserve"> The American Association of Individual Investors weekly survey of how retail investors feel about the market over the next 6 months. Results are shown as three bars: Bulls, Neutral, Bears.</w:t>
      </w:r>
    </w:p>
    <w:p>
      <w:pPr>
        <w:spacing w:line="360" w:after="210" w:lineRule="auto"/>
      </w:pPr>
      <w:r>
        <w:rPr>
          <w:rFonts w:eastAsia="georgia" w:cs="georgia" w:ascii="georgia" w:hAnsi="georgia"/>
          <w:b/>
          <w:color w:val="000000"/>
        </w:rPr>
        <w:t xml:space="preserve">AAII Spread (Bull–Bear):</w:t>
      </w:r>
    </w:p>
    <w:p>
      <w:pPr>
        <w:numPr>
          <w:ilvl w:val="0"/>
          <w:numId w:val="16"/>
        </w:numPr>
        <w:spacing w:line="360" w:before="105" w:after="105" w:lineRule="auto"/>
      </w:pPr>
      <w:r>
        <w:rPr>
          <w:rFonts w:eastAsia="georgia" w:cs="georgia" w:ascii="georgia" w:hAnsi="georgia"/>
          <w:b/>
          <w:color w:val="000000"/>
          <w:sz w:val="21"/>
        </w:rPr>
        <w:t xml:space="preserve">Positive spread &gt; 20%</w:t>
      </w:r>
      <w:r>
        <w:rPr>
          <w:rFonts w:eastAsia="georgia" w:cs="georgia" w:ascii="georgia" w:hAnsi="georgia"/>
          <w:color w:val="000000"/>
          <w:sz w:val="21"/>
        </w:rPr>
        <w:t xml:space="preserve"> → More bulls than bears; potentially crowded; watch for reversal</w:t>
      </w:r>
    </w:p>
    <w:p>
      <w:pPr>
        <w:numPr>
          <w:ilvl w:val="0"/>
          <w:numId w:val="16"/>
        </w:numPr>
        <w:spacing w:line="360" w:before="105" w:after="105" w:lineRule="auto"/>
      </w:pPr>
      <w:r>
        <w:rPr>
          <w:rFonts w:eastAsia="georgia" w:cs="georgia" w:ascii="georgia" w:hAnsi="georgia"/>
          <w:b/>
          <w:color w:val="000000"/>
          <w:sz w:val="21"/>
        </w:rPr>
        <w:t xml:space="preserve">Negative spread &gt; –20%</w:t>
      </w:r>
      <w:r>
        <w:rPr>
          <w:rFonts w:eastAsia="georgia" w:cs="georgia" w:ascii="georgia" w:hAnsi="georgia"/>
          <w:color w:val="000000"/>
          <w:sz w:val="21"/>
        </w:rPr>
        <w:t xml:space="preserve"> → More bears; historically contrarian buy signal when extreme</w:t>
      </w:r>
    </w:p>
    <w:p>
      <w:pPr>
        <w:spacing w:line="360" w:after="210" w:lineRule="auto"/>
      </w:pPr>
      <w:r>
        <w:rPr>
          <w:rFonts w:eastAsia="georgia" w:cs="georgia" w:ascii="georgia" w:hAnsi="georgia"/>
          <w:b/>
          <w:color w:val="000000"/>
        </w:rPr>
        <w:t xml:space="preserve">Historical note:</w:t>
      </w:r>
      <w:r>
        <w:rPr>
          <w:rFonts w:eastAsia="georgia" w:cs="georgia" w:ascii="georgia" w:hAnsi="georgia"/>
          <w:color w:val="000000"/>
        </w:rPr>
        <w:t xml:space="preserve"> AAII sentiment extremes are often contrarian signals because retail investors tend to be most bearish at bottoms and most bullish near tops.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0" w:name="section_9_options_derivatives_signals"/>
      <w:r>
        <w:rPr>
          <w:rFonts w:eastAsia="georgia" w:cs="georgia" w:ascii="georgia" w:hAnsi="georgia"/>
          <w:b/>
          <w:color w:val="000000"/>
          <w:sz w:val="24"/>
        </w:rPr>
        <w:t xml:space="preserve">Section 9: Options &amp; Derivatives Signals</w:t>
      </w:r>
      <w:bookmarkEnd w:id="50"/>
    </w:p>
    <w:p>
      <w:pPr>
        <w:spacing w:line="360" w:after="210" w:lineRule="auto"/>
      </w:pPr>
      <w:r>
        <w:rPr>
          <w:rFonts w:eastAsia="georgia" w:cs="georgia" w:ascii="georgia" w:hAnsi="georgia"/>
          <w:color w:val="000000"/>
        </w:rPr>
        <w:t xml:space="preserve">Options markets reveal how institutional investors are hedging risk. These are advanced signals but the dashboard makes them accessible through colour-coded gauges.</w:t>
      </w:r>
    </w:p>
    <w:p>
      <w:pPr>
        <w:spacing w:line="360" w:before="315" w:after="105" w:lineRule="auto"/>
        <w:ind w:left="-30"/>
        <w:jc w:val="left"/>
      </w:pPr>
      <w:bookmarkStart w:id="51" w:name="put_call_ratio_pcr"/>
      <w:r>
        <w:rPr>
          <w:rFonts w:eastAsia="georgia" w:cs="georgia" w:ascii="georgia" w:hAnsi="georgia"/>
          <w:b/>
          <w:color w:val="000000"/>
          <w:sz w:val="24"/>
        </w:rPr>
        <w:t xml:space="preserve">Put/Call Ratio (PCR)</w:t>
      </w:r>
      <w:bookmarkEnd w:id="51"/>
    </w:p>
    <w:p>
      <w:pPr>
        <w:spacing w:line="360" w:after="210" w:lineRule="auto"/>
      </w:pPr>
      <w:r>
        <w:rPr>
          <w:rFonts w:eastAsia="georgia" w:cs="georgia" w:ascii="georgia" w:hAnsi="georgia"/>
          <w:b/>
          <w:color w:val="000000"/>
        </w:rPr>
        <w:t xml:space="preserve">What it is:</w:t>
      </w:r>
      <w:r>
        <w:rPr>
          <w:rFonts w:eastAsia="georgia" w:cs="georgia" w:ascii="georgia" w:hAnsi="georgia"/>
          <w:color w:val="000000"/>
        </w:rPr>
        <w:t xml:space="preserve"> The ratio of put options (bets that a stock will fall) to call options (bets it will rise) traded on US markets.</w:t>
      </w:r>
    </w:p>
    <w:p>
      <w:pPr>
        <w:spacing w:line="360" w:after="210" w:lineRule="auto"/>
      </w:pPr>
      <w:r>
        <w:rPr>
          <w:rFonts w:eastAsia="georgia" w:cs="georgia" w:ascii="georgia" w:hAnsi="georgia"/>
          <w:b/>
          <w:color w:val="000000"/>
        </w:rPr>
        <w:t xml:space="preserve">Reading the gauge: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PCR Level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Meaning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Below 0.8</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Calls dominate; bullish sentiment; may be over-optimistic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0.8–1.1</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Normal; balanced hedging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Above 1.1</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Puts dominate; fear rising; potential hedge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Above 1.5</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Extreme put buying; either panic or contrarian buy signal</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2" w:name="cboe_skew_index"/>
      <w:r>
        <w:rPr>
          <w:rFonts w:eastAsia="georgia" w:cs="georgia" w:ascii="georgia" w:hAnsi="georgia"/>
          <w:b/>
          <w:color w:val="000000"/>
          <w:sz w:val="24"/>
        </w:rPr>
        <w:t xml:space="preserve">CBOE SKEW Index</w:t>
      </w:r>
      <w:bookmarkEnd w:id="52"/>
    </w:p>
    <w:p>
      <w:pPr>
        <w:spacing w:line="360" w:after="210" w:lineRule="auto"/>
      </w:pPr>
      <w:r>
        <w:rPr>
          <w:rFonts w:eastAsia="georgia" w:cs="georgia" w:ascii="georgia" w:hAnsi="georgia"/>
          <w:b/>
          <w:color w:val="000000"/>
        </w:rPr>
        <w:t xml:space="preserve">What it is:</w:t>
      </w:r>
      <w:r>
        <w:rPr>
          <w:rFonts w:eastAsia="georgia" w:cs="georgia" w:ascii="georgia" w:hAnsi="georgia"/>
          <w:color w:val="000000"/>
        </w:rPr>
        <w:t xml:space="preserve"> A measure of the perceived tail risk in the S&amp;P 500 over the next 30 days, derived from out-of-money options pricing. "Tail risk" = the risk of a sudden, large market crash.</w:t>
      </w:r>
    </w:p>
    <w:p>
      <w:pPr>
        <w:spacing w:line="360" w:after="210" w:lineRule="auto"/>
      </w:pPr>
      <w:r>
        <w:rPr>
          <w:rFonts w:eastAsia="georgia" w:cs="georgia" w:ascii="georgia" w:hAnsi="georgia"/>
          <w:b/>
          <w:color w:val="000000"/>
        </w:rPr>
        <w:t xml:space="preserve">Reading the gauge:</w:t>
      </w:r>
    </w:p>
    <w:p>
      <w:pPr>
        <w:numPr>
          <w:ilvl w:val="0"/>
          <w:numId w:val="17"/>
        </w:numPr>
        <w:spacing w:line="360" w:before="105" w:after="105" w:lineRule="auto"/>
      </w:pPr>
      <w:r>
        <w:rPr>
          <w:rFonts w:eastAsia="georgia" w:cs="georgia" w:ascii="georgia" w:hAnsi="georgia"/>
          <w:b/>
          <w:color w:val="000000"/>
          <w:sz w:val="21"/>
        </w:rPr>
        <w:t xml:space="preserve">Below 120</w:t>
      </w:r>
      <w:r>
        <w:rPr>
          <w:rFonts w:eastAsia="georgia" w:cs="georgia" w:ascii="georgia" w:hAnsi="georgia"/>
          <w:color w:val="000000"/>
          <w:sz w:val="21"/>
        </w:rPr>
        <w:t xml:space="preserve"> → Low tail-risk pricing; markets calm</w:t>
      </w:r>
    </w:p>
    <w:p>
      <w:pPr>
        <w:numPr>
          <w:ilvl w:val="0"/>
          <w:numId w:val="17"/>
        </w:numPr>
        <w:spacing w:line="360" w:before="105" w:after="105" w:lineRule="auto"/>
      </w:pPr>
      <w:r>
        <w:rPr>
          <w:rFonts w:eastAsia="georgia" w:cs="georgia" w:ascii="georgia" w:hAnsi="georgia"/>
          <w:b/>
          <w:color w:val="000000"/>
          <w:sz w:val="21"/>
        </w:rPr>
        <w:t xml:space="preserve">120–140</w:t>
      </w:r>
      <w:r>
        <w:rPr>
          <w:rFonts w:eastAsia="georgia" w:cs="georgia" w:ascii="georgia" w:hAnsi="georgia"/>
          <w:color w:val="000000"/>
          <w:sz w:val="21"/>
        </w:rPr>
        <w:t xml:space="preserve"> → Normal range; moderate caution</w:t>
      </w:r>
    </w:p>
    <w:p>
      <w:pPr>
        <w:numPr>
          <w:ilvl w:val="0"/>
          <w:numId w:val="17"/>
        </w:numPr>
        <w:spacing w:line="360" w:before="105" w:after="105" w:lineRule="auto"/>
      </w:pPr>
      <w:r>
        <w:rPr>
          <w:rFonts w:eastAsia="georgia" w:cs="georgia" w:ascii="georgia" w:hAnsi="georgia"/>
          <w:b/>
          <w:color w:val="000000"/>
          <w:sz w:val="21"/>
        </w:rPr>
        <w:t xml:space="preserve">Above 140</w:t>
      </w:r>
      <w:r>
        <w:rPr>
          <w:rFonts w:eastAsia="georgia" w:cs="georgia" w:ascii="georgia" w:hAnsi="georgia"/>
          <w:color w:val="000000"/>
          <w:sz w:val="21"/>
        </w:rPr>
        <w:t xml:space="preserve"> → Markets pricing significant crash risk; institutions buying deep out-of-money puts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3" w:name="vvix_volatility_of_volatility"/>
      <w:r>
        <w:rPr>
          <w:rFonts w:eastAsia="georgia" w:cs="georgia" w:ascii="georgia" w:hAnsi="georgia"/>
          <w:b/>
          <w:color w:val="000000"/>
          <w:sz w:val="24"/>
        </w:rPr>
        <w:t xml:space="preserve">VVIX — Volatility of Volatility</w:t>
      </w:r>
      <w:bookmarkEnd w:id="53"/>
    </w:p>
    <w:p>
      <w:pPr>
        <w:spacing w:line="360" w:after="210" w:lineRule="auto"/>
      </w:pPr>
      <w:r>
        <w:rPr>
          <w:rFonts w:eastAsia="georgia" w:cs="georgia" w:ascii="georgia" w:hAnsi="georgia"/>
          <w:b/>
          <w:color w:val="000000"/>
        </w:rPr>
        <w:t xml:space="preserve">What it is:</w:t>
      </w:r>
      <w:r>
        <w:rPr>
          <w:rFonts w:eastAsia="georgia" w:cs="georgia" w:ascii="georgia" w:hAnsi="georgia"/>
          <w:color w:val="000000"/>
        </w:rPr>
        <w:t xml:space="preserve"> The VIX of VIX — measuring how much the VIX itself is expected to move. A high VVIX means the cost of VIX options (crash insurance) is surging.</w:t>
      </w:r>
    </w:p>
    <w:p>
      <w:pPr>
        <w:spacing w:line="360" w:after="210" w:lineRule="auto"/>
      </w:pPr>
      <w:r>
        <w:rPr>
          <w:rFonts w:eastAsia="georgia" w:cs="georgia" w:ascii="georgia" w:hAnsi="georgia"/>
          <w:b/>
          <w:color w:val="000000"/>
        </w:rPr>
        <w:t xml:space="preserve">How to read it:</w:t>
      </w:r>
    </w:p>
    <w:p>
      <w:pPr>
        <w:numPr>
          <w:ilvl w:val="0"/>
          <w:numId w:val="18"/>
        </w:numPr>
        <w:spacing w:line="360" w:before="105" w:after="105" w:lineRule="auto"/>
      </w:pPr>
      <w:r>
        <w:rPr>
          <w:rFonts w:eastAsia="georgia" w:cs="georgia" w:ascii="georgia" w:hAnsi="georgia"/>
          <w:b/>
          <w:color w:val="000000"/>
          <w:sz w:val="21"/>
        </w:rPr>
        <w:t xml:space="preserve">Below 85</w:t>
      </w:r>
      <w:r>
        <w:rPr>
          <w:rFonts w:eastAsia="georgia" w:cs="georgia" w:ascii="georgia" w:hAnsi="georgia"/>
          <w:color w:val="000000"/>
          <w:sz w:val="21"/>
        </w:rPr>
        <w:t xml:space="preserve"> → Calm; VIX expectations stable</w:t>
      </w:r>
    </w:p>
    <w:p>
      <w:pPr>
        <w:numPr>
          <w:ilvl w:val="0"/>
          <w:numId w:val="18"/>
        </w:numPr>
        <w:spacing w:line="360" w:before="105" w:after="105" w:lineRule="auto"/>
      </w:pPr>
      <w:r>
        <w:rPr>
          <w:rFonts w:eastAsia="georgia" w:cs="georgia" w:ascii="georgia" w:hAnsi="georgia"/>
          <w:b/>
          <w:color w:val="000000"/>
          <w:sz w:val="21"/>
        </w:rPr>
        <w:t xml:space="preserve">85–100</w:t>
      </w:r>
      <w:r>
        <w:rPr>
          <w:rFonts w:eastAsia="georgia" w:cs="georgia" w:ascii="georgia" w:hAnsi="georgia"/>
          <w:color w:val="000000"/>
          <w:sz w:val="21"/>
        </w:rPr>
        <w:t xml:space="preserve"> → Watch; VIX options becoming pricier</w:t>
      </w:r>
    </w:p>
    <w:p>
      <w:pPr>
        <w:numPr>
          <w:ilvl w:val="0"/>
          <w:numId w:val="18"/>
        </w:numPr>
        <w:spacing w:line="360" w:before="105" w:after="105" w:lineRule="auto"/>
      </w:pPr>
      <w:r>
        <w:rPr>
          <w:rFonts w:eastAsia="georgia" w:cs="georgia" w:ascii="georgia" w:hAnsi="georgia"/>
          <w:b/>
          <w:color w:val="000000"/>
          <w:sz w:val="21"/>
        </w:rPr>
        <w:t xml:space="preserve">Above 100</w:t>
      </w:r>
      <w:r>
        <w:rPr>
          <w:rFonts w:eastAsia="georgia" w:cs="georgia" w:ascii="georgia" w:hAnsi="georgia"/>
          <w:color w:val="000000"/>
          <w:sz w:val="21"/>
        </w:rPr>
        <w:t xml:space="preserve"> → Stress; institutions paying heavily for tail-risk protection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4" w:name="gamma_exposure_gex"/>
      <w:r>
        <w:rPr>
          <w:rFonts w:eastAsia="georgia" w:cs="georgia" w:ascii="georgia" w:hAnsi="georgia"/>
          <w:b/>
          <w:color w:val="000000"/>
          <w:sz w:val="24"/>
        </w:rPr>
        <w:t xml:space="preserve">Gamma Exposure (GEX)</w:t>
      </w:r>
      <w:bookmarkEnd w:id="54"/>
    </w:p>
    <w:p>
      <w:pPr>
        <w:spacing w:line="360" w:after="210" w:lineRule="auto"/>
      </w:pPr>
      <w:r>
        <w:rPr>
          <w:rFonts w:eastAsia="georgia" w:cs="georgia" w:ascii="georgia" w:hAnsi="georgia"/>
          <w:b/>
          <w:color w:val="000000"/>
        </w:rPr>
        <w:t xml:space="preserve">What it is:</w:t>
      </w:r>
      <w:r>
        <w:rPr>
          <w:rFonts w:eastAsia="georgia" w:cs="georgia" w:ascii="georgia" w:hAnsi="georgia"/>
          <w:color w:val="000000"/>
        </w:rPr>
        <w:t xml:space="preserve"> Net dealer gamma exposure from S&amp;P 500 (SPY) options. When dealers sell options, they must hedge by trading the underlying stock — their behaviour amplifies or dampens market moves depending on their gamma position.</w:t>
      </w:r>
    </w:p>
    <w:p>
      <w:pPr>
        <w:spacing w:line="360" w:after="210" w:lineRule="auto"/>
      </w:pPr>
      <w:r>
        <w:rPr>
          <w:rFonts w:eastAsia="georgia" w:cs="georgia" w:ascii="georgia" w:hAnsi="georgia"/>
          <w:b/>
          <w:color w:val="000000"/>
        </w:rPr>
        <w:t xml:space="preserve">Why this matters:</w:t>
      </w:r>
    </w:p>
    <w:p>
      <w:pPr>
        <w:numPr>
          <w:ilvl w:val="0"/>
          <w:numId w:val="19"/>
        </w:numPr>
        <w:spacing w:line="360" w:before="105" w:after="105" w:lineRule="auto"/>
      </w:pPr>
      <w:r>
        <w:rPr>
          <w:rFonts w:eastAsia="georgia" w:cs="georgia" w:ascii="georgia" w:hAnsi="georgia"/>
          <w:b/>
          <w:color w:val="000000"/>
          <w:sz w:val="21"/>
        </w:rPr>
        <w:t xml:space="preserve">Positive GEX</w:t>
      </w:r>
      <w:r>
        <w:rPr>
          <w:rFonts w:eastAsia="georgia" w:cs="georgia" w:ascii="georgia" w:hAnsi="georgia"/>
          <w:color w:val="000000"/>
          <w:sz w:val="21"/>
        </w:rPr>
        <w:t xml:space="preserve"> → Dealers are long gamma; they buy dips and sell rallies, </w:t>
      </w:r>
      <w:r>
        <w:rPr>
          <w:rFonts w:eastAsia="georgia" w:cs="georgia" w:ascii="georgia" w:hAnsi="georgia"/>
          <w:i/>
          <w:color w:val="000000"/>
          <w:sz w:val="21"/>
        </w:rPr>
        <w:t xml:space="preserve">dampening</w:t>
      </w:r>
      <w:r>
        <w:rPr>
          <w:rFonts w:eastAsia="georgia" w:cs="georgia" w:ascii="georgia" w:hAnsi="georgia"/>
          <w:color w:val="000000"/>
          <w:sz w:val="21"/>
        </w:rPr>
        <w:t xml:space="preserve"> volatility; ideal trading conditions</w:t>
      </w:r>
    </w:p>
    <w:p>
      <w:pPr>
        <w:numPr>
          <w:ilvl w:val="0"/>
          <w:numId w:val="19"/>
        </w:numPr>
        <w:spacing w:line="360" w:before="105" w:after="105" w:lineRule="auto"/>
      </w:pPr>
      <w:r>
        <w:rPr>
          <w:rFonts w:eastAsia="georgia" w:cs="georgia" w:ascii="georgia" w:hAnsi="georgia"/>
          <w:b/>
          <w:color w:val="000000"/>
          <w:sz w:val="21"/>
        </w:rPr>
        <w:t xml:space="preserve">Negative GEX</w:t>
      </w:r>
      <w:r>
        <w:rPr>
          <w:rFonts w:eastAsia="georgia" w:cs="georgia" w:ascii="georgia" w:hAnsi="georgia"/>
          <w:color w:val="000000"/>
          <w:sz w:val="21"/>
        </w:rPr>
        <w:t xml:space="preserve"> → Dealers are short gamma; they sell dips and buy rallies, </w:t>
      </w:r>
      <w:r>
        <w:rPr>
          <w:rFonts w:eastAsia="georgia" w:cs="georgia" w:ascii="georgia" w:hAnsi="georgia"/>
          <w:i/>
          <w:color w:val="000000"/>
          <w:sz w:val="21"/>
        </w:rPr>
        <w:t xml:space="preserve">amplifying</w:t>
      </w:r>
      <w:r>
        <w:rPr>
          <w:rFonts w:eastAsia="georgia" w:cs="georgia" w:ascii="georgia" w:hAnsi="georgia"/>
          <w:color w:val="000000"/>
          <w:sz w:val="21"/>
        </w:rPr>
        <w:t xml:space="preserve"> volatility; expect wilder swings; widen your stop-losses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5" w:name="skew_proxy_vix3m_vix"/>
      <w:r>
        <w:rPr>
          <w:rFonts w:eastAsia="georgia" w:cs="georgia" w:ascii="georgia" w:hAnsi="georgia"/>
          <w:b/>
          <w:color w:val="000000"/>
          <w:sz w:val="24"/>
        </w:rPr>
        <w:t xml:space="preserve">Skew Proxy (VIX3M – VIX)</w:t>
      </w:r>
      <w:bookmarkEnd w:id="55"/>
    </w:p>
    <w:p>
      <w:pPr>
        <w:spacing w:line="360" w:after="210" w:lineRule="auto"/>
      </w:pPr>
      <w:r>
        <w:rPr>
          <w:rFonts w:eastAsia="georgia" w:cs="georgia" w:ascii="georgia" w:hAnsi="georgia"/>
          <w:b/>
          <w:color w:val="000000"/>
        </w:rPr>
        <w:t xml:space="preserve">What it is:</w:t>
      </w:r>
      <w:r>
        <w:rPr>
          <w:rFonts w:eastAsia="georgia" w:cs="georgia" w:ascii="georgia" w:hAnsi="georgia"/>
          <w:color w:val="000000"/>
        </w:rPr>
        <w:t xml:space="preserve"> The dashboard computes the difference between the 3-month VIX and the spot VIX.</w:t>
      </w:r>
    </w:p>
    <w:p>
      <w:pPr>
        <w:spacing w:line="360" w:after="210" w:lineRule="auto"/>
      </w:pPr>
      <w:r>
        <w:rPr>
          <w:rFonts w:eastAsia="georgia" w:cs="georgia" w:ascii="georgia" w:hAnsi="georgia"/>
          <w:b/>
          <w:color w:val="000000"/>
        </w:rPr>
        <w:t xml:space="preserve">Interpretation:</w:t>
      </w:r>
    </w:p>
    <w:p>
      <w:pPr>
        <w:numPr>
          <w:ilvl w:val="0"/>
          <w:numId w:val="20"/>
        </w:numPr>
        <w:spacing w:line="360" w:before="105" w:after="105" w:lineRule="auto"/>
      </w:pPr>
      <w:r>
        <w:rPr>
          <w:rFonts w:eastAsia="georgia" w:cs="georgia" w:ascii="georgia" w:hAnsi="georgia"/>
          <w:b/>
          <w:color w:val="000000"/>
          <w:sz w:val="21"/>
        </w:rPr>
        <w:t xml:space="preserve">Positive (VIX3M &gt; VIX)</w:t>
      </w:r>
      <w:r>
        <w:rPr>
          <w:rFonts w:eastAsia="georgia" w:cs="georgia" w:ascii="georgia" w:hAnsi="georgia"/>
          <w:color w:val="000000"/>
          <w:sz w:val="21"/>
        </w:rPr>
        <w:t xml:space="preserve"> → Normal; market calm in the near term; fear priced further out</w:t>
      </w:r>
    </w:p>
    <w:p>
      <w:pPr>
        <w:numPr>
          <w:ilvl w:val="0"/>
          <w:numId w:val="20"/>
        </w:numPr>
        <w:spacing w:line="360" w:before="105" w:after="105" w:lineRule="auto"/>
      </w:pPr>
      <w:r>
        <w:rPr>
          <w:rFonts w:eastAsia="georgia" w:cs="georgia" w:ascii="georgia" w:hAnsi="georgia"/>
          <w:b/>
          <w:color w:val="000000"/>
          <w:sz w:val="21"/>
        </w:rPr>
        <w:t xml:space="preserve">Near zero</w:t>
      </w:r>
      <w:r>
        <w:rPr>
          <w:rFonts w:eastAsia="georgia" w:cs="georgia" w:ascii="georgia" w:hAnsi="georgia"/>
          <w:color w:val="000000"/>
          <w:sz w:val="21"/>
        </w:rPr>
        <w:t xml:space="preserve"> → Watch; term premium disappearing</w:t>
      </w:r>
    </w:p>
    <w:p>
      <w:pPr>
        <w:numPr>
          <w:ilvl w:val="0"/>
          <w:numId w:val="20"/>
        </w:numPr>
        <w:spacing w:line="360" w:before="105" w:after="105" w:lineRule="auto"/>
      </w:pPr>
      <w:r>
        <w:rPr>
          <w:rFonts w:eastAsia="georgia" w:cs="georgia" w:ascii="georgia" w:hAnsi="georgia"/>
          <w:b/>
          <w:color w:val="000000"/>
          <w:sz w:val="21"/>
        </w:rPr>
        <w:t xml:space="preserve">Negative (VIX &gt; VIX3M)</w:t>
      </w:r>
      <w:r>
        <w:rPr>
          <w:rFonts w:eastAsia="georgia" w:cs="georgia" w:ascii="georgia" w:hAnsi="georgia"/>
          <w:color w:val="000000"/>
          <w:sz w:val="21"/>
        </w:rPr>
        <w:t xml:space="preserve"> → Near-term fear dominates; investors more worried about the next 30 days than the next 90</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6" w:name="section_10_metals"/>
      <w:r>
        <w:rPr>
          <w:rFonts w:eastAsia="georgia" w:cs="georgia" w:ascii="georgia" w:hAnsi="georgia"/>
          <w:b/>
          <w:color w:val="000000"/>
          <w:sz w:val="24"/>
        </w:rPr>
        <w:t xml:space="preserve">Section 10: Metals</w:t>
      </w:r>
      <w:bookmarkEnd w:id="56"/>
    </w:p>
    <w:p>
      <w:pPr>
        <w:spacing w:line="360" w:after="210" w:lineRule="auto"/>
      </w:pPr>
      <w:r>
        <w:rPr>
          <w:rFonts w:eastAsia="georgia" w:cs="georgia" w:ascii="georgia" w:hAnsi="georgia"/>
          <w:color w:val="000000"/>
        </w:rPr>
        <w:t xml:space="preserve">Metals serve as both economic leading indicators and safe-haven assets. The dashboard tracks six metals with daily percentage changes.</w:t>
      </w:r>
    </w:p>
    <w:p>
      <w:pPr>
        <w:spacing w:line="360" w:before="315" w:after="105" w:lineRule="auto"/>
        <w:ind w:left="-30"/>
        <w:jc w:val="left"/>
      </w:pPr>
      <w:bookmarkStart w:id="57" w:name="gold_gcf"/>
      <w:r>
        <w:rPr>
          <w:rFonts w:eastAsia="georgia" w:cs="georgia" w:ascii="georgia" w:hAnsi="georgia"/>
          <w:b/>
          <w:color w:val="000000"/>
          <w:sz w:val="24"/>
        </w:rPr>
        <w:t xml:space="preserve">Gold (GCF)</w:t>
      </w:r>
      <w:bookmarkEnd w:id="57"/>
    </w:p>
    <w:p>
      <w:pPr>
        <w:spacing w:line="360" w:after="210" w:lineRule="auto"/>
      </w:pPr>
      <w:r>
        <w:rPr>
          <w:rFonts w:eastAsia="georgia" w:cs="georgia" w:ascii="georgia" w:hAnsi="georgia"/>
          <w:b/>
          <w:color w:val="000000"/>
        </w:rPr>
        <w:t xml:space="preserve">What it is:</w:t>
      </w:r>
      <w:r>
        <w:rPr>
          <w:rFonts w:eastAsia="georgia" w:cs="georgia" w:ascii="georgia" w:hAnsi="georgia"/>
          <w:color w:val="000000"/>
        </w:rPr>
        <w:t xml:space="preserve"> Gold futures price in USD per troy ounce. Gold is the world's oldest store of value.</w:t>
      </w:r>
    </w:p>
    <w:p>
      <w:pPr>
        <w:spacing w:line="360" w:after="210" w:lineRule="auto"/>
      </w:pPr>
      <w:r>
        <w:rPr>
          <w:rFonts w:eastAsia="georgia" w:cs="georgia" w:ascii="georgia" w:hAnsi="georgia"/>
          <w:b/>
          <w:color w:val="000000"/>
        </w:rPr>
        <w:t xml:space="preserve">What rising gold means:</w:t>
      </w:r>
      <w:r>
        <w:rPr>
          <w:rFonts w:eastAsia="georgia" w:cs="georgia" w:ascii="georgia" w:hAnsi="georgia"/>
          <w:color w:val="000000"/>
        </w:rPr>
        <w:t xml:space="preserve"> Gold typically rises when real interest rates fall (holding gold has lower opportunity cost), when inflation expectations rise, when the dollar weakens, or when geopolitical/financial stress increases. The dashboard alerts you when gold exceeds $3,000/oz as an elevated safe-haven signal.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8" w:name="copper_hgf"/>
      <w:r>
        <w:rPr>
          <w:rFonts w:eastAsia="georgia" w:cs="georgia" w:ascii="georgia" w:hAnsi="georgia"/>
          <w:b/>
          <w:color w:val="000000"/>
          <w:sz w:val="24"/>
        </w:rPr>
        <w:t xml:space="preserve">Copper (HGF)</w:t>
      </w:r>
      <w:bookmarkEnd w:id="58"/>
    </w:p>
    <w:p>
      <w:pPr>
        <w:spacing w:line="360" w:after="210" w:lineRule="auto"/>
      </w:pPr>
      <w:r>
        <w:rPr>
          <w:rFonts w:eastAsia="georgia" w:cs="georgia" w:ascii="georgia" w:hAnsi="georgia"/>
          <w:b/>
          <w:color w:val="000000"/>
        </w:rPr>
        <w:t xml:space="preserve">What it is:</w:t>
      </w:r>
      <w:r>
        <w:rPr>
          <w:rFonts w:eastAsia="georgia" w:cs="georgia" w:ascii="georgia" w:hAnsi="georgia"/>
          <w:color w:val="000000"/>
        </w:rPr>
        <w:t xml:space="preserve"> Copper futures price in USD per pound. Copper is used in construction, electronics, and manufacturing.</w:t>
      </w:r>
    </w:p>
    <w:p>
      <w:pPr>
        <w:spacing w:line="360" w:after="210" w:lineRule="auto"/>
      </w:pPr>
      <w:r>
        <w:rPr>
          <w:rFonts w:eastAsia="georgia" w:cs="georgia" w:ascii="georgia" w:hAnsi="georgia"/>
          <w:b/>
          <w:color w:val="000000"/>
        </w:rPr>
        <w:t xml:space="preserve">Why it matters (the "Dr. Copper" concept):</w:t>
      </w:r>
      <w:r>
        <w:rPr>
          <w:rFonts w:eastAsia="georgia" w:cs="georgia" w:ascii="georgia" w:hAnsi="georgia"/>
          <w:color w:val="000000"/>
        </w:rPr>
        <w:t xml:space="preserve"> Copper has no central bank, no geopolitical mystique — its price is driven purely by industrial demand. Rising copper signals economic expansion (factories building more, construction booming). Falling copper often precedes economic slowdowns by 3–6 months. The dashboard warns when copper falls below $3.50/lb as a weak industrial demand signal.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9" w:name="gold_silver_ratio"/>
      <w:r>
        <w:rPr>
          <w:rFonts w:eastAsia="georgia" w:cs="georgia" w:ascii="georgia" w:hAnsi="georgia"/>
          <w:b/>
          <w:color w:val="000000"/>
          <w:sz w:val="24"/>
        </w:rPr>
        <w:t xml:space="preserve">Gold/Silver Ratio</w:t>
      </w:r>
      <w:bookmarkEnd w:id="59"/>
    </w:p>
    <w:p>
      <w:pPr>
        <w:spacing w:line="360" w:after="210" w:lineRule="auto"/>
      </w:pPr>
      <w:r>
        <w:rPr>
          <w:rFonts w:eastAsia="georgia" w:cs="georgia" w:ascii="georgia" w:hAnsi="georgia"/>
          <w:b/>
          <w:color w:val="000000"/>
        </w:rPr>
        <w:t xml:space="preserve">What it is:</w:t>
      </w:r>
      <w:r>
        <w:rPr>
          <w:rFonts w:eastAsia="georgia" w:cs="georgia" w:ascii="georgia" w:hAnsi="georgia"/>
          <w:color w:val="000000"/>
        </w:rPr>
        <w:t xml:space="preserve"> Computed automatically by the dashboard as the gold price divided by the silver price.</w:t>
      </w:r>
    </w:p>
    <w:p>
      <w:pPr>
        <w:spacing w:line="360" w:after="210" w:lineRule="auto"/>
      </w:pPr>
      <w:r>
        <w:rPr>
          <w:rFonts w:eastAsia="georgia" w:cs="georgia" w:ascii="georgia" w:hAnsi="georgia"/>
          <w:b/>
          <w:color w:val="000000"/>
        </w:rPr>
        <w:t xml:space="preserve">How to read it:</w:t>
      </w:r>
    </w:p>
    <w:p>
      <w:pPr>
        <w:numPr>
          <w:ilvl w:val="0"/>
          <w:numId w:val="21"/>
        </w:numPr>
        <w:spacing w:line="360" w:before="105" w:after="105" w:lineRule="auto"/>
      </w:pPr>
      <w:r>
        <w:rPr>
          <w:rFonts w:eastAsia="georgia" w:cs="georgia" w:ascii="georgia" w:hAnsi="georgia"/>
          <w:b/>
          <w:color w:val="000000"/>
          <w:sz w:val="21"/>
        </w:rPr>
        <w:t xml:space="preserve">Ratio above 90</w:t>
      </w:r>
      <w:r>
        <w:rPr>
          <w:rFonts w:eastAsia="georgia" w:cs="georgia" w:ascii="georgia" w:hAnsi="georgia"/>
          <w:color w:val="000000"/>
          <w:sz w:val="21"/>
        </w:rPr>
        <w:t xml:space="preserve"> → Gold sharply outperforming silver; safe-haven demand dominant; risk-off</w:t>
      </w:r>
    </w:p>
    <w:p>
      <w:pPr>
        <w:numPr>
          <w:ilvl w:val="0"/>
          <w:numId w:val="21"/>
        </w:numPr>
        <w:spacing w:line="360" w:before="105" w:after="105" w:lineRule="auto"/>
      </w:pPr>
      <w:r>
        <w:rPr>
          <w:rFonts w:eastAsia="georgia" w:cs="georgia" w:ascii="georgia" w:hAnsi="georgia"/>
          <w:b/>
          <w:color w:val="000000"/>
          <w:sz w:val="21"/>
        </w:rPr>
        <w:t xml:space="preserve">Ratio 70–90</w:t>
      </w:r>
      <w:r>
        <w:rPr>
          <w:rFonts w:eastAsia="georgia" w:cs="georgia" w:ascii="georgia" w:hAnsi="georgia"/>
          <w:color w:val="000000"/>
          <w:sz w:val="21"/>
        </w:rPr>
        <w:t xml:space="preserve"> → Normal range</w:t>
      </w:r>
    </w:p>
    <w:p>
      <w:pPr>
        <w:numPr>
          <w:ilvl w:val="0"/>
          <w:numId w:val="21"/>
        </w:numPr>
        <w:spacing w:line="360" w:before="105" w:after="105" w:lineRule="auto"/>
      </w:pPr>
      <w:r>
        <w:rPr>
          <w:rFonts w:eastAsia="georgia" w:cs="georgia" w:ascii="georgia" w:hAnsi="georgia"/>
          <w:b/>
          <w:color w:val="000000"/>
          <w:sz w:val="21"/>
        </w:rPr>
        <w:t xml:space="preserve">Ratio below 70</w:t>
      </w:r>
      <w:r>
        <w:rPr>
          <w:rFonts w:eastAsia="georgia" w:cs="georgia" w:ascii="georgia" w:hAnsi="georgia"/>
          <w:color w:val="000000"/>
          <w:sz w:val="21"/>
        </w:rPr>
        <w:t xml:space="preserve"> → Silver outperforming; risk-on, industrial demand strong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0" w:name="section_11_the_phillips_curve_chart"/>
      <w:r>
        <w:rPr>
          <w:rFonts w:eastAsia="georgia" w:cs="georgia" w:ascii="georgia" w:hAnsi="georgia"/>
          <w:b/>
          <w:color w:val="000000"/>
          <w:sz w:val="24"/>
        </w:rPr>
        <w:t xml:space="preserve">Section 11: The Phillips Curve Chart</w:t>
      </w:r>
      <w:bookmarkEnd w:id="60"/>
    </w:p>
    <w:p>
      <w:pPr>
        <w:spacing w:line="360" w:after="210" w:lineRule="auto"/>
      </w:pPr>
      <w:r>
        <w:rPr>
          <w:rFonts w:eastAsia="georgia" w:cs="georgia" w:ascii="georgia" w:hAnsi="georgia"/>
          <w:color w:val="000000"/>
        </w:rPr>
        <w:t xml:space="preserve">The Phillips Curve section is an interactive scatter plot that plots </w:t>
      </w:r>
      <w:r>
        <w:rPr>
          <w:rFonts w:eastAsia="georgia" w:cs="georgia" w:ascii="georgia" w:hAnsi="georgia"/>
          <w:b/>
          <w:color w:val="000000"/>
        </w:rPr>
        <w:t xml:space="preserve">unemployment rate (x-axis)</w:t>
      </w:r>
      <w:r>
        <w:rPr>
          <w:rFonts w:eastAsia="georgia" w:cs="georgia" w:ascii="georgia" w:hAnsi="georgia"/>
          <w:color w:val="000000"/>
        </w:rPr>
        <w:t xml:space="preserve"> against </w:t>
      </w:r>
      <w:r>
        <w:rPr>
          <w:rFonts w:eastAsia="georgia" w:cs="georgia" w:ascii="georgia" w:hAnsi="georgia"/>
          <w:b/>
          <w:color w:val="000000"/>
        </w:rPr>
        <w:t xml:space="preserve">CPI inflation (y-axis)</w:t>
      </w:r>
      <w:r>
        <w:rPr>
          <w:rFonts w:eastAsia="georgia" w:cs="georgia" w:ascii="georgia" w:hAnsi="georgia"/>
          <w:color w:val="000000"/>
        </w:rPr>
        <w:t xml:space="preserve"> for the past 16 months (adjustable in the sidebar). The current month is highlighted as a red star; historical months are blue dots; an OLS trend line is drawn through the data; and the Fed's 2% inflation target is marked as a horizontal green line.</w:t>
      </w:r>
    </w:p>
    <w:p>
      <w:pPr>
        <w:spacing w:line="360" w:after="210" w:lineRule="auto"/>
      </w:pPr>
      <w:r>
        <w:rPr>
          <w:rFonts w:eastAsia="georgia" w:cs="georgia" w:ascii="georgia" w:hAnsi="georgia"/>
          <w:b/>
          <w:color w:val="000000"/>
        </w:rPr>
        <w:t xml:space="preserve">How to use it:</w:t>
      </w:r>
    </w:p>
    <w:p>
      <w:pPr>
        <w:numPr>
          <w:ilvl w:val="0"/>
          <w:numId w:val="22"/>
        </w:numPr>
        <w:spacing w:line="360" w:before="105" w:after="105" w:lineRule="auto"/>
      </w:pPr>
      <w:r>
        <w:rPr>
          <w:rFonts w:eastAsia="georgia" w:cs="georgia" w:ascii="georgia" w:hAnsi="georgia"/>
          <w:b/>
          <w:color w:val="000000"/>
          <w:sz w:val="21"/>
        </w:rPr>
        <w:t xml:space="preserve">If the dot cluster is in the upper-left</w:t>
      </w:r>
      <w:r>
        <w:rPr>
          <w:rFonts w:eastAsia="georgia" w:cs="georgia" w:ascii="georgia" w:hAnsi="georgia"/>
          <w:color w:val="000000"/>
          <w:sz w:val="21"/>
        </w:rPr>
        <w:t xml:space="preserve"> (low unemployment, high inflation) → Economy overheating; Fed will likely raise rates to move toward the lower right</w:t>
      </w:r>
    </w:p>
    <w:p>
      <w:pPr>
        <w:numPr>
          <w:ilvl w:val="0"/>
          <w:numId w:val="22"/>
        </w:numPr>
        <w:spacing w:line="360" w:before="105" w:after="105" w:lineRule="auto"/>
      </w:pPr>
      <w:r>
        <w:rPr>
          <w:rFonts w:eastAsia="georgia" w:cs="georgia" w:ascii="georgia" w:hAnsi="georgia"/>
          <w:b/>
          <w:color w:val="000000"/>
          <w:sz w:val="21"/>
        </w:rPr>
        <w:t xml:space="preserve">If the dot cluster is in the lower-right</w:t>
      </w:r>
      <w:r>
        <w:rPr>
          <w:rFonts w:eastAsia="georgia" w:cs="georgia" w:ascii="georgia" w:hAnsi="georgia"/>
          <w:color w:val="000000"/>
          <w:sz w:val="21"/>
        </w:rPr>
        <w:t xml:space="preserve"> (high unemployment, low inflation) → Recessionary conditions; Fed will likely cut rates</w:t>
      </w:r>
    </w:p>
    <w:p>
      <w:pPr>
        <w:numPr>
          <w:ilvl w:val="0"/>
          <w:numId w:val="22"/>
        </w:numPr>
        <w:spacing w:line="360" w:before="105" w:after="105" w:lineRule="auto"/>
      </w:pPr>
      <w:r>
        <w:rPr>
          <w:rFonts w:eastAsia="georgia" w:cs="georgia" w:ascii="georgia" w:hAnsi="georgia"/>
          <w:b/>
          <w:color w:val="000000"/>
          <w:sz w:val="21"/>
        </w:rPr>
        <w:t xml:space="preserve">If the dot cluster is near the centre</w:t>
      </w:r>
      <w:r>
        <w:rPr>
          <w:rFonts w:eastAsia="georgia" w:cs="georgia" w:ascii="georgia" w:hAnsi="georgia"/>
          <w:color w:val="000000"/>
          <w:sz w:val="21"/>
        </w:rPr>
        <w:t xml:space="preserve"> (moderate unemployment ~4%, inflation near 2%) → The "Goldilocks" sweet spot that policymakers aim for</w:t>
      </w:r>
    </w:p>
    <w:p>
      <w:pPr>
        <w:numPr>
          <w:ilvl w:val="0"/>
          <w:numId w:val="22"/>
        </w:numPr>
        <w:spacing w:line="360" w:before="105" w:after="105" w:lineRule="auto"/>
      </w:pPr>
      <w:r>
        <w:rPr>
          <w:rFonts w:eastAsia="georgia" w:cs="georgia" w:ascii="georgia" w:hAnsi="georgia"/>
          <w:b/>
          <w:color w:val="000000"/>
          <w:sz w:val="21"/>
        </w:rPr>
        <w:t xml:space="preserve">If dots are scattered randomly</w:t>
      </w:r>
      <w:r>
        <w:rPr>
          <w:rFonts w:eastAsia="georgia" w:cs="georgia" w:ascii="georgia" w:hAnsi="georgia"/>
          <w:color w:val="000000"/>
          <w:sz w:val="21"/>
        </w:rPr>
        <w:t xml:space="preserve"> → The Phillips Curve relationship is breaking down in the current period — a stagflation warning (high unemployment AND high inflation), as occurred in the 1970s</w:t>
      </w:r>
    </w:p>
    <w:p>
      <w:pPr>
        <w:spacing w:line="360" w:after="210" w:lineRule="auto"/>
      </w:pPr>
      <w:r>
        <w:rPr>
          <w:rFonts w:eastAsia="georgia" w:cs="georgia" w:ascii="georgia" w:hAnsi="georgia"/>
          <w:b/>
          <w:color w:val="000000"/>
        </w:rPr>
        <w:t xml:space="preserve">Academic context:</w:t>
      </w:r>
      <w:r>
        <w:rPr>
          <w:rFonts w:eastAsia="georgia" w:cs="georgia" w:ascii="georgia" w:hAnsi="georgia"/>
          <w:color w:val="000000"/>
        </w:rPr>
        <w:t xml:space="preserve"> A.W. Phillips first described the inverse relationship between unemployment and wages using UK data from 1861–1957.[cite:3] The relationship was extended to inflation by Samuelson and Solow in 1960. Modern "New Keynesian" Phillips Curve models (updated research published by the NY Fed in 2024) confirm that the slope remains time-invariant when properly accounting for inflation expectations and supply shocks.[cite:5] The 2024 Journal of Monetary Economics paper confirmed the curve is still alive post-COVID when supply factors are controlled for.[cite:7]</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1" w:name="section_12_the_macro_regime"/>
      <w:r>
        <w:rPr>
          <w:rFonts w:eastAsia="georgia" w:cs="georgia" w:ascii="georgia" w:hAnsi="georgia"/>
          <w:b/>
          <w:color w:val="000000"/>
          <w:sz w:val="24"/>
        </w:rPr>
        <w:t xml:space="preserve">Section 12: The Macro Regime</w:t>
      </w:r>
      <w:bookmarkEnd w:id="61"/>
    </w:p>
    <w:p>
      <w:pPr>
        <w:spacing w:line="360" w:after="210" w:lineRule="auto"/>
      </w:pPr>
      <w:r>
        <w:rPr>
          <w:rFonts w:eastAsia="georgia" w:cs="georgia" w:ascii="georgia" w:hAnsi="georgia"/>
          <w:color w:val="000000"/>
        </w:rPr>
        <w:t xml:space="preserve">The macro regime is the dashboard's most powerful synthesis tool — it integrates multiple signals to tell you which of four economic environments you are currently in.</w:t>
      </w:r>
    </w:p>
    <w:p>
      <w:pPr>
        <w:spacing w:line="360" w:before="315" w:after="105" w:lineRule="auto"/>
        <w:ind w:left="-30"/>
        <w:jc w:val="left"/>
      </w:pPr>
      <w:bookmarkStart w:id="62" w:name="the_four_regimes"/>
      <w:r>
        <w:rPr>
          <w:rFonts w:eastAsia="georgia" w:cs="georgia" w:ascii="georgia" w:hAnsi="georgia"/>
          <w:b/>
          <w:color w:val="000000"/>
          <w:sz w:val="24"/>
        </w:rPr>
        <w:t xml:space="preserve">The Four Regimes</w:t>
      </w:r>
      <w:bookmarkEnd w:id="62"/>
    </w:p>
    <w:p>
      <w:pPr>
        <w:spacing w:line="360" w:after="210" w:lineRule="auto"/>
      </w:pPr>
      <w:r>
        <w:rPr>
          <w:rFonts w:eastAsia="georgia" w:cs="georgia" w:ascii="georgia" w:hAnsi="georgia"/>
          <w:color w:val="000000"/>
        </w:rPr>
        <w:t xml:space="preserve">The dashboard classifies the current macro environment into one of four quadrants based on the </w:t>
      </w:r>
      <w:r>
        <w:rPr>
          <w:rFonts w:eastAsia="georgia" w:cs="georgia" w:ascii="georgia" w:hAnsi="georgia"/>
          <w:b/>
          <w:color w:val="000000"/>
        </w:rPr>
        <w:t xml:space="preserve">Rate of Change (ROC)</w:t>
      </w:r>
      <w:r>
        <w:rPr>
          <w:rFonts w:eastAsia="georgia" w:cs="georgia" w:ascii="georgia" w:hAnsi="georgia"/>
          <w:color w:val="000000"/>
        </w:rPr>
        <w:t xml:space="preserve"> of credit spreads and inflation:</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Regime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Credit ROC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Inflation ROC</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Market Implication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Goldilocks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Falling (spreads tightening)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Falling (inflation cooling)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Best for equities and bonds; risk assets outperform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Reflation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Falling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Rising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Good for stocks, commodities, real assets; bonds under pressure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Stagflation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Rising (spreads widening)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Rising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Worst for stocks; commodities hedge; cash is king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Recession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Rising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Falling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Bonds outperform; defensive equities; avoid risk assets</w:t>
            </w:r>
          </w:p>
        </w:tc>
      </w:tr>
    </w:tbl>
    <w:p>
      <w:pPr>
        <w:spacing w:lineRule="auto"/>
      </w:pPr>
    </w:p>
    <w:p>
      <w:pPr>
        <w:spacing w:line="360" w:before="315" w:after="105" w:lineRule="auto"/>
        <w:ind w:left="-30"/>
        <w:jc w:val="left"/>
      </w:pPr>
      <w:bookmarkStart w:id="63" w:name="how_to_read_the_regime_quadrant_chart"/>
      <w:r>
        <w:rPr>
          <w:rFonts w:eastAsia="georgia" w:cs="georgia" w:ascii="georgia" w:hAnsi="georgia"/>
          <w:b/>
          <w:color w:val="000000"/>
          <w:sz w:val="24"/>
        </w:rPr>
        <w:t xml:space="preserve">How to Read the Regime Quadrant Chart</w:t>
      </w:r>
      <w:bookmarkEnd w:id="63"/>
    </w:p>
    <w:p>
      <w:pPr>
        <w:spacing w:line="360" w:after="210" w:lineRule="auto"/>
      </w:pPr>
      <w:r>
        <w:rPr>
          <w:rFonts w:eastAsia="georgia" w:cs="georgia" w:ascii="georgia" w:hAnsi="georgia"/>
          <w:color w:val="000000"/>
        </w:rPr>
        <w:t xml:space="preserve">The chart shows four colour-coded quadrants with a </w:t>
      </w:r>
      <w:r>
        <w:rPr>
          <w:rFonts w:eastAsia="georgia" w:cs="georgia" w:ascii="georgia" w:hAnsi="georgia"/>
          <w:b/>
          <w:color w:val="000000"/>
        </w:rPr>
        <w:t xml:space="preserve">star</w:t>
      </w:r>
      <w:r>
        <w:rPr>
          <w:rFonts w:eastAsia="georgia" w:cs="georgia" w:ascii="georgia" w:hAnsi="georgia"/>
          <w:color w:val="000000"/>
        </w:rPr>
        <w:t xml:space="preserve"> positioned at the current reading. The </w:t>
      </w:r>
      <w:r>
        <w:rPr>
          <w:rFonts w:eastAsia="georgia" w:cs="georgia" w:ascii="georgia" w:hAnsi="georgia"/>
          <w:b/>
          <w:color w:val="000000"/>
        </w:rPr>
        <w:t xml:space="preserve">Regime History</w:t>
      </w:r>
      <w:r>
        <w:rPr>
          <w:rFonts w:eastAsia="georgia" w:cs="georgia" w:ascii="georgia" w:hAnsi="georgia"/>
          <w:color w:val="000000"/>
        </w:rPr>
        <w:t xml:space="preserve"> timeline below it shows how the regime has evolved over the past 90 months. If the star is moving from "Recession" toward "Reflation," it signals an early cycle recovery — historically the best time to increase equity exposure. If it is moving from "Goldilocks" toward "Stagflation," reduce risk.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4" w:name="section_13_recession_probability"/>
      <w:r>
        <w:rPr>
          <w:rFonts w:eastAsia="georgia" w:cs="georgia" w:ascii="georgia" w:hAnsi="georgia"/>
          <w:b/>
          <w:color w:val="000000"/>
          <w:sz w:val="24"/>
        </w:rPr>
        <w:t xml:space="preserve">Section 13: Recession Probability</w:t>
      </w:r>
      <w:bookmarkEnd w:id="64"/>
    </w:p>
    <w:p>
      <w:pPr>
        <w:spacing w:line="360" w:before="315" w:after="105" w:lineRule="auto"/>
        <w:ind w:left="-30"/>
        <w:jc w:val="left"/>
      </w:pPr>
      <w:bookmarkStart w:id="65" w:name="us_recession_probability_recprousm156n"/>
      <w:r>
        <w:rPr>
          <w:rFonts w:eastAsia="georgia" w:cs="georgia" w:ascii="georgia" w:hAnsi="georgia"/>
          <w:b/>
          <w:color w:val="000000"/>
          <w:sz w:val="24"/>
        </w:rPr>
        <w:t xml:space="preserve">US Recession Probability (RECPROUSM156N)</w:t>
      </w:r>
      <w:bookmarkEnd w:id="65"/>
    </w:p>
    <w:p>
      <w:pPr>
        <w:spacing w:line="360" w:after="210" w:lineRule="auto"/>
      </w:pPr>
      <w:r>
        <w:rPr>
          <w:rFonts w:eastAsia="georgia" w:cs="georgia" w:ascii="georgia" w:hAnsi="georgia"/>
          <w:b/>
          <w:color w:val="000000"/>
        </w:rPr>
        <w:t xml:space="preserve">What it is:</w:t>
      </w:r>
      <w:r>
        <w:rPr>
          <w:rFonts w:eastAsia="georgia" w:cs="georgia" w:ascii="georgia" w:hAnsi="georgia"/>
          <w:color w:val="000000"/>
        </w:rPr>
        <w:t xml:space="preserve"> A model-based probability estimate from the Federal Reserve Bank of New York, derived from the yield curve (specifically the 3-month to 10-year spread). Published monthly.</w:t>
      </w:r>
    </w:p>
    <w:p>
      <w:pPr>
        <w:spacing w:line="360" w:after="210" w:lineRule="auto"/>
      </w:pPr>
      <w:r>
        <w:rPr>
          <w:rFonts w:eastAsia="georgia" w:cs="georgia" w:ascii="georgia" w:hAnsi="georgia"/>
          <w:b/>
          <w:color w:val="000000"/>
        </w:rPr>
        <w:t xml:space="preserve">Dashboard gauge thresholds:</w:t>
      </w:r>
    </w:p>
    <w:p>
      <w:pPr>
        <w:numPr>
          <w:ilvl w:val="0"/>
          <w:numId w:val="23"/>
        </w:numPr>
        <w:spacing w:line="360" w:before="105" w:after="105" w:lineRule="auto"/>
      </w:pPr>
      <w:r>
        <w:rPr>
          <w:rFonts w:eastAsia="georgia" w:cs="georgia" w:ascii="georgia" w:hAnsi="georgia"/>
          <w:b/>
          <w:color w:val="000000"/>
          <w:sz w:val="21"/>
        </w:rPr>
        <w:t xml:space="preserve">Below 15%</w:t>
      </w:r>
      <w:r>
        <w:rPr>
          <w:rFonts w:eastAsia="georgia" w:cs="georgia" w:ascii="georgia" w:hAnsi="georgia"/>
          <w:color w:val="000000"/>
          <w:sz w:val="21"/>
        </w:rPr>
        <w:t xml:space="preserve"> → Green (low risk)</w:t>
      </w:r>
    </w:p>
    <w:p>
      <w:pPr>
        <w:numPr>
          <w:ilvl w:val="0"/>
          <w:numId w:val="23"/>
        </w:numPr>
        <w:spacing w:line="360" w:before="105" w:after="105" w:lineRule="auto"/>
      </w:pPr>
      <w:r>
        <w:rPr>
          <w:rFonts w:eastAsia="georgia" w:cs="georgia" w:ascii="georgia" w:hAnsi="georgia"/>
          <w:b/>
          <w:color w:val="000000"/>
          <w:sz w:val="21"/>
        </w:rPr>
        <w:t xml:space="preserve">15–30%</w:t>
      </w:r>
      <w:r>
        <w:rPr>
          <w:rFonts w:eastAsia="georgia" w:cs="georgia" w:ascii="georgia" w:hAnsi="georgia"/>
          <w:color w:val="000000"/>
          <w:sz w:val="21"/>
        </w:rPr>
        <w:t xml:space="preserve"> → Yellow (elevated; monitor closely)</w:t>
      </w:r>
    </w:p>
    <w:p>
      <w:pPr>
        <w:numPr>
          <w:ilvl w:val="0"/>
          <w:numId w:val="23"/>
        </w:numPr>
        <w:spacing w:line="360" w:before="105" w:after="105" w:lineRule="auto"/>
      </w:pPr>
      <w:r>
        <w:rPr>
          <w:rFonts w:eastAsia="georgia" w:cs="georgia" w:ascii="georgia" w:hAnsi="georgia"/>
          <w:b/>
          <w:color w:val="000000"/>
          <w:sz w:val="21"/>
        </w:rPr>
        <w:t xml:space="preserve">30–50%</w:t>
      </w:r>
      <w:r>
        <w:rPr>
          <w:rFonts w:eastAsia="georgia" w:cs="georgia" w:ascii="georgia" w:hAnsi="georgia"/>
          <w:color w:val="000000"/>
          <w:sz w:val="21"/>
        </w:rPr>
        <w:t xml:space="preserve"> → Orange (significant risk)</w:t>
      </w:r>
    </w:p>
    <w:p>
      <w:pPr>
        <w:numPr>
          <w:ilvl w:val="0"/>
          <w:numId w:val="23"/>
        </w:numPr>
        <w:spacing w:line="360" w:before="105" w:after="105" w:lineRule="auto"/>
      </w:pPr>
      <w:r>
        <w:rPr>
          <w:rFonts w:eastAsia="georgia" w:cs="georgia" w:ascii="georgia" w:hAnsi="georgia"/>
          <w:b/>
          <w:color w:val="000000"/>
          <w:sz w:val="21"/>
        </w:rPr>
        <w:t xml:space="preserve">Above 50%</w:t>
      </w:r>
      <w:r>
        <w:rPr>
          <w:rFonts w:eastAsia="georgia" w:cs="georgia" w:ascii="georgia" w:hAnsi="georgia"/>
          <w:color w:val="000000"/>
          <w:sz w:val="21"/>
        </w:rPr>
        <w:t xml:space="preserve"> → Red (recession more likely than not)</w:t>
      </w:r>
    </w:p>
    <w:p>
      <w:pPr>
        <w:spacing w:line="360" w:after="210" w:lineRule="auto"/>
      </w:pPr>
      <w:r>
        <w:rPr>
          <w:rFonts w:eastAsia="georgia" w:cs="georgia" w:ascii="georgia" w:hAnsi="georgia"/>
          <w:b/>
          <w:color w:val="000000"/>
        </w:rPr>
        <w:t xml:space="preserve">Academic backing:</w:t>
      </w:r>
      <w:r>
        <w:rPr>
          <w:rFonts w:eastAsia="georgia" w:cs="georgia" w:ascii="georgia" w:hAnsi="georgia"/>
          <w:color w:val="000000"/>
        </w:rPr>
        <w:t xml:space="preserve"> The NY Fed recession probability model was developed by Estrella and Mishkin (1996, 1998), who showed that the yield spread predicts recessions with a 12-month lead time.[cite:8][cite:17] The 3-month to 10-year spread is more statistically robust than the 2-year to 10-year spread in their original research, though both are widely used.[cite:8][cite:14]</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6" w:name="chicago_fed_national_activity_ind_1fea14"/>
      <w:r>
        <w:rPr>
          <w:rFonts w:eastAsia="georgia" w:cs="georgia" w:ascii="georgia" w:hAnsi="georgia"/>
          <w:b/>
          <w:color w:val="000000"/>
          <w:sz w:val="24"/>
        </w:rPr>
        <w:t xml:space="preserve">Chicago Fed National Activity Index (CFNAI)</w:t>
      </w:r>
      <w:bookmarkEnd w:id="66"/>
    </w:p>
    <w:p>
      <w:pPr>
        <w:spacing w:line="360" w:after="210" w:lineRule="auto"/>
      </w:pPr>
      <w:r>
        <w:rPr>
          <w:rFonts w:eastAsia="georgia" w:cs="georgia" w:ascii="georgia" w:hAnsi="georgia"/>
          <w:b/>
          <w:color w:val="000000"/>
        </w:rPr>
        <w:t xml:space="preserve">What it is:</w:t>
      </w:r>
      <w:r>
        <w:rPr>
          <w:rFonts w:eastAsia="georgia" w:cs="georgia" w:ascii="georgia" w:hAnsi="georgia"/>
          <w:color w:val="000000"/>
        </w:rPr>
        <w:t xml:space="preserve"> A monthly index built from 85 indicators of economic activity. Zero = average historical growth; positive = above-average growth; negative = below-average growth.</w:t>
      </w:r>
    </w:p>
    <w:p>
      <w:pPr>
        <w:spacing w:line="360" w:after="210" w:lineRule="auto"/>
      </w:pPr>
      <w:r>
        <w:rPr>
          <w:rFonts w:eastAsia="georgia" w:cs="georgia" w:ascii="georgia" w:hAnsi="georgia"/>
          <w:b/>
          <w:color w:val="000000"/>
        </w:rPr>
        <w:t xml:space="preserve">Special threshold:</w:t>
      </w:r>
      <w:r>
        <w:rPr>
          <w:rFonts w:eastAsia="georgia" w:cs="georgia" w:ascii="georgia" w:hAnsi="georgia"/>
          <w:color w:val="000000"/>
        </w:rPr>
        <w:t xml:space="preserve"> –0.70 over three months is the CFNAI's official recession signal threshold, historically reliable at detecting recessions as they begin.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7" w:name="section_14_key_correlations_and_p_3eab2d"/>
      <w:r>
        <w:rPr>
          <w:rFonts w:eastAsia="georgia" w:cs="georgia" w:ascii="georgia" w:hAnsi="georgia"/>
          <w:b/>
          <w:color w:val="000000"/>
          <w:sz w:val="24"/>
        </w:rPr>
        <w:t xml:space="preserve">Section 14: Key Correlations and Prediction Chains</w:t>
      </w:r>
      <w:bookmarkEnd w:id="67"/>
    </w:p>
    <w:p>
      <w:pPr>
        <w:spacing w:line="360" w:after="210" w:lineRule="auto"/>
      </w:pPr>
      <w:r>
        <w:rPr>
          <w:rFonts w:eastAsia="georgia" w:cs="georgia" w:ascii="georgia" w:hAnsi="georgia"/>
          <w:color w:val="000000"/>
        </w:rPr>
        <w:t xml:space="preserve">Understanding how indicators relate to each other is more powerful than reading any single number. Below are the most important predictive chains that the dashboard enables you to track:</w:t>
      </w:r>
    </w:p>
    <w:p>
      <w:pPr>
        <w:spacing w:line="360" w:before="315" w:after="105" w:lineRule="auto"/>
        <w:ind w:left="-30"/>
        <w:jc w:val="left"/>
      </w:pPr>
      <w:bookmarkStart w:id="68" w:name="chain_1_yield_curve_recession_pro_1d00dc"/>
      <w:r>
        <w:rPr>
          <w:rFonts w:eastAsia="georgia" w:cs="georgia" w:ascii="georgia" w:hAnsi="georgia"/>
          <w:b/>
          <w:color w:val="000000"/>
          <w:sz w:val="24"/>
        </w:rPr>
        <w:t xml:space="preserve">Chain 1: Yield Curve → Recession Probability → Credit Spreads → Equities</w:t>
      </w:r>
      <w:bookmarkEnd w:id="68"/>
    </w:p>
    <w:p>
      <w:pPr>
        <w:numPr>
          <w:ilvl w:val="0"/>
          <w:numId w:val="24"/>
        </w:numPr>
        <w:spacing w:line="360" w:before="105" w:after="105" w:lineRule="auto"/>
      </w:pPr>
      <w:r>
        <w:rPr>
          <w:rFonts w:eastAsia="georgia" w:cs="georgia" w:ascii="georgia" w:hAnsi="georgia"/>
          <w:b/>
          <w:color w:val="000000"/>
          <w:sz w:val="21"/>
        </w:rPr>
        <w:t xml:space="preserve">Yield curve inverts</w:t>
      </w:r>
      <w:r>
        <w:rPr>
          <w:rFonts w:eastAsia="georgia" w:cs="georgia" w:ascii="georgia" w:hAnsi="georgia"/>
          <w:color w:val="000000"/>
          <w:sz w:val="21"/>
        </w:rPr>
        <w:t xml:space="preserve"> (2Y &gt; 10Y) — bond market signals rate cuts expected</w:t>
      </w:r>
    </w:p>
    <w:p>
      <w:pPr>
        <w:numPr>
          <w:ilvl w:val="0"/>
          <w:numId w:val="24"/>
        </w:numPr>
        <w:spacing w:line="360" w:before="105" w:after="105" w:lineRule="auto"/>
      </w:pPr>
      <w:r>
        <w:rPr>
          <w:rFonts w:eastAsia="georgia" w:cs="georgia" w:ascii="georgia" w:hAnsi="georgia"/>
          <w:b/>
          <w:color w:val="000000"/>
          <w:sz w:val="21"/>
        </w:rPr>
        <w:t xml:space="preserve">NY Fed recession probability</w:t>
      </w:r>
      <w:r>
        <w:rPr>
          <w:rFonts w:eastAsia="georgia" w:cs="georgia" w:ascii="georgia" w:hAnsi="georgia"/>
          <w:color w:val="000000"/>
          <w:sz w:val="21"/>
        </w:rPr>
        <w:t xml:space="preserve"> rises above 30%</w:t>
      </w:r>
    </w:p>
    <w:p>
      <w:pPr>
        <w:numPr>
          <w:ilvl w:val="0"/>
          <w:numId w:val="24"/>
        </w:numPr>
        <w:spacing w:line="360" w:before="105" w:after="105" w:lineRule="auto"/>
      </w:pPr>
      <w:r>
        <w:rPr>
          <w:rFonts w:eastAsia="georgia" w:cs="georgia" w:ascii="georgia" w:hAnsi="georgia"/>
          <w:b/>
          <w:color w:val="000000"/>
          <w:sz w:val="21"/>
        </w:rPr>
        <w:t xml:space="preserve">HY credit spreads</w:t>
      </w:r>
      <w:r>
        <w:rPr>
          <w:rFonts w:eastAsia="georgia" w:cs="georgia" w:ascii="georgia" w:hAnsi="georgia"/>
          <w:color w:val="000000"/>
          <w:sz w:val="21"/>
        </w:rPr>
        <w:t xml:space="preserve"> begin widening as default risk rises</w:t>
      </w:r>
    </w:p>
    <w:p>
      <w:pPr>
        <w:numPr>
          <w:ilvl w:val="0"/>
          <w:numId w:val="24"/>
        </w:numPr>
        <w:spacing w:line="360" w:before="105" w:after="105" w:lineRule="auto"/>
      </w:pPr>
      <w:r>
        <w:rPr>
          <w:rFonts w:eastAsia="georgia" w:cs="georgia" w:ascii="georgia" w:hAnsi="georgia"/>
          <w:b/>
          <w:color w:val="000000"/>
          <w:sz w:val="21"/>
        </w:rPr>
        <w:t xml:space="preserve">Equities</w:t>
      </w:r>
      <w:r>
        <w:rPr>
          <w:rFonts w:eastAsia="georgia" w:cs="georgia" w:ascii="georgia" w:hAnsi="georgia"/>
          <w:color w:val="000000"/>
          <w:sz w:val="21"/>
        </w:rPr>
        <w:t xml:space="preserve"> (especially cyclical sectors) peak and begin falling</w:t>
      </w:r>
    </w:p>
    <w:p>
      <w:pPr>
        <w:numPr>
          <w:ilvl w:val="0"/>
          <w:numId w:val="24"/>
        </w:numPr>
        <w:spacing w:line="360" w:before="105" w:after="105" w:lineRule="auto"/>
      </w:pPr>
      <w:r>
        <w:rPr>
          <w:rFonts w:eastAsia="georgia" w:cs="georgia" w:ascii="georgia" w:hAnsi="georgia"/>
          <w:b/>
          <w:color w:val="000000"/>
          <w:sz w:val="21"/>
        </w:rPr>
        <w:t xml:space="preserve">GDP and Industrial Production</w:t>
      </w:r>
      <w:r>
        <w:rPr>
          <w:rFonts w:eastAsia="georgia" w:cs="georgia" w:ascii="georgia" w:hAnsi="georgia"/>
          <w:color w:val="000000"/>
          <w:sz w:val="21"/>
        </w:rPr>
        <w:t xml:space="preserve"> turn negative (official recession confirmed, usually 12–18 months after initial inversion)</w:t>
      </w:r>
    </w:p>
    <w:p>
      <w:pPr>
        <w:spacing w:line="360" w:after="210" w:lineRule="auto"/>
      </w:pPr>
      <w:r>
        <w:rPr>
          <w:rFonts w:eastAsia="georgia" w:cs="georgia" w:ascii="georgia" w:hAnsi="georgia"/>
          <w:i/>
          <w:color w:val="000000"/>
        </w:rPr>
        <w:t xml:space="preserve">Academic source: Every recession since 1970 has been preceded by yield curve inversion. The average lead time is 12–14 months.[cite:8][cite:11][cite:14]</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9" w:name="chain_2_cpi_pce_fed_rate_mortgage_e9a518"/>
      <w:r>
        <w:rPr>
          <w:rFonts w:eastAsia="georgia" w:cs="georgia" w:ascii="georgia" w:hAnsi="georgia"/>
          <w:b/>
          <w:color w:val="000000"/>
          <w:sz w:val="24"/>
        </w:rPr>
        <w:t xml:space="preserve">Chain 2: CPI / PCE → Fed Rate → Mortgage Rate → Housing</w:t>
      </w:r>
      <w:bookmarkEnd w:id="69"/>
    </w:p>
    <w:p>
      <w:pPr>
        <w:numPr>
          <w:ilvl w:val="0"/>
          <w:numId w:val="25"/>
        </w:numPr>
        <w:spacing w:line="360" w:before="105" w:after="105" w:lineRule="auto"/>
      </w:pPr>
      <w:r>
        <w:rPr>
          <w:rFonts w:eastAsia="georgia" w:cs="georgia" w:ascii="georgia" w:hAnsi="georgia"/>
          <w:b/>
          <w:color w:val="000000"/>
          <w:sz w:val="21"/>
        </w:rPr>
        <w:t xml:space="preserve">CPI and Core PCE</w:t>
      </w:r>
      <w:r>
        <w:rPr>
          <w:rFonts w:eastAsia="georgia" w:cs="georgia" w:ascii="georgia" w:hAnsi="georgia"/>
          <w:color w:val="000000"/>
          <w:sz w:val="21"/>
        </w:rPr>
        <w:t xml:space="preserve"> rise above 3%</w:t>
      </w:r>
    </w:p>
    <w:p>
      <w:pPr>
        <w:numPr>
          <w:ilvl w:val="0"/>
          <w:numId w:val="25"/>
        </w:numPr>
        <w:spacing w:line="360" w:before="105" w:after="105" w:lineRule="auto"/>
      </w:pPr>
      <w:r>
        <w:rPr>
          <w:rFonts w:eastAsia="georgia" w:cs="georgia" w:ascii="georgia" w:hAnsi="georgia"/>
          <w:b/>
          <w:color w:val="000000"/>
          <w:sz w:val="21"/>
        </w:rPr>
        <w:t xml:space="preserve">Fed raises the Federal Funds Rate</w:t>
      </w:r>
      <w:r>
        <w:rPr>
          <w:rFonts w:eastAsia="georgia" w:cs="georgia" w:ascii="georgia" w:hAnsi="georgia"/>
          <w:color w:val="000000"/>
          <w:sz w:val="21"/>
        </w:rPr>
        <w:t xml:space="preserve"> to tighten financial conditions</w:t>
      </w:r>
    </w:p>
    <w:p>
      <w:pPr>
        <w:numPr>
          <w:ilvl w:val="0"/>
          <w:numId w:val="25"/>
        </w:numPr>
        <w:spacing w:line="360" w:before="105" w:after="105" w:lineRule="auto"/>
      </w:pPr>
      <w:r>
        <w:rPr>
          <w:rFonts w:eastAsia="georgia" w:cs="georgia" w:ascii="georgia" w:hAnsi="georgia"/>
          <w:b/>
          <w:color w:val="000000"/>
          <w:sz w:val="21"/>
        </w:rPr>
        <w:t xml:space="preserve">30-year mortgage rates</w:t>
      </w:r>
      <w:r>
        <w:rPr>
          <w:rFonts w:eastAsia="georgia" w:cs="georgia" w:ascii="georgia" w:hAnsi="georgia"/>
          <w:color w:val="000000"/>
          <w:sz w:val="21"/>
        </w:rPr>
        <w:t xml:space="preserve"> follow Fed Funds higher</w:t>
      </w:r>
    </w:p>
    <w:p>
      <w:pPr>
        <w:numPr>
          <w:ilvl w:val="0"/>
          <w:numId w:val="25"/>
        </w:numPr>
        <w:spacing w:line="360" w:before="105" w:after="105" w:lineRule="auto"/>
      </w:pPr>
      <w:r>
        <w:rPr>
          <w:rFonts w:eastAsia="georgia" w:cs="georgia" w:ascii="georgia" w:hAnsi="georgia"/>
          <w:b/>
          <w:color w:val="000000"/>
          <w:sz w:val="21"/>
        </w:rPr>
        <w:t xml:space="preserve">Housing starts and building permits</w:t>
      </w:r>
      <w:r>
        <w:rPr>
          <w:rFonts w:eastAsia="georgia" w:cs="georgia" w:ascii="georgia" w:hAnsi="georgia"/>
          <w:color w:val="000000"/>
          <w:sz w:val="21"/>
        </w:rPr>
        <w:t xml:space="preserve"> fall as affordability worsens</w:t>
      </w:r>
    </w:p>
    <w:p>
      <w:pPr>
        <w:numPr>
          <w:ilvl w:val="0"/>
          <w:numId w:val="25"/>
        </w:numPr>
        <w:spacing w:line="360" w:before="105" w:after="105" w:lineRule="auto"/>
      </w:pPr>
      <w:r>
        <w:rPr>
          <w:rFonts w:eastAsia="georgia" w:cs="georgia" w:ascii="georgia" w:hAnsi="georgia"/>
          <w:b/>
          <w:color w:val="000000"/>
          <w:sz w:val="21"/>
        </w:rPr>
        <w:t xml:space="preserve">Case-Shiller HPI</w:t>
      </w:r>
      <w:r>
        <w:rPr>
          <w:rFonts w:eastAsia="georgia" w:cs="georgia" w:ascii="georgia" w:hAnsi="georgia"/>
          <w:color w:val="000000"/>
          <w:sz w:val="21"/>
        </w:rPr>
        <w:t xml:space="preserve"> decelerates or turns negative with a 6–12 month lag</w:t>
      </w:r>
    </w:p>
    <w:p>
      <w:pPr>
        <w:numPr>
          <w:ilvl w:val="0"/>
          <w:numId w:val="25"/>
        </w:numPr>
        <w:spacing w:line="360" w:before="105" w:after="105" w:lineRule="auto"/>
      </w:pPr>
      <w:r>
        <w:rPr>
          <w:rFonts w:eastAsia="georgia" w:cs="georgia" w:ascii="georgia" w:hAnsi="georgia"/>
          <w:b/>
          <w:color w:val="000000"/>
          <w:sz w:val="21"/>
        </w:rPr>
        <w:t xml:space="preserve">Consumer spending</w:t>
      </w:r>
      <w:r>
        <w:rPr>
          <w:rFonts w:eastAsia="georgia" w:cs="georgia" w:ascii="georgia" w:hAnsi="georgia"/>
          <w:color w:val="000000"/>
          <w:sz w:val="21"/>
        </w:rPr>
        <w:t xml:space="preserve"> falls (less home equity, less "wealth effect")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0" w:name="chain_3_gdpnow_wei_industrial_pro_dee735"/>
      <w:r>
        <w:rPr>
          <w:rFonts w:eastAsia="georgia" w:cs="georgia" w:ascii="georgia" w:hAnsi="georgia"/>
          <w:b/>
          <w:color w:val="000000"/>
          <w:sz w:val="24"/>
        </w:rPr>
        <w:t xml:space="preserve">Chain 3: GDPNow → WEI → Industrial Production → Labor</w:t>
      </w:r>
      <w:bookmarkEnd w:id="70"/>
    </w:p>
    <w:p>
      <w:pPr>
        <w:numPr>
          <w:ilvl w:val="0"/>
          <w:numId w:val="26"/>
        </w:numPr>
        <w:spacing w:line="360" w:before="105" w:after="105" w:lineRule="auto"/>
      </w:pPr>
      <w:r>
        <w:rPr>
          <w:rFonts w:eastAsia="georgia" w:cs="georgia" w:ascii="georgia" w:hAnsi="georgia"/>
          <w:b/>
          <w:color w:val="000000"/>
          <w:sz w:val="21"/>
        </w:rPr>
        <w:t xml:space="preserve">GDPNow</w:t>
      </w:r>
      <w:r>
        <w:rPr>
          <w:rFonts w:eastAsia="georgia" w:cs="georgia" w:ascii="georgia" w:hAnsi="georgia"/>
          <w:color w:val="000000"/>
          <w:sz w:val="21"/>
        </w:rPr>
        <w:t xml:space="preserve"> estimate falls toward zero or negative</w:t>
      </w:r>
    </w:p>
    <w:p>
      <w:pPr>
        <w:numPr>
          <w:ilvl w:val="0"/>
          <w:numId w:val="26"/>
        </w:numPr>
        <w:spacing w:line="360" w:before="105" w:after="105" w:lineRule="auto"/>
      </w:pPr>
      <w:r>
        <w:rPr>
          <w:rFonts w:eastAsia="georgia" w:cs="georgia" w:ascii="georgia" w:hAnsi="georgia"/>
          <w:b/>
          <w:color w:val="000000"/>
          <w:sz w:val="21"/>
        </w:rPr>
        <w:t xml:space="preserve">WEI</w:t>
      </w:r>
      <w:r>
        <w:rPr>
          <w:rFonts w:eastAsia="georgia" w:cs="georgia" w:ascii="georgia" w:hAnsi="georgia"/>
          <w:color w:val="000000"/>
          <w:sz w:val="21"/>
        </w:rPr>
        <w:t xml:space="preserve"> weekly index turns negative</w:t>
      </w:r>
    </w:p>
    <w:p>
      <w:pPr>
        <w:numPr>
          <w:ilvl w:val="0"/>
          <w:numId w:val="26"/>
        </w:numPr>
        <w:spacing w:line="360" w:before="105" w:after="105" w:lineRule="auto"/>
      </w:pPr>
      <w:r>
        <w:rPr>
          <w:rFonts w:eastAsia="georgia" w:cs="georgia" w:ascii="georgia" w:hAnsi="georgia"/>
          <w:b/>
          <w:color w:val="000000"/>
          <w:sz w:val="21"/>
        </w:rPr>
        <w:t xml:space="preserve">Industrial Production</w:t>
      </w:r>
      <w:r>
        <w:rPr>
          <w:rFonts w:eastAsia="georgia" w:cs="georgia" w:ascii="georgia" w:hAnsi="georgia"/>
          <w:color w:val="000000"/>
          <w:sz w:val="21"/>
        </w:rPr>
        <w:t xml:space="preserve"> begins contracting</w:t>
      </w:r>
    </w:p>
    <w:p>
      <w:pPr>
        <w:numPr>
          <w:ilvl w:val="0"/>
          <w:numId w:val="26"/>
        </w:numPr>
        <w:spacing w:line="360" w:before="105" w:after="105" w:lineRule="auto"/>
      </w:pPr>
      <w:r>
        <w:rPr>
          <w:rFonts w:eastAsia="georgia" w:cs="georgia" w:ascii="georgia" w:hAnsi="georgia"/>
          <w:b/>
          <w:color w:val="000000"/>
          <w:sz w:val="21"/>
        </w:rPr>
        <w:t xml:space="preserve">Jobless Claims</w:t>
      </w:r>
      <w:r>
        <w:rPr>
          <w:rFonts w:eastAsia="georgia" w:cs="georgia" w:ascii="georgia" w:hAnsi="georgia"/>
          <w:color w:val="000000"/>
          <w:sz w:val="21"/>
        </w:rPr>
        <w:t xml:space="preserve"> (ICSA) begin rising</w:t>
      </w:r>
    </w:p>
    <w:p>
      <w:pPr>
        <w:numPr>
          <w:ilvl w:val="0"/>
          <w:numId w:val="26"/>
        </w:numPr>
        <w:spacing w:line="360" w:before="105" w:after="105" w:lineRule="auto"/>
      </w:pPr>
      <w:r>
        <w:rPr>
          <w:rFonts w:eastAsia="georgia" w:cs="georgia" w:ascii="georgia" w:hAnsi="georgia"/>
          <w:b/>
          <w:color w:val="000000"/>
          <w:sz w:val="21"/>
        </w:rPr>
        <w:t xml:space="preserve">Unemployment Rate</w:t>
      </w:r>
      <w:r>
        <w:rPr>
          <w:rFonts w:eastAsia="georgia" w:cs="georgia" w:ascii="georgia" w:hAnsi="georgia"/>
          <w:color w:val="000000"/>
          <w:sz w:val="21"/>
        </w:rPr>
        <w:t xml:space="preserve"> (UNRATE) rises with a lag of 3–6 months</w:t>
      </w:r>
    </w:p>
    <w:p>
      <w:pPr>
        <w:numPr>
          <w:ilvl w:val="0"/>
          <w:numId w:val="26"/>
        </w:numPr>
        <w:spacing w:line="360" w:before="105" w:after="105" w:lineRule="auto"/>
      </w:pPr>
      <w:r>
        <w:rPr>
          <w:rFonts w:eastAsia="georgia" w:cs="georgia" w:ascii="georgia" w:hAnsi="georgia"/>
          <w:b/>
          <w:color w:val="000000"/>
          <w:sz w:val="21"/>
        </w:rPr>
        <w:t xml:space="preserve">Consumer Sentiment</w:t>
      </w:r>
      <w:r>
        <w:rPr>
          <w:rFonts w:eastAsia="georgia" w:cs="georgia" w:ascii="georgia" w:hAnsi="georgia"/>
          <w:color w:val="000000"/>
          <w:sz w:val="21"/>
        </w:rPr>
        <w:t xml:space="preserve"> (UMCSENT) collapses</w:t>
      </w:r>
    </w:p>
    <w:p>
      <w:pPr>
        <w:numPr>
          <w:ilvl w:val="0"/>
          <w:numId w:val="26"/>
        </w:numPr>
        <w:spacing w:line="360" w:before="105" w:after="105" w:lineRule="auto"/>
      </w:pPr>
      <w:r>
        <w:rPr>
          <w:rFonts w:eastAsia="georgia" w:cs="georgia" w:ascii="georgia" w:hAnsi="georgia"/>
          <w:b/>
          <w:color w:val="000000"/>
          <w:sz w:val="21"/>
        </w:rPr>
        <w:t xml:space="preserve">Retail Sales</w:t>
      </w:r>
      <w:r>
        <w:rPr>
          <w:rFonts w:eastAsia="georgia" w:cs="georgia" w:ascii="georgia" w:hAnsi="georgia"/>
          <w:color w:val="000000"/>
          <w:sz w:val="21"/>
        </w:rPr>
        <w:t xml:space="preserve"> fall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1" w:name="chain_4_inflation_cooling_real_ra_9852b3"/>
      <w:r>
        <w:rPr>
          <w:rFonts w:eastAsia="georgia" w:cs="georgia" w:ascii="georgia" w:hAnsi="georgia"/>
          <w:b/>
          <w:color w:val="000000"/>
          <w:sz w:val="24"/>
        </w:rPr>
        <w:t xml:space="preserve">Chain 4: Inflation Cooling → Real Rate Rise → Gold Falls / CAPE Derates</w:t>
      </w:r>
      <w:bookmarkEnd w:id="71"/>
    </w:p>
    <w:p>
      <w:pPr>
        <w:numPr>
          <w:ilvl w:val="0"/>
          <w:numId w:val="27"/>
        </w:numPr>
        <w:spacing w:line="360" w:before="105" w:after="105" w:lineRule="auto"/>
      </w:pPr>
      <w:r>
        <w:rPr>
          <w:rFonts w:eastAsia="georgia" w:cs="georgia" w:ascii="georgia" w:hAnsi="georgia"/>
          <w:b/>
          <w:color w:val="000000"/>
          <w:sz w:val="21"/>
        </w:rPr>
        <w:t xml:space="preserve">CPI and PCE</w:t>
      </w:r>
      <w:r>
        <w:rPr>
          <w:rFonts w:eastAsia="georgia" w:cs="georgia" w:ascii="georgia" w:hAnsi="georgia"/>
          <w:color w:val="000000"/>
          <w:sz w:val="21"/>
        </w:rPr>
        <w:t xml:space="preserve"> fall back toward 2%</w:t>
      </w:r>
    </w:p>
    <w:p>
      <w:pPr>
        <w:numPr>
          <w:ilvl w:val="0"/>
          <w:numId w:val="27"/>
        </w:numPr>
        <w:spacing w:line="360" w:before="105" w:after="105" w:lineRule="auto"/>
      </w:pPr>
      <w:r>
        <w:rPr>
          <w:rFonts w:eastAsia="georgia" w:cs="georgia" w:ascii="georgia" w:hAnsi="georgia"/>
          <w:b/>
          <w:color w:val="000000"/>
          <w:sz w:val="21"/>
        </w:rPr>
        <w:t xml:space="preserve">Real interest rates</w:t>
      </w:r>
      <w:r>
        <w:rPr>
          <w:rFonts w:eastAsia="georgia" w:cs="georgia" w:ascii="georgia" w:hAnsi="georgia"/>
          <w:color w:val="000000"/>
          <w:sz w:val="21"/>
        </w:rPr>
        <w:t xml:space="preserve"> (nominal rate minus inflation) rise</w:t>
      </w:r>
    </w:p>
    <w:p>
      <w:pPr>
        <w:numPr>
          <w:ilvl w:val="0"/>
          <w:numId w:val="27"/>
        </w:numPr>
        <w:spacing w:line="360" w:before="105" w:after="105" w:lineRule="auto"/>
      </w:pPr>
      <w:r>
        <w:rPr>
          <w:rFonts w:eastAsia="georgia" w:cs="georgia" w:ascii="georgia" w:hAnsi="georgia"/>
          <w:b/>
          <w:color w:val="000000"/>
          <w:sz w:val="21"/>
        </w:rPr>
        <w:t xml:space="preserve">Gold</w:t>
      </w:r>
      <w:r>
        <w:rPr>
          <w:rFonts w:eastAsia="georgia" w:cs="georgia" w:ascii="georgia" w:hAnsi="georgia"/>
          <w:color w:val="000000"/>
          <w:sz w:val="21"/>
        </w:rPr>
        <w:t xml:space="preserve"> tends to fall (cost of holding gold increases relative to bonds)</w:t>
      </w:r>
    </w:p>
    <w:p>
      <w:pPr>
        <w:numPr>
          <w:ilvl w:val="0"/>
          <w:numId w:val="27"/>
        </w:numPr>
        <w:spacing w:line="360" w:before="105" w:after="105" w:lineRule="auto"/>
      </w:pPr>
      <w:r>
        <w:rPr>
          <w:rFonts w:eastAsia="georgia" w:cs="georgia" w:ascii="georgia" w:hAnsi="georgia"/>
          <w:b/>
          <w:color w:val="000000"/>
          <w:sz w:val="21"/>
        </w:rPr>
        <w:t xml:space="preserve">CAPE Ratio</w:t>
      </w:r>
      <w:r>
        <w:rPr>
          <w:rFonts w:eastAsia="georgia" w:cs="georgia" w:ascii="georgia" w:hAnsi="georgia"/>
          <w:color w:val="000000"/>
          <w:sz w:val="21"/>
        </w:rPr>
        <w:t xml:space="preserve"> may compress as higher real discount rates reduce the present value of future earnings</w:t>
      </w:r>
    </w:p>
    <w:p>
      <w:pPr>
        <w:numPr>
          <w:ilvl w:val="0"/>
          <w:numId w:val="27"/>
        </w:numPr>
        <w:spacing w:line="360" w:before="105" w:after="105" w:lineRule="auto"/>
      </w:pPr>
      <w:r>
        <w:rPr>
          <w:rFonts w:eastAsia="georgia" w:cs="georgia" w:ascii="georgia" w:hAnsi="georgia"/>
          <w:b/>
          <w:color w:val="000000"/>
          <w:sz w:val="21"/>
        </w:rPr>
        <w:t xml:space="preserve">Growth stocks</w:t>
      </w:r>
      <w:r>
        <w:rPr>
          <w:rFonts w:eastAsia="georgia" w:cs="georgia" w:ascii="georgia" w:hAnsi="georgia"/>
          <w:color w:val="000000"/>
          <w:sz w:val="21"/>
        </w:rPr>
        <w:t xml:space="preserve"> (high-duration equities) underperform value stocks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2" w:name="chain_5_fear_greed_naaim_contrari_43239b"/>
      <w:r>
        <w:rPr>
          <w:rFonts w:eastAsia="georgia" w:cs="georgia" w:ascii="georgia" w:hAnsi="georgia"/>
          <w:b/>
          <w:color w:val="000000"/>
          <w:sz w:val="24"/>
        </w:rPr>
        <w:t xml:space="preserve">Chain 5: Fear &amp; Greed + NAAIM → Contrarian Signal → Market Turning Points</w:t>
      </w:r>
      <w:bookmarkEnd w:id="72"/>
    </w:p>
    <w:p>
      <w:pPr>
        <w:numPr>
          <w:ilvl w:val="0"/>
          <w:numId w:val="28"/>
        </w:numPr>
        <w:spacing w:line="360" w:before="105" w:after="105" w:lineRule="auto"/>
      </w:pPr>
      <w:r>
        <w:rPr>
          <w:rFonts w:eastAsia="georgia" w:cs="georgia" w:ascii="georgia" w:hAnsi="georgia"/>
          <w:b/>
          <w:color w:val="000000"/>
          <w:sz w:val="21"/>
        </w:rPr>
        <w:t xml:space="preserve">Fear &amp; Greed drops below 25</w:t>
      </w:r>
      <w:r>
        <w:rPr>
          <w:rFonts w:eastAsia="georgia" w:cs="georgia" w:ascii="georgia" w:hAnsi="georgia"/>
          <w:color w:val="000000"/>
          <w:sz w:val="21"/>
        </w:rPr>
        <w:t xml:space="preserve"> (Extreme Fear) + </w:t>
      </w:r>
      <w:r>
        <w:rPr>
          <w:rFonts w:eastAsia="georgia" w:cs="georgia" w:ascii="georgia" w:hAnsi="georgia"/>
          <w:b/>
          <w:color w:val="000000"/>
          <w:sz w:val="21"/>
        </w:rPr>
        <w:t xml:space="preserve">NAAIM below 30</w:t>
      </w:r>
      <w:r>
        <w:rPr>
          <w:rFonts w:eastAsia="georgia" w:cs="georgia" w:ascii="georgia" w:hAnsi="georgia"/>
          <w:color w:val="000000"/>
          <w:sz w:val="21"/>
        </w:rPr>
        <w:t xml:space="preserve"> (managers very defensive)</w:t>
      </w:r>
    </w:p>
    <w:p>
      <w:pPr>
        <w:numPr>
          <w:ilvl w:val="0"/>
          <w:numId w:val="28"/>
        </w:numPr>
        <w:spacing w:line="360" w:before="105" w:after="105" w:lineRule="auto"/>
      </w:pPr>
      <w:r>
        <w:rPr>
          <w:rFonts w:eastAsia="georgia" w:cs="georgia" w:ascii="georgia" w:hAnsi="georgia"/>
          <w:color w:val="000000"/>
          <w:sz w:val="21"/>
        </w:rPr>
        <w:t xml:space="preserve">These extremes historically precede short-term market bottoms</w:t>
      </w:r>
    </w:p>
    <w:p>
      <w:pPr>
        <w:numPr>
          <w:ilvl w:val="0"/>
          <w:numId w:val="28"/>
        </w:numPr>
        <w:spacing w:line="360" w:before="105" w:after="105" w:lineRule="auto"/>
      </w:pPr>
      <w:r>
        <w:rPr>
          <w:rFonts w:eastAsia="georgia" w:cs="georgia" w:ascii="georgia" w:hAnsi="georgia"/>
          <w:b/>
          <w:color w:val="000000"/>
          <w:sz w:val="21"/>
        </w:rPr>
        <w:t xml:space="preserve">Confirmation signal:</w:t>
      </w:r>
      <w:r>
        <w:rPr>
          <w:rFonts w:eastAsia="georgia" w:cs="georgia" w:ascii="georgia" w:hAnsi="georgia"/>
          <w:color w:val="000000"/>
          <w:sz w:val="21"/>
        </w:rPr>
        <w:t xml:space="preserve"> VIX in backwardation (near-term fear peak) + PCR above 1.5 (panic puts)</w:t>
      </w:r>
    </w:p>
    <w:p>
      <w:pPr>
        <w:numPr>
          <w:ilvl w:val="0"/>
          <w:numId w:val="28"/>
        </w:numPr>
        <w:spacing w:line="360" w:before="105" w:after="105" w:lineRule="auto"/>
      </w:pPr>
      <w:r>
        <w:rPr>
          <w:rFonts w:eastAsia="georgia" w:cs="georgia" w:ascii="georgia" w:hAnsi="georgia"/>
          <w:b/>
          <w:color w:val="000000"/>
          <w:sz w:val="21"/>
        </w:rPr>
        <w:t xml:space="preserve">Entry signal:</w:t>
      </w:r>
      <w:r>
        <w:rPr>
          <w:rFonts w:eastAsia="georgia" w:cs="georgia" w:ascii="georgia" w:hAnsi="georgia"/>
          <w:color w:val="000000"/>
          <w:sz w:val="21"/>
        </w:rPr>
        <w:t xml:space="preserve"> When VIX begins falling from elevated levels while NAAIM starts recovering</w:t>
      </w:r>
    </w:p>
    <w:p>
      <w:pPr>
        <w:numPr>
          <w:ilvl w:val="0"/>
          <w:numId w:val="28"/>
        </w:numPr>
        <w:spacing w:line="360" w:before="105" w:after="105" w:lineRule="auto"/>
      </w:pPr>
      <w:r>
        <w:rPr>
          <w:rFonts w:eastAsia="georgia" w:cs="georgia" w:ascii="georgia" w:hAnsi="georgia"/>
          <w:b/>
          <w:color w:val="000000"/>
          <w:sz w:val="21"/>
        </w:rPr>
        <w:t xml:space="preserve">Exit warning:</w:t>
      </w:r>
      <w:r>
        <w:rPr>
          <w:rFonts w:eastAsia="georgia" w:cs="georgia" w:ascii="georgia" w:hAnsi="georgia"/>
          <w:color w:val="000000"/>
          <w:sz w:val="21"/>
        </w:rPr>
        <w:t xml:space="preserve"> Fear &amp; Greed above 75 + NAAIM above 80 + CAPE above 30 = historically dangerous combination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3" w:name="section_15_dashboard_alert_system_8c48d6"/>
      <w:r>
        <w:rPr>
          <w:rFonts w:eastAsia="georgia" w:cs="georgia" w:ascii="georgia" w:hAnsi="georgia"/>
          <w:b/>
          <w:color w:val="000000"/>
          <w:sz w:val="24"/>
        </w:rPr>
        <w:t xml:space="preserve">Section 15: Dashboard Alert System — Quick Reference</w:t>
      </w:r>
      <w:bookmarkEnd w:id="73"/>
    </w:p>
    <w:p>
      <w:pPr>
        <w:spacing w:line="360" w:after="210" w:lineRule="auto"/>
      </w:pPr>
      <w:r>
        <w:rPr>
          <w:rFonts w:eastAsia="georgia" w:cs="georgia" w:ascii="georgia" w:hAnsi="georgia"/>
          <w:color w:val="000000"/>
        </w:rPr>
        <w:t xml:space="preserve">The dashboard uses a colour-coded alert system. Here is how to interpret the colour signals globally:</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Colour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Meaning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Green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Within normal/healthy range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Monitor; no action required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Yellow</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Approaching warning threshold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Increase attention; review related indicators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Red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Danger threshold breached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Consider defensive positioning; verify with corroborating signals</w:t>
            </w:r>
          </w:p>
        </w:tc>
      </w:tr>
    </w:tbl>
    <w:p>
      <w:pPr>
        <w:spacing w:lineRule="auto"/>
      </w:pPr>
    </w:p>
    <w:p>
      <w:pPr>
        <w:spacing w:line="360" w:after="210" w:lineRule="auto"/>
      </w:pPr>
      <w:r>
        <w:rPr>
          <w:rFonts w:eastAsia="georgia" w:cs="georgia" w:ascii="georgia" w:hAnsi="georgia"/>
          <w:b/>
          <w:color w:val="000000"/>
        </w:rPr>
        <w:t xml:space="preserve">Red alert priority order</w:t>
      </w:r>
      <w:r>
        <w:rPr>
          <w:rFonts w:eastAsia="georgia" w:cs="georgia" w:ascii="georgia" w:hAnsi="georgia"/>
          <w:color w:val="000000"/>
        </w:rPr>
        <w:t xml:space="preserve"> (most to least severe):</w:t>
      </w:r>
    </w:p>
    <w:p>
      <w:pPr>
        <w:numPr>
          <w:ilvl w:val="0"/>
          <w:numId w:val="29"/>
        </w:numPr>
        <w:spacing w:line="360" w:before="105" w:after="105" w:lineRule="auto"/>
      </w:pPr>
      <w:r>
        <w:rPr>
          <w:rFonts w:eastAsia="georgia" w:cs="georgia" w:ascii="georgia" w:hAnsi="georgia"/>
          <w:color w:val="000000"/>
          <w:sz w:val="21"/>
        </w:rPr>
        <w:t xml:space="preserve">Recession Probability &gt; 50%</w:t>
      </w:r>
    </w:p>
    <w:p>
      <w:pPr>
        <w:numPr>
          <w:ilvl w:val="0"/>
          <w:numId w:val="29"/>
        </w:numPr>
        <w:spacing w:line="360" w:before="105" w:after="105" w:lineRule="auto"/>
      </w:pPr>
      <w:r>
        <w:rPr>
          <w:rFonts w:eastAsia="georgia" w:cs="georgia" w:ascii="georgia" w:hAnsi="georgia"/>
          <w:color w:val="000000"/>
          <w:sz w:val="21"/>
        </w:rPr>
        <w:t xml:space="preserve">GDP contracting (GDPNow &lt; 0)</w:t>
      </w:r>
    </w:p>
    <w:p>
      <w:pPr>
        <w:numPr>
          <w:ilvl w:val="0"/>
          <w:numId w:val="29"/>
        </w:numPr>
        <w:spacing w:line="360" w:before="105" w:after="105" w:lineRule="auto"/>
      </w:pPr>
      <w:r>
        <w:rPr>
          <w:rFonts w:eastAsia="georgia" w:cs="georgia" w:ascii="georgia" w:hAnsi="georgia"/>
          <w:color w:val="000000"/>
          <w:sz w:val="21"/>
        </w:rPr>
        <w:t xml:space="preserve">VIX backwardation + negative GEX simultaneously</w:t>
      </w:r>
    </w:p>
    <w:p>
      <w:pPr>
        <w:numPr>
          <w:ilvl w:val="0"/>
          <w:numId w:val="29"/>
        </w:numPr>
        <w:spacing w:line="360" w:before="105" w:after="105" w:lineRule="auto"/>
      </w:pPr>
      <w:r>
        <w:rPr>
          <w:rFonts w:eastAsia="georgia" w:cs="georgia" w:ascii="georgia" w:hAnsi="georgia"/>
          <w:color w:val="000000"/>
          <w:sz w:val="21"/>
        </w:rPr>
        <w:t xml:space="preserve">HY credit spread &gt; 500bp</w:t>
      </w:r>
    </w:p>
    <w:p>
      <w:pPr>
        <w:numPr>
          <w:ilvl w:val="0"/>
          <w:numId w:val="29"/>
        </w:numPr>
        <w:spacing w:line="360" w:before="105" w:after="105" w:lineRule="auto"/>
      </w:pPr>
      <w:r>
        <w:rPr>
          <w:rFonts w:eastAsia="georgia" w:cs="georgia" w:ascii="georgia" w:hAnsi="georgia"/>
          <w:color w:val="000000"/>
          <w:sz w:val="21"/>
        </w:rPr>
        <w:t xml:space="preserve">CPI &gt; 4% with Core PCE still rising</w:t>
      </w:r>
    </w:p>
    <w:p>
      <w:pPr>
        <w:numPr>
          <w:ilvl w:val="0"/>
          <w:numId w:val="29"/>
        </w:numPr>
        <w:spacing w:line="360" w:before="105" w:after="105" w:lineRule="auto"/>
      </w:pPr>
      <w:r>
        <w:rPr>
          <w:rFonts w:eastAsia="georgia" w:cs="georgia" w:ascii="georgia" w:hAnsi="georgia"/>
          <w:color w:val="000000"/>
          <w:sz w:val="21"/>
        </w:rPr>
        <w:t xml:space="preserve">ICSA &gt; 400k (sudden spike)</w:t>
      </w:r>
    </w:p>
    <w:p>
      <w:pPr>
        <w:numPr>
          <w:ilvl w:val="0"/>
          <w:numId w:val="29"/>
        </w:numPr>
        <w:spacing w:line="360" w:before="105" w:after="105" w:lineRule="auto"/>
      </w:pPr>
      <w:r>
        <w:rPr>
          <w:rFonts w:eastAsia="georgia" w:cs="georgia" w:ascii="georgia" w:hAnsi="georgia"/>
          <w:color w:val="000000"/>
          <w:sz w:val="21"/>
        </w:rPr>
        <w:t xml:space="preserve">CAPE &gt; 35 + NAAIM &gt; 90 + Fear &amp; Greed &gt; 80 (triple overvaluation signal)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4" w:name="section_16_practical_reading_workflow"/>
      <w:r>
        <w:rPr>
          <w:rFonts w:eastAsia="georgia" w:cs="georgia" w:ascii="georgia" w:hAnsi="georgia"/>
          <w:b/>
          <w:color w:val="000000"/>
          <w:sz w:val="24"/>
        </w:rPr>
        <w:t xml:space="preserve">Section 16: Practical Reading Workflow</w:t>
      </w:r>
      <w:bookmarkEnd w:id="74"/>
    </w:p>
    <w:p>
      <w:pPr>
        <w:spacing w:line="360" w:after="210" w:lineRule="auto"/>
      </w:pPr>
      <w:r>
        <w:rPr>
          <w:rFonts w:eastAsia="georgia" w:cs="georgia" w:ascii="georgia" w:hAnsi="georgia"/>
          <w:color w:val="000000"/>
        </w:rPr>
        <w:t xml:space="preserve">Follow this six-step process each time you open the dashboard for an efficient, disciplined read:</w:t>
      </w:r>
    </w:p>
    <w:p>
      <w:pPr>
        <w:spacing w:line="360" w:after="210" w:lineRule="auto"/>
      </w:pPr>
      <w:r>
        <w:rPr>
          <w:rFonts w:eastAsia="georgia" w:cs="georgia" w:ascii="georgia" w:hAnsi="georgia"/>
          <w:b/>
          <w:color w:val="000000"/>
        </w:rPr>
        <w:t xml:space="preserve">Step 1 — Check the six KPI tiles at the top.</w:t>
      </w:r>
      <w:r>
        <w:rPr>
          <w:rFonts w:eastAsia="georgia" w:cs="georgia" w:ascii="georgia" w:hAnsi="georgia"/>
          <w:color w:val="000000"/>
        </w:rPr>
        <w:t xml:space="preserve"> Are any red? This tells you whether any critical variable is in danger territory before you read anything else.</w:t>
      </w:r>
    </w:p>
    <w:p>
      <w:pPr>
        <w:spacing w:line="360" w:after="210" w:lineRule="auto"/>
      </w:pPr>
      <w:r>
        <w:rPr>
          <w:rFonts w:eastAsia="georgia" w:cs="georgia" w:ascii="georgia" w:hAnsi="georgia"/>
          <w:b/>
          <w:color w:val="000000"/>
        </w:rPr>
        <w:t xml:space="preserve">Step 2 — Check the Macro Regime.</w:t>
      </w:r>
      <w:r>
        <w:rPr>
          <w:rFonts w:eastAsia="georgia" w:cs="georgia" w:ascii="georgia" w:hAnsi="georgia"/>
          <w:color w:val="000000"/>
        </w:rPr>
        <w:t xml:space="preserve"> Which quadrant is the star in? Is it moving toward or away from Goldilocks? This sets your overall risk posture.</w:t>
      </w:r>
    </w:p>
    <w:p>
      <w:pPr>
        <w:spacing w:line="360" w:after="210" w:lineRule="auto"/>
      </w:pPr>
      <w:r>
        <w:rPr>
          <w:rFonts w:eastAsia="georgia" w:cs="georgia" w:ascii="georgia" w:hAnsi="georgia"/>
          <w:b/>
          <w:color w:val="000000"/>
        </w:rPr>
        <w:t xml:space="preserve">Step 3 — Check the yield curve and 2Y–10Y spread.</w:t>
      </w:r>
      <w:r>
        <w:rPr>
          <w:rFonts w:eastAsia="georgia" w:cs="georgia" w:ascii="georgia" w:hAnsi="georgia"/>
          <w:color w:val="000000"/>
        </w:rPr>
        <w:t xml:space="preserve"> Is the curve normal or inverted? How long has it been inverted?</w:t>
      </w:r>
    </w:p>
    <w:p>
      <w:pPr>
        <w:spacing w:line="360" w:after="210" w:lineRule="auto"/>
      </w:pPr>
      <w:r>
        <w:rPr>
          <w:rFonts w:eastAsia="georgia" w:cs="georgia" w:ascii="georgia" w:hAnsi="georgia"/>
          <w:b/>
          <w:color w:val="000000"/>
        </w:rPr>
        <w:t xml:space="preserve">Step 4 — Check recession probability.</w:t>
      </w:r>
      <w:r>
        <w:rPr>
          <w:rFonts w:eastAsia="georgia" w:cs="georgia" w:ascii="georgia" w:hAnsi="georgia"/>
          <w:color w:val="000000"/>
        </w:rPr>
        <w:t xml:space="preserve"> Above 30% demands attention. Compare with CFNAI and WEI.</w:t>
      </w:r>
    </w:p>
    <w:p>
      <w:pPr>
        <w:spacing w:line="360" w:after="210" w:lineRule="auto"/>
      </w:pPr>
      <w:r>
        <w:rPr>
          <w:rFonts w:eastAsia="georgia" w:cs="georgia" w:ascii="georgia" w:hAnsi="georgia"/>
          <w:b/>
          <w:color w:val="000000"/>
        </w:rPr>
        <w:t xml:space="preserve">Step 5 — Check sentiment indicators.</w:t>
      </w:r>
      <w:r>
        <w:rPr>
          <w:rFonts w:eastAsia="georgia" w:cs="georgia" w:ascii="georgia" w:hAnsi="georgia"/>
          <w:color w:val="000000"/>
        </w:rPr>
        <w:t xml:space="preserve"> Fear &amp; Greed + NAAIM + AAII together give you a sentiment composite. Extreme readings in one direction are contrarian signals.</w:t>
      </w:r>
    </w:p>
    <w:p>
      <w:pPr>
        <w:spacing w:line="360" w:after="210" w:lineRule="auto"/>
      </w:pPr>
      <w:r>
        <w:rPr>
          <w:rFonts w:eastAsia="georgia" w:cs="georgia" w:ascii="georgia" w:hAnsi="georgia"/>
          <w:b/>
          <w:color w:val="000000"/>
        </w:rPr>
        <w:t xml:space="preserve">Step 6 — Scan for red alerts in Housing &amp; Credit.</w:t>
      </w:r>
      <w:r>
        <w:rPr>
          <w:rFonts w:eastAsia="georgia" w:cs="georgia" w:ascii="georgia" w:hAnsi="georgia"/>
          <w:color w:val="000000"/>
        </w:rPr>
        <w:t xml:space="preserve"> HY spreads &gt; 500bp or mortgage rates &gt; 7.5% mean the real economy is under direct pressure.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5" w:name="glossary_of_key_terms"/>
      <w:r>
        <w:rPr>
          <w:rFonts w:eastAsia="georgia" w:cs="georgia" w:ascii="georgia" w:hAnsi="georgia"/>
          <w:b/>
          <w:color w:val="000000"/>
          <w:sz w:val="24"/>
        </w:rPr>
        <w:t xml:space="preserve">Glossary of Key Terms</w:t>
      </w:r>
      <w:bookmarkEnd w:id="7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Term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Plain-Language Definition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Basis Point (bp)</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One-hundredth of one percent (0.01%). Used to measure interest rate and spread changes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Contango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When futures prices for later delivery are higher than near-term prices (normal VIX term structure)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Backwardation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When near-term futures exceed long-dated ones (stress signal in VIX)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NAIRU</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The unemployment rate below which inflation accelerates; estimated ~4–4.5% in modern US research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QE / QT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Quantitative Easing (Fed buys assets, adding liquidity) / Quantitative Tightening (Fed sells assets, removing liquidity)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Real Interest Rate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Nominal rate minus inflation; positive real rates are restrictive, negative real rates are stimulative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Rate of Change (ROC)</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How fast a value is changing, not just its current level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Breakeven Inflation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What the bond market expects inflation to average over a given period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GEX (Gamma Exposure)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Net dealer options position; positive = stabilising effect on markets; negative = amplifying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Nowcast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 real-time estimate of current conditions using available data, distinct from a forecast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Yield Spread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The difference in yield between two different maturity bonds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Cyclically Adjusted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Smoothed over a full business cycle to remove short-term noise</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i/>
          <w:color w:val="000000"/>
        </w:rPr>
        <w:t xml:space="preserve">This guide is for educational purposes only. All indicator readings are sourced from publicly available government and financial market data. Nothing in this document constitutes financial advice.</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decimal"/>
      <w:lvlText w:val="%1."/>
      <w:lvlJc w:val="left"/>
      <w:pPr>
        <w:tabs>
          <w:tab w:val="num" w:pos="900"/>
        </w:tabs>
        <w:ind w:left="540" w:hanging="360"/>
      </w:p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decimal"/>
      <w:lvlText w:val="%1."/>
      <w:lvlJc w:val="left"/>
      <w:pPr>
        <w:tabs>
          <w:tab w:val="num" w:pos="900"/>
        </w:tabs>
        <w:ind w:left="540" w:hanging="360"/>
      </w:pPr>
    </w:lvl>
  </w:abstractNum>
  <w:abstractNum w:abstractNumId="25">
    <w:multiLevelType w:val="hybridMultilevel"/>
    <w:lvl w:ilvl="0">
      <w:start w:val="1"/>
      <w:numFmt w:val="decimal"/>
      <w:lvlText w:val="%1."/>
      <w:lvlJc w:val="left"/>
      <w:pPr>
        <w:tabs>
          <w:tab w:val="num" w:pos="900"/>
        </w:tabs>
        <w:ind w:left="540" w:hanging="360"/>
      </w:pPr>
    </w:lvl>
  </w:abstractNum>
  <w:abstractNum w:abstractNumId="26">
    <w:multiLevelType w:val="hybridMultilevel"/>
    <w:lvl w:ilvl="0">
      <w:start w:val="1"/>
      <w:numFmt w:val="decimal"/>
      <w:lvlText w:val="%1."/>
      <w:lvlJc w:val="left"/>
      <w:pPr>
        <w:tabs>
          <w:tab w:val="num" w:pos="900"/>
        </w:tabs>
        <w:ind w:left="540" w:hanging="360"/>
      </w:pPr>
    </w:lvl>
  </w:abstractNum>
  <w:abstractNum w:abstractNumId="27">
    <w:multiLevelType w:val="hybridMultilevel"/>
    <w:lvl w:ilvl="0">
      <w:start w:val="1"/>
      <w:numFmt w:val="decimal"/>
      <w:lvlText w:val="%1."/>
      <w:lvlJc w:val="left"/>
      <w:pPr>
        <w:tabs>
          <w:tab w:val="num" w:pos="900"/>
        </w:tabs>
        <w:ind w:left="540" w:hanging="360"/>
      </w:pPr>
    </w:lvl>
  </w:abstractNum>
  <w:abstractNum w:abstractNumId="28">
    <w:multiLevelType w:val="hybridMultilevel"/>
    <w:lvl w:ilvl="0">
      <w:start w:val="1"/>
      <w:numFmt w:val="decimal"/>
      <w:lvlText w:val="%1."/>
      <w:lvlJc w:val="left"/>
      <w:pPr>
        <w:tabs>
          <w:tab w:val="num" w:pos="900"/>
        </w:tabs>
        <w:ind w:left="540" w:hanging="360"/>
      </w:pPr>
    </w:lvl>
  </w:abstractNum>
  <w:abstractNum w:abstractNumId="29">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2026-04-16T17:38:12.911Z</dcterms:created>
  <dcterms:modified xsi:type="dcterms:W3CDTF">2026-04-16T17:38:12.911Z</dcterms:modified>
</cp:coreProperties>
</file>