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ESCOLA POLITÉCNICA DA UNIVERSIDADE DE SÃO PAULO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DEPARTAMENTO DE ENGENHARIA DE COMPUTAÇÃO E SISTEMAS DIGITAIS (PCS)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PCS 3548 / PCS 3848 – Projeto de Sistemas Embarcados (2026)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Docente Responsável: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Prof. Dr. Carlos Eduardo Cugnasca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Proposta de Projeto Dirigido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Auditor Visual de Medicação para Idosos Baseado em TinyML e Microcontrolador ESP32-S3 de Baixo Consumo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Identificação do Projeto e Componentes do Grupo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Tema do Projeto Dirigido: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Auditor Visual de Medicação para Idosos baseado em TinyML e Microcontrolador ESP32.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Componentes do Grupo: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Integrante 1: </w:t>
      </w:r>
      <w:r w:rsidDel="00000000" w:rsidR="00000000" w:rsidRPr="00000000">
        <w:rPr>
          <w:color w:val="1f1f1f"/>
          <w:rtl w:val="0"/>
        </w:rPr>
        <w:t xml:space="preserve">Gabriel Dias Tambelli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— NUSP: </w:t>
      </w:r>
      <w:r w:rsidDel="00000000" w:rsidR="00000000" w:rsidRPr="00000000">
        <w:rPr>
          <w:color w:val="1f1f1f"/>
          <w:rtl w:val="0"/>
        </w:rPr>
        <w:t xml:space="preserve">12551370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Integrante 2:</w:t>
      </w:r>
      <w:r w:rsidDel="00000000" w:rsidR="00000000" w:rsidRPr="00000000">
        <w:rPr>
          <w:color w:val="1f1f1f"/>
          <w:rtl w:val="0"/>
        </w:rPr>
        <w:t xml:space="preserve"> Henrique Murakami de Paula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NUSP:</w:t>
      </w:r>
      <w:r w:rsidDel="00000000" w:rsidR="00000000" w:rsidRPr="00000000">
        <w:rPr>
          <w:color w:val="1f1f1f"/>
          <w:rtl w:val="0"/>
        </w:rPr>
        <w:t xml:space="preserve">12551154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870" w:hanging="360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Integrante 3:</w:t>
      </w:r>
      <w:r w:rsidDel="00000000" w:rsidR="00000000" w:rsidRPr="00000000">
        <w:rPr>
          <w:color w:val="1f1f1f"/>
          <w:rtl w:val="0"/>
        </w:rPr>
        <w:t xml:space="preserve"> Juliana Marcomini Freitas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— NUSP:</w:t>
      </w:r>
      <w:r w:rsidDel="00000000" w:rsidR="00000000" w:rsidRPr="00000000">
        <w:rPr>
          <w:color w:val="1f1f1f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Descrição Preliminar Resumida do Projeto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2.1 Contexto e Justificativa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não adesão farmacológica entre indivíduos idosos e portadores de patologias crônicas supera 50% dos casos clínicos registrados na literatura médica, resultando em complicações graves de saúde, internações hospitalares evitáveis e elevada sobrecarga emocional e financeira sobre familiares e cuidadores.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2.2 Conceito e Funcionamento da Solução Proposta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Propõe-se o desenvolvimento 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Auditor Visual de Medicação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um dispositivo não invasivo e passivo que atua acoplado sobre um organizador de comprimidos semanal convencional em polímero translúcido. Em vez de mecanismos dispensadores ativos, o sistema opera como um fiscalizador óptico inteligente: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Sono Profundo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1f1f"/>
          <w:rtl w:val="0"/>
        </w:rPr>
        <w:t xml:space="preserve">Deep Sleep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microcontrolador permanece desenergizado em estado de sono profundo na maior parte do tempo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Despertar Temporizado de Precisão: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Nos horários programados para a tomada das doses (por exemplo: 08:00, 14:00 e 20:00), um Relógio de Tempo Real (RTC) externo acorda o circuito através de uma interrupção de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Iluminação Controlada e Captura Óptica: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Um LED auxiliar difuso é ativado para padronizar o gradiente luminoso da cena, e o sensor de câmera digital captura um quadro estático do organizador.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Processamento de Borda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1f1f"/>
          <w:rtl w:val="0"/>
        </w:rPr>
        <w:t xml:space="preserve">Edge AI / TinyML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Utilizando enquadramento geométrico fixo, o microcontrolador recorta exclusivamente a Região de Interesse (ROI -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Region of Interest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associada ao compartimento do respectivo dia e horário. Uma Rede Neural Convolucional ultraleve classifica o compartimento como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Vazio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(remédio ingerido) ou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Ocupado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(dose pendente).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Gestão Energética Condicional: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Constatada a ingestão, o sistema desativa a iluminação e retorna imediatamente ao sono profundo. Caso o remédio permaneça no nicho, agenda-se uma janela de tolerância de 45 minutos. Persistindo o esquecimento na segunda leitura, o</w:t>
      </w:r>
      <w:r w:rsidDel="00000000" w:rsidR="00000000" w:rsidRPr="00000000">
        <w:rPr>
          <w:color w:val="1f1f1f"/>
          <w:rtl w:val="0"/>
        </w:rPr>
        <w:t xml:space="preserve"> alerta é dado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aos cuidadores.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Metodologia de Projeto Adotada e Justificativa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color w:val="1f1f1f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dota-se uma metodologia híbrida baseada em três pilares: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3.1 Espiral Evolucionária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metodologia proposta</w:t>
      </w:r>
      <w:r w:rsidDel="00000000" w:rsidR="00000000" w:rsidRPr="00000000">
        <w:rPr>
          <w:color w:val="1f1f1f"/>
          <w:rtl w:val="0"/>
        </w:rPr>
        <w:t xml:space="preserve"> na apostila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estrutura o desenvolvimento de sistemas de engenharia na articulação contínua entre dois planos fundamentais: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Plano do Pensamento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(mundo abstrato, modelos matemáticos e diagramas conceituais) e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Plano da Realidade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(mundo físico, componentes eletrônicos e ruídos do ambiente). Essa dinâmica concretiza-se em quatro ações cíclicas: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Apreensão: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Construção de modelos abstratos a partir dos desafios observados no cuidado a pacientes idosos;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Concepção: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Formulação arquitetural do hardware, topologias de rede neural e máquinas de estado de firmware;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Realização: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Montagem dos circuitos físicos de teste, rotinas de corte de alimentação e prototipação em bancada;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Utilização: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Testes experimentais com diferentes tipos de cápsulas, drágeas e condições de iluminação.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Justificativa: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Sistemas dotados de visão computacional embarcada (TinyML) envolvem incertezas empíricas consideráveis (refração de plásticos, variação de contraste e sombras). Conforme destacado na literatura do curso citando Connell &amp; Brice (1984), o conjunto completo das especificações essenciais não se estabelece em um modelo linear rígido ("Cachoeira"), mas se refina a cada iteração da espiral prototípica.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3.2 Abordagem Híbrida Top-Down e Bottom-Up (Wayne Wolf)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Top-Down para Arquitetura e Firmware: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partir dos requisitos funcionais do usuário, o sistema global é particionado em quatro subsistemas de menor complexidade: Subsistema de Gestão de Energia, Subsistema de Aquisição Óptica, Subsistema de Inferência TinyML e Subsistema de Telemetria de Emergência.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Bottom-Up para Seleção e Caracterização do Hardware: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Cada bloco eletrônico é validado e medido isoladamente na bancada (corrente quiescente do sensor OV2640 em repouso, precisão do oscilador TCXO do RTC DS3231 e tempos de conexão Wi-Fi com IP estático) antes de sua consolidação integrada na placa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3.3 Projeto Baseado em Plataformas Comerciais (COTS)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adoção do módulo integrado ESP32-S3 Sense aproveita circuitos já consolidados, com suporte nativo a RTOS, vasta documentação e bibliotecas validadas. Isso reduz custos, mitiga riscos de retrabalho e acelera o ciclo de desenvolvimento acadêmico.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Lista Preliminar de Componentes e Estimativa Orçamentária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Os componentes foram selecionados priorizando três critérios rigorosos: suporte a operações vetoriais de redes neurais, correntes de repouso ultra-baixas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quiescent current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e disponibilidade imediata no mercado nacional</w:t>
      </w:r>
      <w:r w:rsidDel="00000000" w:rsidR="00000000" w:rsidRPr="00000000">
        <w:rPr>
          <w:color w:val="1f1f1f"/>
          <w:rtl w:val="0"/>
        </w:rPr>
        <w:t xml:space="preserve">. A lista pensada foi a seguinte (considerando que pode ser alterada de acordo com as disponibilidades do laboratório):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5.9999942779541" w:lineRule="auto"/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Seeed Studio XIAO ESP32-S3 Sense: </w:t>
      </w:r>
      <w:r w:rsidDel="00000000" w:rsidR="00000000" w:rsidRPr="00000000">
        <w:rPr>
          <w:color w:val="1f1f1f"/>
          <w:rtl w:val="0"/>
        </w:rPr>
        <w:t xml:space="preserve">Dual-Core Xtensa LX7 @ 240MHz, 8MB PSRAM Octal, 8MB Flash, conector DVP de câmera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Sensor de Câmera OV2640: </w:t>
      </w:r>
      <w:r w:rsidDel="00000000" w:rsidR="00000000" w:rsidRPr="00000000">
        <w:rPr>
          <w:color w:val="1f1f1f"/>
          <w:rtl w:val="0"/>
        </w:rPr>
        <w:t xml:space="preserve">Resolução nativa UXGA (1600x1200), saída paralela DVP de 24 pinos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Módulo RTC DS3231 I2C: </w:t>
      </w:r>
      <w:r w:rsidDel="00000000" w:rsidR="00000000" w:rsidRPr="00000000">
        <w:rPr>
          <w:color w:val="1f1f1f"/>
          <w:rtl w:val="0"/>
        </w:rPr>
        <w:t xml:space="preserve">Oscilador interno com compensação térmica (TCXO), pino de interrupção INT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Bateria Li-Ion 18650 (2200 mAh): </w:t>
      </w:r>
      <w:r w:rsidDel="00000000" w:rsidR="00000000" w:rsidRPr="00000000">
        <w:rPr>
          <w:color w:val="1f1f1f"/>
          <w:rtl w:val="0"/>
        </w:rPr>
        <w:t xml:space="preserve">Célula recarregável de íons de lítio 3.7V nominal com suporte de montagem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Regulador LDO Ultra-Low Iq: </w:t>
      </w:r>
      <w:r w:rsidDel="00000000" w:rsidR="00000000" w:rsidRPr="00000000">
        <w:rPr>
          <w:color w:val="1f1f1f"/>
          <w:rtl w:val="0"/>
        </w:rPr>
        <w:t xml:space="preserve">Microchip MCP1700-3302E (saída 3.3V / 250mA)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Circuito de Power-Gating (P-MOSFET): </w:t>
      </w:r>
      <w:r w:rsidDel="00000000" w:rsidR="00000000" w:rsidRPr="00000000">
        <w:rPr>
          <w:color w:val="1f1f1f"/>
          <w:rtl w:val="0"/>
        </w:rPr>
        <w:t xml:space="preserve">Transistor MOSFET Canal P AO3401A para chaveamento da alimentação da câmera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LED Difusor Auxiliar SMD: </w:t>
      </w:r>
      <w:r w:rsidDel="00000000" w:rsidR="00000000" w:rsidRPr="00000000">
        <w:rPr>
          <w:color w:val="1f1f1f"/>
          <w:rtl w:val="0"/>
        </w:rPr>
        <w:t xml:space="preserve">LED Branco de alto índice de reprodução de cor (CRI &gt; 85) e lente difusora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Organizador Semanal de Remédios: </w:t>
      </w:r>
      <w:r w:rsidDel="00000000" w:rsidR="00000000" w:rsidRPr="00000000">
        <w:rPr>
          <w:color w:val="1f1f1f"/>
          <w:rtl w:val="0"/>
        </w:rPr>
        <w:t xml:space="preserve">Porta-comprimidos translúcido com 7 dias x 3 compartimentos (Manhã/Tarde/Noite)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Estrutura Mecânica / Haste (3D): </w:t>
      </w:r>
      <w:r w:rsidDel="00000000" w:rsidR="00000000" w:rsidRPr="00000000">
        <w:rPr>
          <w:color w:val="1f1f1f"/>
          <w:rtl w:val="0"/>
        </w:rPr>
        <w:t xml:space="preserve">Filamento PETG para câmara escura de iluminação controlada e fixação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5.9999942779541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Componentes Passivos e Conectores: </w:t>
      </w:r>
      <w:r w:rsidDel="00000000" w:rsidR="00000000" w:rsidRPr="00000000">
        <w:rPr>
          <w:color w:val="1f1f1f"/>
          <w:rtl w:val="0"/>
        </w:rPr>
        <w:t xml:space="preserve">Resistores de pull-up, capacitores cerâmicos de desacoplamento e cabos JST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Item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Componente / Modelo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Especificação Técnica Principal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Qtd.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Fornecedor de Referência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Custo Unit. Estimado (R$)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Custo Total (R$)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Seeed Studio XIAO ESP32-S3 Sense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Dual-Core Xtensa LX7 @ 240MHz, 8MB PSRAM Octal, 8MB Flash, conector DVP de câmera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Robocore / MakerHero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R$ 135,00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R$ 135,00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Sensor de Câmera OV2640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Resolução nativa UXGA (1600x1200), saída paralela DVP de 24 pinos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Incluso com o kit XIAO Sense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R$ 0,00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R$ 0,00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Módulo RTC DS3231 I2C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Oscilador interno com compensação térmica (TCXO), pino de interrupção 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Baú da Eletrônica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R$ 22,50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R$ 22,50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Bateria Li-Ion 18650 (2200 mAh)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Célula recarregável de íons de lítio 3.7V nominal com suporte de montagem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Eletrogate / Robocore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R$ 28,00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R$ 28,00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Regulador LDO Ultra-Low Iq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Microchip MCP1700-3302E (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886063" cy="213877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063" cy="2138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, saída 3.3V / 250mA)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Baú da Eletrônica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R$ 3,50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R$ 7,00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Circuito de Power-Gating (P-MOSFET)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Transistor MOSFET Canal P AO3401A para chaveamento da alimentação da câmera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Baú da Eletrônica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R$ 2,00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R$ 4,00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LED Difusor Auxiliar SMD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LED Branco de alto índice de reprodução de cor (CRI &gt; 85) e lente difusora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Loja local / Baú da Eletrônica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R$ 3,00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R$ 3,00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Organizador Semanal de Remédios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Porta-comprimidos translúcido com 7 dias x 3 compartimentos (Manhã/Tarde/Noite)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Farmácia local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R$ 18,00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R$ 18,00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Estrutura Mecânica / Haste (3D)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Filamento PETG para câmara escura de iluminação controlada e fixação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150g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Laboratório / Impressão própria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R$ 15,00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R$ 15,00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Componentes Passivos e Conectores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Resistores de pull-up, capacitores cerâmicos de desacoplamento e cabos JST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 kit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Baú da Eletrônica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R$ 12,00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R$ 12,00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Total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R$ 244,50</w:t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Regime de Financiamento do Projeto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firstLine="0"/>
        <w:rPr/>
      </w:pPr>
      <w:r w:rsidDel="00000000" w:rsidR="00000000" w:rsidRPr="00000000">
        <w:rPr>
          <w:color w:val="1f1f1f"/>
          <w:rtl w:val="0"/>
        </w:rPr>
        <w:t xml:space="preserve">De acordo com a conversa com o professor, acreditamos que a melhor opção seria decidir na próxima aula se iríamos nos autofinanciar ou pedir financiamento. Isso porque seria importante definir exatamente os componentes do sistema e saber quais já estão disponíveis no laboratório, para descobrir se o trabalho seria muito atrasado ao requisitar um financiamento burocrático.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