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RootRise Architecture v6.0</w:t>
      </w:r>
    </w:p>
    <w:p>
      <w:pPr>
        <w:spacing w:after="400"/>
        <w:jc w:val="center"/>
      </w:pPr>
      <w:r>
        <w:rPr>
          <w:i/>
          <w:iCs/>
          <w:color w:val="666666"/>
          <w:sz w:val="28"/>
          <w:szCs w:val="28"/>
        </w:rPr>
        <w:t xml:space="preserve">Master Summary Document</w:t>
      </w:r>
    </w:p>
    <w:p>
      <w:pPr>
        <w:spacing w:after="400"/>
        <w:jc w:val="center"/>
      </w:pPr>
      <w:r>
        <w:rPr>
          <w:color w:val="B8904A"/>
          <w:sz w:val="24"/>
          <w:szCs w:val="24"/>
        </w:rPr>
        <w:t xml:space="preserve">December 2025 | DEVONEERS</w:t>
      </w:r>
    </w:p>
    <w:p>
      <w:pPr>
        <w:pStyle w:val="Heading1"/>
      </w:pPr>
      <w:r>
        <w:t xml:space="preserve">1. Executive Summary</w:t>
      </w:r>
    </w:p>
    <w:p>
      <w:pPr>
        <w:spacing w:after="200"/>
      </w:pPr>
      <w:r>
        <w:t xml:space="preserve">This document captures all architecture decisions, UI specifications, and implementation requirements for RootRise Platform v6.0. It serves as the single source of truth for continuity across development conversations and team handoffs.</w:t>
      </w:r>
    </w:p>
    <w:p>
      <w:pPr>
        <w:spacing w:after="100"/>
      </w:pPr>
      <w:r>
        <w:rPr>
          <w:b/>
          <w:bCs/>
        </w:rPr>
        <w:t xml:space="preserve">Key Numbers:</w:t>
      </w:r>
    </w:p>
    <w:p>
      <w:pPr>
        <w:pStyle w:val="ListParagraph"/>
        <w:numPr>
          <w:ilvl w:val="0"/>
          <w:numId w:val="2"/>
        </w:numPr>
      </w:pPr>
      <w:r>
        <w:t xml:space="preserve">11 Specialist AI Agents (The Pantheon)</w:t>
      </w:r>
    </w:p>
    <w:p>
      <w:pPr>
        <w:pStyle w:val="ListParagraph"/>
        <w:numPr>
          <w:ilvl w:val="0"/>
          <w:numId w:val="2"/>
        </w:numPr>
      </w:pPr>
      <w:r>
        <w:t xml:space="preserve">27 Industry Contexts (My Sector)</w:t>
      </w:r>
    </w:p>
    <w:p>
      <w:pPr>
        <w:pStyle w:val="ListParagraph"/>
        <w:numPr>
          <w:ilvl w:val="0"/>
          <w:numId w:val="2"/>
        </w:numPr>
      </w:pPr>
      <w:r>
        <w:t xml:space="preserve">15 Transformation Lenses (The &amp;Eye)</w:t>
      </w:r>
    </w:p>
    <w:p>
      <w:r>
        <w:br w:type="page"/>
      </w:r>
    </w:p>
    <w:p>
      <w:pPr>
        <w:pStyle w:val="Heading1"/>
      </w:pPr>
      <w:r>
        <w:t xml:space="preserve">2. Architecture Overview</w:t>
      </w:r>
    </w:p>
    <w:p>
      <w:pPr>
        <w:spacing w:after="200"/>
      </w:pPr>
      <w:r>
        <w:t xml:space="preserve">RootRise v6.0 introduces a three-layer configurable architecture that allows each SME to build their own diagnostic experience.</w:t>
      </w:r>
    </w:p>
    <w:p>
      <w:pPr>
        <w:pStyle w:val="Heading2"/>
      </w:pPr>
      <w:r>
        <w:t xml:space="preserve">2.1 The Three Layers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Layer</w:t>
            </w:r>
          </w:p>
        </w:tc>
        <w:tc>
          <w:tcPr>
            <w:tcW w:type="dxa" w:w="624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shd w:fill="F5F1E8" w:val="clear"/>
          </w:tcPr>
          <w:p>
            <w:r>
              <w:rPr>
                <w:b/>
                <w:bCs/>
                <w:color w:val="B8904A"/>
                <w:sz w:val="22"/>
                <w:szCs w:val="22"/>
              </w:rPr>
              <w:t xml:space="preserve">The Pantheon</w:t>
            </w:r>
          </w:p>
        </w:tc>
        <w:tc>
          <w:tcPr>
            <w:tcW w:type="dxa" w:w="6240"/>
            <w:tcBorders>
              <w:top w:val="single" w:color="CCCCCC" w:sz="1"/>
              <w:left w:val="single" w:color="CCCCCC" w:sz="1"/>
              <w:bottom w:val="single" w:color="CCCCCC" w:sz="1"/>
              <w:right w:val="single" w:color="CCCCCC" w:sz="1"/>
            </w:tcBorders>
          </w:tcPr>
          <w:p>
            <w:r>
              <w:rPr>
                <w:sz w:val="22"/>
                <w:szCs w:val="22"/>
              </w:rPr>
              <w:t xml:space="preserve">AI Advisory Council — 11 specialist agents named after business pioneers</w:t>
            </w:r>
          </w:p>
        </w:tc>
      </w:tr>
      <w:tr>
        <w:tc>
          <w:tcPr>
            <w:tcW w:type="dxa" w:w="3120"/>
            <w:tcBorders>
              <w:top w:val="single" w:color="CCCCCC" w:sz="1"/>
              <w:left w:val="single" w:color="CCCCCC" w:sz="1"/>
              <w:bottom w:val="single" w:color="CCCCCC" w:sz="1"/>
              <w:right w:val="single" w:color="CCCCCC" w:sz="1"/>
            </w:tcBorders>
            <w:shd w:fill="F5F1E8" w:val="clear"/>
          </w:tcPr>
          <w:p>
            <w:r>
              <w:rPr>
                <w:b/>
                <w:bCs/>
                <w:color w:val="B8904A"/>
                <w:sz w:val="22"/>
                <w:szCs w:val="22"/>
              </w:rPr>
              <w:t xml:space="preserve">My Sector</w:t>
            </w:r>
          </w:p>
        </w:tc>
        <w:tc>
          <w:tcPr>
            <w:tcW w:type="dxa" w:w="6240"/>
            <w:tcBorders>
              <w:top w:val="single" w:color="CCCCCC" w:sz="1"/>
              <w:left w:val="single" w:color="CCCCCC" w:sz="1"/>
              <w:bottom w:val="single" w:color="CCCCCC" w:sz="1"/>
              <w:right w:val="single" w:color="CCCCCC" w:sz="1"/>
            </w:tcBorders>
          </w:tcPr>
          <w:p>
            <w:r>
              <w:rPr>
                <w:sz w:val="22"/>
                <w:szCs w:val="22"/>
              </w:rPr>
              <w:t xml:space="preserve">Industry-specific intelligence — 27 sectors with standards, KPIs, benchmarks, MENA context</w:t>
            </w:r>
          </w:p>
        </w:tc>
      </w:tr>
      <w:tr>
        <w:tc>
          <w:tcPr>
            <w:tcW w:type="dxa" w:w="3120"/>
            <w:tcBorders>
              <w:top w:val="single" w:color="CCCCCC" w:sz="1"/>
              <w:left w:val="single" w:color="CCCCCC" w:sz="1"/>
              <w:bottom w:val="single" w:color="CCCCCC" w:sz="1"/>
              <w:right w:val="single" w:color="CCCCCC" w:sz="1"/>
            </w:tcBorders>
            <w:shd w:fill="F5F1E8" w:val="clear"/>
          </w:tcPr>
          <w:p>
            <w:r>
              <w:rPr>
                <w:b/>
                <w:bCs/>
                <w:color w:val="B8904A"/>
                <w:sz w:val="22"/>
                <w:szCs w:val="22"/>
              </w:rPr>
              <w:t xml:space="preserve">The &amp;Eye</w:t>
            </w:r>
          </w:p>
        </w:tc>
        <w:tc>
          <w:tcPr>
            <w:tcW w:type="dxa" w:w="6240"/>
            <w:tcBorders>
              <w:top w:val="single" w:color="CCCCCC" w:sz="1"/>
              <w:left w:val="single" w:color="CCCCCC" w:sz="1"/>
              <w:bottom w:val="single" w:color="CCCCCC" w:sz="1"/>
              <w:right w:val="single" w:color="CCCCCC" w:sz="1"/>
            </w:tcBorders>
          </w:tcPr>
          <w:p>
            <w:r>
              <w:rPr>
                <w:sz w:val="22"/>
                <w:szCs w:val="22"/>
              </w:rPr>
              <w:t xml:space="preserve">Transformation lens — 15 goal-based objectives that reprioritize the entire diagnostic</w:t>
            </w:r>
          </w:p>
        </w:tc>
      </w:tr>
    </w:tbl>
    <w:p>
      <w:pPr>
        <w:pStyle w:val="Heading2"/>
        <w:spacing w:before="400"/>
      </w:pPr>
      <w:r>
        <w:t xml:space="preserve">2.2 Configuration Flow</w:t>
      </w:r>
    </w:p>
    <w:p>
      <w:pPr>
        <w:pStyle w:val="ListParagraph"/>
        <w:numPr>
          <w:ilvl w:val="0"/>
          <w:numId w:val="3"/>
        </w:numPr>
      </w:pPr>
      <w:r>
        <w:t xml:space="preserve">SME selects agents from The Pantheon (Core agents always included)</w:t>
      </w:r>
    </w:p>
    <w:p>
      <w:pPr>
        <w:pStyle w:val="ListParagraph"/>
        <w:numPr>
          <w:ilvl w:val="0"/>
          <w:numId w:val="3"/>
        </w:numPr>
      </w:pPr>
      <w:r>
        <w:t xml:space="preserve">SME selects their industry from My Sector</w:t>
      </w:r>
    </w:p>
    <w:p>
      <w:pPr>
        <w:pStyle w:val="ListParagraph"/>
        <w:numPr>
          <w:ilvl w:val="0"/>
          <w:numId w:val="3"/>
        </w:numPr>
      </w:pPr>
      <w:r>
        <w:t xml:space="preserve">SME selects their transformation objective from The &amp;Eye</w:t>
      </w:r>
    </w:p>
    <w:p>
      <w:pPr>
        <w:pStyle w:val="ListParagraph"/>
        <w:numPr>
          <w:ilvl w:val="0"/>
          <w:numId w:val="3"/>
        </w:numPr>
      </w:pPr>
      <w:r>
        <w:t xml:space="preserve">System runs personalized diagnostic based on configuration</w:t>
      </w:r>
    </w:p>
    <w:p>
      <w:pPr>
        <w:pStyle w:val="ListParagraph"/>
        <w:numPr>
          <w:ilvl w:val="0"/>
          <w:numId w:val="3"/>
        </w:numPr>
      </w:pPr>
      <w:r>
        <w:t xml:space="preserve">Results and action plan delivered through selected lens</w:t>
      </w:r>
    </w:p>
    <w:p>
      <w:r>
        <w:br w:type="page"/>
      </w:r>
    </w:p>
    <w:p>
      <w:pPr>
        <w:pStyle w:val="Heading1"/>
      </w:pPr>
      <w:r>
        <w:t xml:space="preserve">3. The Pantheon — AI Agents</w:t>
      </w:r>
    </w:p>
    <w:p>
      <w:pPr>
        <w:spacing w:after="200"/>
      </w:pPr>
      <w:r>
        <w:t xml:space="preserve">Each agent is named after a business pioneer who shaped modern management. This naming convention adds gravitas while making agents memorable.</w:t>
      </w:r>
    </w:p>
    <w:p>
      <w:pPr>
        <w:pStyle w:val="Heading2"/>
      </w:pPr>
      <w:r>
        <w:t xml:space="preserve">3.1 Supervisor Agent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Agent</w:t>
            </w:r>
          </w:p>
        </w:tc>
        <w:tc>
          <w:tcPr>
            <w:tcW w:type="dxa" w:w="312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Named After</w:t>
            </w:r>
          </w:p>
        </w:tc>
        <w:tc>
          <w:tcPr>
            <w:tcW w:type="dxa" w:w="390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Role</w:t>
            </w:r>
          </w:p>
        </w:tc>
      </w:tr>
      <w:tr>
        <w:tc>
          <w:tcPr>
            <w:tcW w:type="dxa" w:w="2340"/>
            <w:tcBorders>
              <w:top w:val="single" w:color="CCCCCC" w:sz="1"/>
              <w:left w:val="single" w:color="CCCCCC" w:sz="1"/>
              <w:bottom w:val="single" w:color="CCCCCC" w:sz="1"/>
              <w:right w:val="single" w:color="CCCCCC" w:sz="1"/>
            </w:tcBorders>
            <w:shd w:fill="F5F1E8" w:val="clear"/>
          </w:tcPr>
          <w:p>
            <w:r>
              <w:rPr>
                <w:b/>
                <w:bCs/>
                <w:color w:val="B8904A"/>
                <w:sz w:val="22"/>
                <w:szCs w:val="22"/>
              </w:rPr>
              <w:t xml:space="preserve">The Drucker</w:t>
            </w:r>
          </w:p>
        </w:tc>
        <w:tc>
          <w:tcPr>
            <w:tcW w:type="dxa" w:w="3120"/>
            <w:tcBorders>
              <w:top w:val="single" w:color="CCCCCC" w:sz="1"/>
              <w:left w:val="single" w:color="CCCCCC" w:sz="1"/>
              <w:bottom w:val="single" w:color="CCCCCC" w:sz="1"/>
              <w:right w:val="single" w:color="CCCCCC" w:sz="1"/>
            </w:tcBorders>
          </w:tcPr>
          <w:p>
            <w:r>
              <w:rPr>
                <w:sz w:val="22"/>
                <w:szCs w:val="22"/>
              </w:rPr>
              <w:t xml:space="preserve">Peter Drucker (1909-2005) — Father of Modern Management</w:t>
            </w:r>
          </w:p>
        </w:tc>
        <w:tc>
          <w:tcPr>
            <w:tcW w:type="dxa" w:w="3900"/>
            <w:tcBorders>
              <w:top w:val="single" w:color="CCCCCC" w:sz="1"/>
              <w:left w:val="single" w:color="CCCCCC" w:sz="1"/>
              <w:bottom w:val="single" w:color="CCCCCC" w:sz="1"/>
              <w:right w:val="single" w:color="CCCCCC" w:sz="1"/>
            </w:tcBorders>
          </w:tcPr>
          <w:p>
            <w:r>
              <w:rPr>
                <w:sz w:val="22"/>
                <w:szCs w:val="22"/>
              </w:rPr>
              <w:t xml:space="preserve">Supervisor agent. Orchestrates all other agents. Always active.</w:t>
            </w:r>
          </w:p>
        </w:tc>
      </w:tr>
    </w:tbl>
    <w:p>
      <w:pPr>
        <w:pStyle w:val="Heading2"/>
        <w:spacing w:before="400"/>
      </w:pPr>
      <w:r>
        <w:t xml:space="preserve">3.2 Core Agents (Always Included)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Agent</w:t>
            </w:r>
          </w:p>
        </w:tc>
        <w:tc>
          <w:tcPr>
            <w:tcW w:type="dxa" w:w="312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Named After</w:t>
            </w:r>
          </w:p>
        </w:tc>
        <w:tc>
          <w:tcPr>
            <w:tcW w:type="dxa" w:w="390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Specialization</w:t>
            </w:r>
          </w:p>
        </w:tc>
      </w:tr>
      <w:tr>
        <w:tc>
          <w:tcPr>
            <w:tcW w:type="dxa" w:w="2340"/>
            <w:tcBorders>
              <w:top w:val="single" w:color="CCCCCC" w:sz="1"/>
              <w:left w:val="single" w:color="CCCCCC" w:sz="1"/>
              <w:bottom w:val="single" w:color="CCCCCC" w:sz="1"/>
              <w:right w:val="single" w:color="CCCCCC" w:sz="1"/>
            </w:tcBorders>
            <w:shd w:fill="F5F1E8" w:val="clear"/>
          </w:tcPr>
          <w:p>
            <w:r>
              <w:rPr>
                <w:b/>
                <w:bCs/>
                <w:color w:val="B8904A"/>
                <w:sz w:val="22"/>
                <w:szCs w:val="22"/>
              </w:rPr>
              <w:t xml:space="preserve">The Marvin</w:t>
            </w:r>
          </w:p>
        </w:tc>
        <w:tc>
          <w:tcPr>
            <w:tcW w:type="dxa" w:w="3120"/>
            <w:tcBorders>
              <w:top w:val="single" w:color="CCCCCC" w:sz="1"/>
              <w:left w:val="single" w:color="CCCCCC" w:sz="1"/>
              <w:bottom w:val="single" w:color="CCCCCC" w:sz="1"/>
              <w:right w:val="single" w:color="CCCCCC" w:sz="1"/>
            </w:tcBorders>
          </w:tcPr>
          <w:p>
            <w:r>
              <w:rPr>
                <w:sz w:val="22"/>
                <w:szCs w:val="22"/>
              </w:rPr>
              <w:t xml:space="preserve">Marvin Bower (1903-2003) — Father of Management Consulting</w:t>
            </w:r>
          </w:p>
        </w:tc>
        <w:tc>
          <w:tcPr>
            <w:tcW w:type="dxa" w:w="3900"/>
            <w:tcBorders>
              <w:top w:val="single" w:color="CCCCCC" w:sz="1"/>
              <w:left w:val="single" w:color="CCCCCC" w:sz="1"/>
              <w:bottom w:val="single" w:color="CCCCCC" w:sz="1"/>
              <w:right w:val="single" w:color="CCCCCC" w:sz="1"/>
            </w:tcBorders>
          </w:tcPr>
          <w:p>
            <w:r>
              <w:rPr>
                <w:sz w:val="22"/>
                <w:szCs w:val="22"/>
              </w:rPr>
              <w:t xml:space="preserve">Diagnostic &amp; Consulting. 5-pillar business health assessment, maturity scoring, gap identification.</w:t>
            </w:r>
          </w:p>
        </w:tc>
      </w:tr>
      <w:tr>
        <w:tc>
          <w:tcPr>
            <w:tcW w:type="dxa" w:w="2340"/>
            <w:tcBorders>
              <w:top w:val="single" w:color="CCCCCC" w:sz="1"/>
              <w:left w:val="single" w:color="CCCCCC" w:sz="1"/>
              <w:bottom w:val="single" w:color="CCCCCC" w:sz="1"/>
              <w:right w:val="single" w:color="CCCCCC" w:sz="1"/>
            </w:tcBorders>
            <w:shd w:fill="F5F1E8" w:val="clear"/>
          </w:tcPr>
          <w:p>
            <w:r>
              <w:rPr>
                <w:b/>
                <w:bCs/>
                <w:color w:val="B8904A"/>
                <w:sz w:val="22"/>
                <w:szCs w:val="22"/>
              </w:rPr>
              <w:t xml:space="preserve">The Graham</w:t>
            </w:r>
          </w:p>
        </w:tc>
        <w:tc>
          <w:tcPr>
            <w:tcW w:type="dxa" w:w="3120"/>
            <w:tcBorders>
              <w:top w:val="single" w:color="CCCCCC" w:sz="1"/>
              <w:left w:val="single" w:color="CCCCCC" w:sz="1"/>
              <w:bottom w:val="single" w:color="CCCCCC" w:sz="1"/>
              <w:right w:val="single" w:color="CCCCCC" w:sz="1"/>
            </w:tcBorders>
          </w:tcPr>
          <w:p>
            <w:r>
              <w:rPr>
                <w:sz w:val="22"/>
                <w:szCs w:val="22"/>
              </w:rPr>
              <w:t xml:space="preserve">Benjamin Graham (1894-1976) — Father of Value Investing</w:t>
            </w:r>
          </w:p>
        </w:tc>
        <w:tc>
          <w:tcPr>
            <w:tcW w:type="dxa" w:w="3900"/>
            <w:tcBorders>
              <w:top w:val="single" w:color="CCCCCC" w:sz="1"/>
              <w:left w:val="single" w:color="CCCCCC" w:sz="1"/>
              <w:bottom w:val="single" w:color="CCCCCC" w:sz="1"/>
              <w:right w:val="single" w:color="CCCCCC" w:sz="1"/>
            </w:tcBorders>
          </w:tcPr>
          <w:p>
            <w:r>
              <w:rPr>
                <w:sz w:val="22"/>
                <w:szCs w:val="22"/>
              </w:rPr>
              <w:t xml:space="preserve">Finance &amp; Investment. Financial health analysis, funding readiness, capital access evaluation.</w:t>
            </w:r>
          </w:p>
        </w:tc>
      </w:tr>
    </w:tbl>
    <w:p>
      <w:pPr>
        <w:pStyle w:val="Heading2"/>
        <w:spacing w:before="400"/>
      </w:pPr>
      <w:r>
        <w:t xml:space="preserve">3.3 Add-On Agents (User Selects)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Agent</w:t>
            </w:r>
          </w:p>
        </w:tc>
        <w:tc>
          <w:tcPr>
            <w:tcW w:type="dxa" w:w="312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Named After</w:t>
            </w:r>
          </w:p>
        </w:tc>
        <w:tc>
          <w:tcPr>
            <w:tcW w:type="dxa" w:w="390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Specialization</w:t>
            </w:r>
          </w:p>
        </w:tc>
      </w:tr>
      <w:tr>
        <w:tc>
          <w:tcPr>
            <w:tcW w:type="dxa" w:w="2340"/>
            <w:tcBorders>
              <w:top w:val="single" w:color="CCCCCC" w:sz="1"/>
              <w:left w:val="single" w:color="CCCCCC" w:sz="1"/>
              <w:bottom w:val="single" w:color="CCCCCC" w:sz="1"/>
              <w:right w:val="single" w:color="CCCCCC" w:sz="1"/>
            </w:tcBorders>
            <w:shd w:fill="F5F1E8" w:val="clear"/>
          </w:tcPr>
          <w:p>
            <w:r>
              <w:rPr>
                <w:b/>
                <w:bCs/>
                <w:color w:val="B8904A"/>
                <w:sz w:val="22"/>
                <w:szCs w:val="22"/>
              </w:rPr>
              <w:t xml:space="preserve">The Ricardo</w:t>
            </w:r>
          </w:p>
        </w:tc>
        <w:tc>
          <w:tcPr>
            <w:tcW w:type="dxa" w:w="3120"/>
            <w:tcBorders>
              <w:top w:val="single" w:color="CCCCCC" w:sz="1"/>
              <w:left w:val="single" w:color="CCCCCC" w:sz="1"/>
              <w:bottom w:val="single" w:color="CCCCCC" w:sz="1"/>
              <w:right w:val="single" w:color="CCCCCC" w:sz="1"/>
            </w:tcBorders>
          </w:tcPr>
          <w:p>
            <w:r>
              <w:rPr>
                <w:sz w:val="22"/>
                <w:szCs w:val="22"/>
              </w:rPr>
              <w:t xml:space="preserve">David Ricardo (1772-1823) — Comparative Advantage Theory</w:t>
            </w:r>
          </w:p>
        </w:tc>
        <w:tc>
          <w:tcPr>
            <w:tcW w:type="dxa" w:w="3900"/>
            <w:tcBorders>
              <w:top w:val="single" w:color="CCCCCC" w:sz="1"/>
              <w:left w:val="single" w:color="CCCCCC" w:sz="1"/>
              <w:bottom w:val="single" w:color="CCCCCC" w:sz="1"/>
              <w:right w:val="single" w:color="CCCCCC" w:sz="1"/>
            </w:tcBorders>
          </w:tcPr>
          <w:p>
            <w:r>
              <w:rPr>
                <w:sz w:val="22"/>
                <w:szCs w:val="22"/>
              </w:rPr>
              <w:t xml:space="preserve">Export &amp; Trade. International opportunities, certifications, market entry.</w:t>
            </w:r>
          </w:p>
        </w:tc>
      </w:tr>
      <w:tr>
        <w:tc>
          <w:tcPr>
            <w:tcW w:type="dxa" w:w="2340"/>
            <w:tcBorders>
              <w:top w:val="single" w:color="CCCCCC" w:sz="1"/>
              <w:left w:val="single" w:color="CCCCCC" w:sz="1"/>
              <w:bottom w:val="single" w:color="CCCCCC" w:sz="1"/>
              <w:right w:val="single" w:color="CCCCCC" w:sz="1"/>
            </w:tcBorders>
            <w:shd w:fill="F5F1E8" w:val="clear"/>
          </w:tcPr>
          <w:p>
            <w:r>
              <w:rPr>
                <w:b/>
                <w:bCs/>
                <w:color w:val="B8904A"/>
                <w:sz w:val="22"/>
                <w:szCs w:val="22"/>
              </w:rPr>
              <w:t xml:space="preserve">The Lovelace</w:t>
            </w:r>
          </w:p>
        </w:tc>
        <w:tc>
          <w:tcPr>
            <w:tcW w:type="dxa" w:w="3120"/>
            <w:tcBorders>
              <w:top w:val="single" w:color="CCCCCC" w:sz="1"/>
              <w:left w:val="single" w:color="CCCCCC" w:sz="1"/>
              <w:bottom w:val="single" w:color="CCCCCC" w:sz="1"/>
              <w:right w:val="single" w:color="CCCCCC" w:sz="1"/>
            </w:tcBorders>
          </w:tcPr>
          <w:p>
            <w:r>
              <w:rPr>
                <w:sz w:val="22"/>
                <w:szCs w:val="22"/>
              </w:rPr>
              <w:t xml:space="preserve">Ada Lovelace (1815-1852) — First Computer Programmer</w:t>
            </w:r>
          </w:p>
        </w:tc>
        <w:tc>
          <w:tcPr>
            <w:tcW w:type="dxa" w:w="3900"/>
            <w:tcBorders>
              <w:top w:val="single" w:color="CCCCCC" w:sz="1"/>
              <w:left w:val="single" w:color="CCCCCC" w:sz="1"/>
              <w:bottom w:val="single" w:color="CCCCCC" w:sz="1"/>
              <w:right w:val="single" w:color="CCCCCC" w:sz="1"/>
            </w:tcBorders>
          </w:tcPr>
          <w:p>
            <w:r>
              <w:rPr>
                <w:sz w:val="22"/>
                <w:szCs w:val="22"/>
              </w:rPr>
              <w:t xml:space="preserve">Digital &amp; Technology. Tech stack assessment, automation, digital presence.</w:t>
            </w:r>
          </w:p>
        </w:tc>
      </w:tr>
      <w:tr>
        <w:tc>
          <w:tcPr>
            <w:tcW w:type="dxa" w:w="2340"/>
            <w:tcBorders>
              <w:top w:val="single" w:color="CCCCCC" w:sz="1"/>
              <w:left w:val="single" w:color="CCCCCC" w:sz="1"/>
              <w:bottom w:val="single" w:color="CCCCCC" w:sz="1"/>
              <w:right w:val="single" w:color="CCCCCC" w:sz="1"/>
            </w:tcBorders>
            <w:shd w:fill="F5F1E8" w:val="clear"/>
          </w:tcPr>
          <w:p>
            <w:r>
              <w:rPr>
                <w:b/>
                <w:bCs/>
                <w:color w:val="B8904A"/>
                <w:sz w:val="22"/>
                <w:szCs w:val="22"/>
              </w:rPr>
              <w:t xml:space="preserve">The Mayo</w:t>
            </w:r>
          </w:p>
        </w:tc>
        <w:tc>
          <w:tcPr>
            <w:tcW w:type="dxa" w:w="3120"/>
            <w:tcBorders>
              <w:top w:val="single" w:color="CCCCCC" w:sz="1"/>
              <w:left w:val="single" w:color="CCCCCC" w:sz="1"/>
              <w:bottom w:val="single" w:color="CCCCCC" w:sz="1"/>
              <w:right w:val="single" w:color="CCCCCC" w:sz="1"/>
            </w:tcBorders>
          </w:tcPr>
          <w:p>
            <w:r>
              <w:rPr>
                <w:sz w:val="22"/>
                <w:szCs w:val="22"/>
              </w:rPr>
              <w:t xml:space="preserve">Elton Mayo (1880-1949) — Human Relations Movement</w:t>
            </w:r>
          </w:p>
        </w:tc>
        <w:tc>
          <w:tcPr>
            <w:tcW w:type="dxa" w:w="3900"/>
            <w:tcBorders>
              <w:top w:val="single" w:color="CCCCCC" w:sz="1"/>
              <w:left w:val="single" w:color="CCCCCC" w:sz="1"/>
              <w:bottom w:val="single" w:color="CCCCCC" w:sz="1"/>
              <w:right w:val="single" w:color="CCCCCC" w:sz="1"/>
            </w:tcBorders>
          </w:tcPr>
          <w:p>
            <w:r>
              <w:rPr>
                <w:sz w:val="22"/>
                <w:szCs w:val="22"/>
              </w:rPr>
              <w:t xml:space="preserve">HR &amp; Organization. Workforce optimization, skills gaps, organizational structure.</w:t>
            </w:r>
          </w:p>
        </w:tc>
      </w:tr>
      <w:tr>
        <w:tc>
          <w:tcPr>
            <w:tcW w:type="dxa" w:w="2340"/>
            <w:tcBorders>
              <w:top w:val="single" w:color="CCCCCC" w:sz="1"/>
              <w:left w:val="single" w:color="CCCCCC" w:sz="1"/>
              <w:bottom w:val="single" w:color="CCCCCC" w:sz="1"/>
              <w:right w:val="single" w:color="CCCCCC" w:sz="1"/>
            </w:tcBorders>
            <w:shd w:fill="F5F1E8" w:val="clear"/>
          </w:tcPr>
          <w:p>
            <w:r>
              <w:rPr>
                <w:b/>
                <w:bCs/>
                <w:color w:val="B8904A"/>
                <w:sz w:val="22"/>
                <w:szCs w:val="22"/>
              </w:rPr>
              <w:t xml:space="preserve">The Ohno</w:t>
            </w:r>
          </w:p>
        </w:tc>
        <w:tc>
          <w:tcPr>
            <w:tcW w:type="dxa" w:w="3120"/>
            <w:tcBorders>
              <w:top w:val="single" w:color="CCCCCC" w:sz="1"/>
              <w:left w:val="single" w:color="CCCCCC" w:sz="1"/>
              <w:bottom w:val="single" w:color="CCCCCC" w:sz="1"/>
              <w:right w:val="single" w:color="CCCCCC" w:sz="1"/>
            </w:tcBorders>
          </w:tcPr>
          <w:p>
            <w:r>
              <w:rPr>
                <w:sz w:val="22"/>
                <w:szCs w:val="22"/>
              </w:rPr>
              <w:t xml:space="preserve">Taiichi Ohno (1912-1990) — Toyota Production System</w:t>
            </w:r>
          </w:p>
        </w:tc>
        <w:tc>
          <w:tcPr>
            <w:tcW w:type="dxa" w:w="3900"/>
            <w:tcBorders>
              <w:top w:val="single" w:color="CCCCCC" w:sz="1"/>
              <w:left w:val="single" w:color="CCCCCC" w:sz="1"/>
              <w:bottom w:val="single" w:color="CCCCCC" w:sz="1"/>
              <w:right w:val="single" w:color="CCCCCC" w:sz="1"/>
            </w:tcBorders>
          </w:tcPr>
          <w:p>
            <w:r>
              <w:rPr>
                <w:sz w:val="22"/>
                <w:szCs w:val="22"/>
              </w:rPr>
              <w:t xml:space="preserve">Supply Chain &amp; Lean. Logistics, inventory, operational efficiency.</w:t>
            </w:r>
          </w:p>
        </w:tc>
      </w:tr>
      <w:tr>
        <w:tc>
          <w:tcPr>
            <w:tcW w:type="dxa" w:w="2340"/>
            <w:tcBorders>
              <w:top w:val="single" w:color="CCCCCC" w:sz="1"/>
              <w:left w:val="single" w:color="CCCCCC" w:sz="1"/>
              <w:bottom w:val="single" w:color="CCCCCC" w:sz="1"/>
              <w:right w:val="single" w:color="CCCCCC" w:sz="1"/>
            </w:tcBorders>
            <w:shd w:fill="F5F1E8" w:val="clear"/>
          </w:tcPr>
          <w:p>
            <w:r>
              <w:rPr>
                <w:b/>
                <w:bCs/>
                <w:color w:val="B8904A"/>
                <w:sz w:val="22"/>
                <w:szCs w:val="22"/>
              </w:rPr>
              <w:t xml:space="preserve">The Porter</w:t>
            </w:r>
          </w:p>
        </w:tc>
        <w:tc>
          <w:tcPr>
            <w:tcW w:type="dxa" w:w="3120"/>
            <w:tcBorders>
              <w:top w:val="single" w:color="CCCCCC" w:sz="1"/>
              <w:left w:val="single" w:color="CCCCCC" w:sz="1"/>
              <w:bottom w:val="single" w:color="CCCCCC" w:sz="1"/>
              <w:right w:val="single" w:color="CCCCCC" w:sz="1"/>
            </w:tcBorders>
          </w:tcPr>
          <w:p>
            <w:r>
              <w:rPr>
                <w:sz w:val="22"/>
                <w:szCs w:val="22"/>
              </w:rPr>
              <w:t xml:space="preserve">Michael Porter (1947-) — Competitive Strategy</w:t>
            </w:r>
          </w:p>
        </w:tc>
        <w:tc>
          <w:tcPr>
            <w:tcW w:type="dxa" w:w="3900"/>
            <w:tcBorders>
              <w:top w:val="single" w:color="CCCCCC" w:sz="1"/>
              <w:left w:val="single" w:color="CCCCCC" w:sz="1"/>
              <w:bottom w:val="single" w:color="CCCCCC" w:sz="1"/>
              <w:right w:val="single" w:color="CCCCCC" w:sz="1"/>
            </w:tcBorders>
          </w:tcPr>
          <w:p>
            <w:r>
              <w:rPr>
                <w:sz w:val="22"/>
                <w:szCs w:val="22"/>
              </w:rPr>
              <w:t xml:space="preserve">Market &amp; Competition. Competitive analysis, market positioning, strategy.</w:t>
            </w:r>
          </w:p>
        </w:tc>
      </w:tr>
      <w:tr>
        <w:tc>
          <w:tcPr>
            <w:tcW w:type="dxa" w:w="2340"/>
            <w:tcBorders>
              <w:top w:val="single" w:color="CCCCCC" w:sz="1"/>
              <w:left w:val="single" w:color="CCCCCC" w:sz="1"/>
              <w:bottom w:val="single" w:color="CCCCCC" w:sz="1"/>
              <w:right w:val="single" w:color="CCCCCC" w:sz="1"/>
            </w:tcBorders>
            <w:shd w:fill="F5F1E8" w:val="clear"/>
          </w:tcPr>
          <w:p>
            <w:r>
              <w:rPr>
                <w:b/>
                <w:bCs/>
                <w:color w:val="B8904A"/>
                <w:sz w:val="22"/>
                <w:szCs w:val="22"/>
              </w:rPr>
              <w:t xml:space="preserve">The Landor (NEW)</w:t>
            </w:r>
          </w:p>
        </w:tc>
        <w:tc>
          <w:tcPr>
            <w:tcW w:type="dxa" w:w="3120"/>
            <w:tcBorders>
              <w:top w:val="single" w:color="CCCCCC" w:sz="1"/>
              <w:left w:val="single" w:color="CCCCCC" w:sz="1"/>
              <w:bottom w:val="single" w:color="CCCCCC" w:sz="1"/>
              <w:right w:val="single" w:color="CCCCCC" w:sz="1"/>
            </w:tcBorders>
          </w:tcPr>
          <w:p>
            <w:r>
              <w:rPr>
                <w:sz w:val="22"/>
                <w:szCs w:val="22"/>
              </w:rPr>
              <w:t xml:space="preserve">Walter Landor (1913-1995) — Brand &amp; Packaging Pioneer</w:t>
            </w:r>
          </w:p>
        </w:tc>
        <w:tc>
          <w:tcPr>
            <w:tcW w:type="dxa" w:w="3900"/>
            <w:tcBorders>
              <w:top w:val="single" w:color="CCCCCC" w:sz="1"/>
              <w:left w:val="single" w:color="CCCCCC" w:sz="1"/>
              <w:bottom w:val="single" w:color="CCCCCC" w:sz="1"/>
              <w:right w:val="single" w:color="CCCCCC" w:sz="1"/>
            </w:tcBorders>
          </w:tcPr>
          <w:p>
            <w:r>
              <w:rPr>
                <w:sz w:val="22"/>
                <w:szCs w:val="22"/>
              </w:rPr>
              <w:t xml:space="preserve">Packaging &amp; Labeling. Export packaging, labeling compliance, brand presentation.</w:t>
            </w:r>
          </w:p>
        </w:tc>
      </w:tr>
    </w:tbl>
    <w:p>
      <w:pPr>
        <w:pStyle w:val="Heading2"/>
        <w:spacing w:before="400"/>
      </w:pPr>
      <w:r>
        <w:t xml:space="preserve">3.4 Utility Agents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Agent</w:t>
            </w:r>
          </w:p>
        </w:tc>
        <w:tc>
          <w:tcPr>
            <w:tcW w:type="dxa" w:w="312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Named After</w:t>
            </w:r>
          </w:p>
        </w:tc>
        <w:tc>
          <w:tcPr>
            <w:tcW w:type="dxa" w:w="390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Specialization</w:t>
            </w:r>
          </w:p>
        </w:tc>
      </w:tr>
      <w:tr>
        <w:tc>
          <w:tcPr>
            <w:tcW w:type="dxa" w:w="2340"/>
            <w:tcBorders>
              <w:top w:val="single" w:color="CCCCCC" w:sz="1"/>
              <w:left w:val="single" w:color="CCCCCC" w:sz="1"/>
              <w:bottom w:val="single" w:color="CCCCCC" w:sz="1"/>
              <w:right w:val="single" w:color="CCCCCC" w:sz="1"/>
            </w:tcBorders>
            <w:shd w:fill="F5F1E8" w:val="clear"/>
          </w:tcPr>
          <w:p>
            <w:r>
              <w:rPr>
                <w:b/>
                <w:bCs/>
                <w:color w:val="B8904A"/>
                <w:sz w:val="22"/>
                <w:szCs w:val="22"/>
              </w:rPr>
              <w:t xml:space="preserve">The Tufte</w:t>
            </w:r>
          </w:p>
        </w:tc>
        <w:tc>
          <w:tcPr>
            <w:tcW w:type="dxa" w:w="3120"/>
            <w:tcBorders>
              <w:top w:val="single" w:color="CCCCCC" w:sz="1"/>
              <w:left w:val="single" w:color="CCCCCC" w:sz="1"/>
              <w:bottom w:val="single" w:color="CCCCCC" w:sz="1"/>
              <w:right w:val="single" w:color="CCCCCC" w:sz="1"/>
            </w:tcBorders>
          </w:tcPr>
          <w:p>
            <w:r>
              <w:rPr>
                <w:sz w:val="22"/>
                <w:szCs w:val="22"/>
              </w:rPr>
              <w:t xml:space="preserve">Edward Tufte (1942-) — Data Visualization Pioneer</w:t>
            </w:r>
          </w:p>
        </w:tc>
        <w:tc>
          <w:tcPr>
            <w:tcW w:type="dxa" w:w="3900"/>
            <w:tcBorders>
              <w:top w:val="single" w:color="CCCCCC" w:sz="1"/>
              <w:left w:val="single" w:color="CCCCCC" w:sz="1"/>
              <w:bottom w:val="single" w:color="CCCCCC" w:sz="1"/>
              <w:right w:val="single" w:color="CCCCCC" w:sz="1"/>
            </w:tcBorders>
          </w:tcPr>
          <w:p>
            <w:r>
              <w:rPr>
                <w:sz w:val="22"/>
                <w:szCs w:val="22"/>
              </w:rPr>
              <w:t xml:space="preserve">Reports &amp; Visualization. Report generation, data presentation, visual clarity.</w:t>
            </w:r>
          </w:p>
        </w:tc>
      </w:tr>
      <w:tr>
        <w:tc>
          <w:tcPr>
            <w:tcW w:type="dxa" w:w="2340"/>
            <w:tcBorders>
              <w:top w:val="single" w:color="CCCCCC" w:sz="1"/>
              <w:left w:val="single" w:color="CCCCCC" w:sz="1"/>
              <w:bottom w:val="single" w:color="CCCCCC" w:sz="1"/>
              <w:right w:val="single" w:color="CCCCCC" w:sz="1"/>
            </w:tcBorders>
            <w:shd w:fill="F5F1E8" w:val="clear"/>
          </w:tcPr>
          <w:p>
            <w:r>
              <w:rPr>
                <w:b/>
                <w:bCs/>
                <w:color w:val="B8904A"/>
                <w:sz w:val="22"/>
                <w:szCs w:val="22"/>
              </w:rPr>
              <w:t xml:space="preserve">The Deming</w:t>
            </w:r>
          </w:p>
        </w:tc>
        <w:tc>
          <w:tcPr>
            <w:tcW w:type="dxa" w:w="3120"/>
            <w:tcBorders>
              <w:top w:val="single" w:color="CCCCCC" w:sz="1"/>
              <w:left w:val="single" w:color="CCCCCC" w:sz="1"/>
              <w:bottom w:val="single" w:color="CCCCCC" w:sz="1"/>
              <w:right w:val="single" w:color="CCCCCC" w:sz="1"/>
            </w:tcBorders>
          </w:tcPr>
          <w:p>
            <w:r>
              <w:rPr>
                <w:sz w:val="22"/>
                <w:szCs w:val="22"/>
              </w:rPr>
              <w:t xml:space="preserve">W. Edwards Deming (1900-1993) — Quality Management</w:t>
            </w:r>
          </w:p>
        </w:tc>
        <w:tc>
          <w:tcPr>
            <w:tcW w:type="dxa" w:w="3900"/>
            <w:tcBorders>
              <w:top w:val="single" w:color="CCCCCC" w:sz="1"/>
              <w:left w:val="single" w:color="CCCCCC" w:sz="1"/>
              <w:bottom w:val="single" w:color="CCCCCC" w:sz="1"/>
              <w:right w:val="single" w:color="CCCCCC" w:sz="1"/>
            </w:tcBorders>
          </w:tcPr>
          <w:p>
            <w:r>
              <w:rPr>
                <w:sz w:val="22"/>
                <w:szCs w:val="22"/>
              </w:rPr>
              <w:t xml:space="preserve">Quality &amp; Validation. Output quality assurance, recommendation validation.</w:t>
            </w:r>
          </w:p>
        </w:tc>
      </w:tr>
    </w:tbl>
    <w:p>
      <w:r>
        <w:br w:type="page"/>
      </w:r>
    </w:p>
    <w:p>
      <w:pPr>
        <w:pStyle w:val="Heading1"/>
      </w:pPr>
      <w:r>
        <w:t xml:space="preserve">4. My Sector — Industry Contexts</w:t>
      </w:r>
    </w:p>
    <w:p>
      <w:pPr>
        <w:spacing w:after="200"/>
      </w:pPr>
      <w:r>
        <w:t xml:space="preserve">Each sector is pre-loaded with industry-specific intelligence across multiple dimensions. This ensures the diagnostic provides contextually relevant insights rather than generic AI advice.</w:t>
      </w:r>
    </w:p>
    <w:p>
      <w:pPr>
        <w:pStyle w:val="Heading2"/>
      </w:pPr>
      <w:r>
        <w:t xml:space="preserve">4.1 Industrial / Manufacturing Sectors (12)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Sector</w:t>
            </w:r>
          </w:p>
        </w:tc>
        <w:tc>
          <w:tcPr>
            <w:tcW w:type="dxa" w:w="624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Key Certifications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Food Processing</w:t>
            </w:r>
          </w:p>
        </w:tc>
        <w:tc>
          <w:tcPr>
            <w:tcW w:type="dxa" w:w="6240"/>
            <w:tcBorders>
              <w:top w:val="single" w:color="CCCCCC" w:sz="1"/>
              <w:left w:val="single" w:color="CCCCCC" w:sz="1"/>
              <w:bottom w:val="single" w:color="CCCCCC" w:sz="1"/>
              <w:right w:val="single" w:color="CCCCCC" w:sz="1"/>
            </w:tcBorders>
          </w:tcPr>
          <w:p>
            <w:r>
              <w:rPr>
                <w:sz w:val="22"/>
                <w:szCs w:val="22"/>
              </w:rPr>
              <w:t xml:space="preserve">HACCP, ISO 22000, Halal</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Pharmaceuticals</w:t>
            </w:r>
          </w:p>
        </w:tc>
        <w:tc>
          <w:tcPr>
            <w:tcW w:type="dxa" w:w="6240"/>
            <w:tcBorders>
              <w:top w:val="single" w:color="CCCCCC" w:sz="1"/>
              <w:left w:val="single" w:color="CCCCCC" w:sz="1"/>
              <w:bottom w:val="single" w:color="CCCCCC" w:sz="1"/>
              <w:right w:val="single" w:color="CCCCCC" w:sz="1"/>
            </w:tcBorders>
          </w:tcPr>
          <w:p>
            <w:r>
              <w:rPr>
                <w:sz w:val="22"/>
                <w:szCs w:val="22"/>
              </w:rPr>
              <w:t xml:space="preserve">GMP, WHO PQ, GDP</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Textiles</w:t>
            </w:r>
          </w:p>
        </w:tc>
        <w:tc>
          <w:tcPr>
            <w:tcW w:type="dxa" w:w="6240"/>
            <w:tcBorders>
              <w:top w:val="single" w:color="CCCCCC" w:sz="1"/>
              <w:left w:val="single" w:color="CCCCCC" w:sz="1"/>
              <w:bottom w:val="single" w:color="CCCCCC" w:sz="1"/>
              <w:right w:val="single" w:color="CCCCCC" w:sz="1"/>
            </w:tcBorders>
          </w:tcPr>
          <w:p>
            <w:r>
              <w:rPr>
                <w:sz w:val="22"/>
                <w:szCs w:val="22"/>
              </w:rPr>
              <w:t xml:space="preserve">OEKO-TEX, GOTS, BSCI</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Automotive Parts</w:t>
            </w:r>
          </w:p>
        </w:tc>
        <w:tc>
          <w:tcPr>
            <w:tcW w:type="dxa" w:w="6240"/>
            <w:tcBorders>
              <w:top w:val="single" w:color="CCCCCC" w:sz="1"/>
              <w:left w:val="single" w:color="CCCCCC" w:sz="1"/>
              <w:bottom w:val="single" w:color="CCCCCC" w:sz="1"/>
              <w:right w:val="single" w:color="CCCCCC" w:sz="1"/>
            </w:tcBorders>
          </w:tcPr>
          <w:p>
            <w:r>
              <w:rPr>
                <w:sz w:val="22"/>
                <w:szCs w:val="22"/>
              </w:rPr>
              <w:t xml:space="preserve">IATF 16949, VDA 6.3</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Cosmetics</w:t>
            </w:r>
          </w:p>
        </w:tc>
        <w:tc>
          <w:tcPr>
            <w:tcW w:type="dxa" w:w="6240"/>
            <w:tcBorders>
              <w:top w:val="single" w:color="CCCCCC" w:sz="1"/>
              <w:left w:val="single" w:color="CCCCCC" w:sz="1"/>
              <w:bottom w:val="single" w:color="CCCCCC" w:sz="1"/>
              <w:right w:val="single" w:color="CCCCCC" w:sz="1"/>
            </w:tcBorders>
          </w:tcPr>
          <w:p>
            <w:r>
              <w:rPr>
                <w:sz w:val="22"/>
                <w:szCs w:val="22"/>
              </w:rPr>
              <w:t xml:space="preserve">ISO 22716, Halal</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Packaging</w:t>
            </w:r>
          </w:p>
        </w:tc>
        <w:tc>
          <w:tcPr>
            <w:tcW w:type="dxa" w:w="6240"/>
            <w:tcBorders>
              <w:top w:val="single" w:color="CCCCCC" w:sz="1"/>
              <w:left w:val="single" w:color="CCCCCC" w:sz="1"/>
              <w:bottom w:val="single" w:color="CCCCCC" w:sz="1"/>
              <w:right w:val="single" w:color="CCCCCC" w:sz="1"/>
            </w:tcBorders>
          </w:tcPr>
          <w:p>
            <w:r>
              <w:rPr>
                <w:sz w:val="22"/>
                <w:szCs w:val="22"/>
              </w:rPr>
              <w:t xml:space="preserve">BRC, FSC</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Plastics</w:t>
            </w:r>
          </w:p>
        </w:tc>
        <w:tc>
          <w:tcPr>
            <w:tcW w:type="dxa" w:w="6240"/>
            <w:tcBorders>
              <w:top w:val="single" w:color="CCCCCC" w:sz="1"/>
              <w:left w:val="single" w:color="CCCCCC" w:sz="1"/>
              <w:bottom w:val="single" w:color="CCCCCC" w:sz="1"/>
              <w:right w:val="single" w:color="CCCCCC" w:sz="1"/>
            </w:tcBorders>
          </w:tcPr>
          <w:p>
            <w:r>
              <w:rPr>
                <w:sz w:val="22"/>
                <w:szCs w:val="22"/>
              </w:rPr>
              <w:t xml:space="preserve">ISO 14001, RoHS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Electronics</w:t>
            </w:r>
          </w:p>
        </w:tc>
        <w:tc>
          <w:tcPr>
            <w:tcW w:type="dxa" w:w="6240"/>
            <w:tcBorders>
              <w:top w:val="single" w:color="CCCCCC" w:sz="1"/>
              <w:left w:val="single" w:color="CCCCCC" w:sz="1"/>
              <w:bottom w:val="single" w:color="CCCCCC" w:sz="1"/>
              <w:right w:val="single" w:color="CCCCCC" w:sz="1"/>
            </w:tcBorders>
          </w:tcPr>
          <w:p>
            <w:r>
              <w:rPr>
                <w:sz w:val="22"/>
                <w:szCs w:val="22"/>
              </w:rPr>
              <w:t xml:space="preserve">IPC, RoHS, CE</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Chemicals</w:t>
            </w:r>
          </w:p>
        </w:tc>
        <w:tc>
          <w:tcPr>
            <w:tcW w:type="dxa" w:w="6240"/>
            <w:tcBorders>
              <w:top w:val="single" w:color="CCCCCC" w:sz="1"/>
              <w:left w:val="single" w:color="CCCCCC" w:sz="1"/>
              <w:bottom w:val="single" w:color="CCCCCC" w:sz="1"/>
              <w:right w:val="single" w:color="CCCCCC" w:sz="1"/>
            </w:tcBorders>
          </w:tcPr>
          <w:p>
            <w:r>
              <w:rPr>
                <w:sz w:val="22"/>
                <w:szCs w:val="22"/>
              </w:rPr>
              <w:t xml:space="preserve">REACH, GHS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Furniture</w:t>
            </w:r>
          </w:p>
        </w:tc>
        <w:tc>
          <w:tcPr>
            <w:tcW w:type="dxa" w:w="6240"/>
            <w:tcBorders>
              <w:top w:val="single" w:color="CCCCCC" w:sz="1"/>
              <w:left w:val="single" w:color="CCCCCC" w:sz="1"/>
              <w:bottom w:val="single" w:color="CCCCCC" w:sz="1"/>
              <w:right w:val="single" w:color="CCCCCC" w:sz="1"/>
            </w:tcBorders>
          </w:tcPr>
          <w:p>
            <w:r>
              <w:rPr>
                <w:sz w:val="22"/>
                <w:szCs w:val="22"/>
              </w:rPr>
              <w:t xml:space="preserve">FSC, CARB</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Filling &amp; Bottling</w:t>
            </w:r>
          </w:p>
        </w:tc>
        <w:tc>
          <w:tcPr>
            <w:tcW w:type="dxa" w:w="6240"/>
            <w:tcBorders>
              <w:top w:val="single" w:color="CCCCCC" w:sz="1"/>
              <w:left w:val="single" w:color="CCCCCC" w:sz="1"/>
              <w:bottom w:val="single" w:color="CCCCCC" w:sz="1"/>
              <w:right w:val="single" w:color="CCCCCC" w:sz="1"/>
            </w:tcBorders>
          </w:tcPr>
          <w:p>
            <w:r>
              <w:rPr>
                <w:sz w:val="22"/>
                <w:szCs w:val="22"/>
              </w:rPr>
              <w:t xml:space="preserve">FSSC 22000, IFS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Your Industry (Custom)</w:t>
            </w:r>
          </w:p>
        </w:tc>
        <w:tc>
          <w:tcPr>
            <w:tcW w:type="dxa" w:w="6240"/>
            <w:tcBorders>
              <w:top w:val="single" w:color="CCCCCC" w:sz="1"/>
              <w:left w:val="single" w:color="CCCCCC" w:sz="1"/>
              <w:bottom w:val="single" w:color="CCCCCC" w:sz="1"/>
              <w:right w:val="single" w:color="CCCCCC" w:sz="1"/>
            </w:tcBorders>
          </w:tcPr>
          <w:p>
            <w:r>
              <w:rPr>
                <w:sz w:val="22"/>
                <w:szCs w:val="22"/>
              </w:rPr>
              <w:t xml:space="preserve">User-defined</w:t>
            </w:r>
          </w:p>
        </w:tc>
      </w:tr>
    </w:tbl>
    <w:p>
      <w:pPr>
        <w:pStyle w:val="Heading2"/>
        <w:spacing w:before="400"/>
      </w:pPr>
      <w:r>
        <w:t xml:space="preserve">4.2 Services Sectors (15)</w:t>
      </w:r>
    </w:p>
    <w:p>
      <w:pPr>
        <w:spacing w:after="200"/>
      </w:pPr>
      <w:r>
        <w:rPr>
          <w:i/>
          <w:iCs/>
          <w:color w:val="5DD4C3"/>
        </w:rPr>
        <w:t xml:space="preserve">NEW in v6.0 — Services sectors expansion</w:t>
      </w:r>
    </w:p>
    <w:p>
      <w:pPr>
        <w:pStyle w:val="ListParagraph"/>
        <w:numPr>
          <w:ilvl w:val="0"/>
          <w:numId w:val="4"/>
        </w:numPr>
      </w:pPr>
      <w:r>
        <w:t xml:space="preserve">IT Services &amp; Software</w:t>
      </w:r>
    </w:p>
    <w:p>
      <w:pPr>
        <w:pStyle w:val="ListParagraph"/>
        <w:numPr>
          <w:ilvl w:val="0"/>
          <w:numId w:val="4"/>
        </w:numPr>
      </w:pPr>
      <w:r>
        <w:t xml:space="preserve">Healthcare Services</w:t>
      </w:r>
    </w:p>
    <w:p>
      <w:pPr>
        <w:pStyle w:val="ListParagraph"/>
        <w:numPr>
          <w:ilvl w:val="0"/>
          <w:numId w:val="4"/>
        </w:numPr>
      </w:pPr>
      <w:r>
        <w:t xml:space="preserve">Education &amp; Training</w:t>
      </w:r>
    </w:p>
    <w:p>
      <w:pPr>
        <w:pStyle w:val="ListParagraph"/>
        <w:numPr>
          <w:ilvl w:val="0"/>
          <w:numId w:val="4"/>
        </w:numPr>
      </w:pPr>
      <w:r>
        <w:t xml:space="preserve">Hospitality &amp; Tourism</w:t>
      </w:r>
    </w:p>
    <w:p>
      <w:pPr>
        <w:pStyle w:val="ListParagraph"/>
        <w:numPr>
          <w:ilvl w:val="0"/>
          <w:numId w:val="4"/>
        </w:numPr>
      </w:pPr>
      <w:r>
        <w:t xml:space="preserve">Professional Services (Legal, Accounting)</w:t>
      </w:r>
    </w:p>
    <w:p>
      <w:pPr>
        <w:pStyle w:val="ListParagraph"/>
        <w:numPr>
          <w:ilvl w:val="0"/>
          <w:numId w:val="4"/>
        </w:numPr>
      </w:pPr>
      <w:r>
        <w:t xml:space="preserve">Logistics &amp; Transportation</w:t>
      </w:r>
    </w:p>
    <w:p>
      <w:pPr>
        <w:pStyle w:val="ListParagraph"/>
        <w:numPr>
          <w:ilvl w:val="0"/>
          <w:numId w:val="4"/>
        </w:numPr>
      </w:pPr>
      <w:r>
        <w:t xml:space="preserve">Retail &amp; E-commerce</w:t>
      </w:r>
    </w:p>
    <w:p>
      <w:pPr>
        <w:pStyle w:val="ListParagraph"/>
        <w:numPr>
          <w:ilvl w:val="0"/>
          <w:numId w:val="4"/>
        </w:numPr>
      </w:pPr>
      <w:r>
        <w:t xml:space="preserve">Financial Services</w:t>
      </w:r>
    </w:p>
    <w:p>
      <w:pPr>
        <w:pStyle w:val="ListParagraph"/>
        <w:numPr>
          <w:ilvl w:val="0"/>
          <w:numId w:val="4"/>
        </w:numPr>
      </w:pPr>
      <w:r>
        <w:t xml:space="preserve">Real Estate &amp; Construction</w:t>
      </w:r>
    </w:p>
    <w:p>
      <w:pPr>
        <w:pStyle w:val="ListParagraph"/>
        <w:numPr>
          <w:ilvl w:val="0"/>
          <w:numId w:val="4"/>
        </w:numPr>
      </w:pPr>
      <w:r>
        <w:t xml:space="preserve">Media &amp; Entertainment</w:t>
      </w:r>
    </w:p>
    <w:p>
      <w:pPr>
        <w:pStyle w:val="ListParagraph"/>
        <w:numPr>
          <w:ilvl w:val="0"/>
          <w:numId w:val="4"/>
        </w:numPr>
      </w:pPr>
      <w:r>
        <w:t xml:space="preserve">Telecommunications</w:t>
      </w:r>
    </w:p>
    <w:p>
      <w:pPr>
        <w:pStyle w:val="ListParagraph"/>
        <w:numPr>
          <w:ilvl w:val="0"/>
          <w:numId w:val="4"/>
        </w:numPr>
      </w:pPr>
      <w:r>
        <w:t xml:space="preserve">Energy &amp; Utilities</w:t>
      </w:r>
    </w:p>
    <w:p>
      <w:pPr>
        <w:pStyle w:val="ListParagraph"/>
        <w:numPr>
          <w:ilvl w:val="0"/>
          <w:numId w:val="4"/>
        </w:numPr>
      </w:pPr>
      <w:r>
        <w:t xml:space="preserve">Agriculture &amp; Agribusiness</w:t>
      </w:r>
    </w:p>
    <w:p>
      <w:pPr>
        <w:pStyle w:val="ListParagraph"/>
        <w:numPr>
          <w:ilvl w:val="0"/>
          <w:numId w:val="4"/>
        </w:numPr>
      </w:pPr>
      <w:r>
        <w:t xml:space="preserve">Environmental Services</w:t>
      </w:r>
    </w:p>
    <w:p>
      <w:pPr>
        <w:pStyle w:val="ListParagraph"/>
        <w:numPr>
          <w:ilvl w:val="0"/>
          <w:numId w:val="4"/>
        </w:numPr>
      </w:pPr>
      <w:r>
        <w:t xml:space="preserve">Your Industry (Custom)</w:t>
      </w:r>
    </w:p>
    <w:p>
      <w:pPr>
        <w:pStyle w:val="Heading2"/>
        <w:spacing w:before="400"/>
      </w:pPr>
      <w:r>
        <w:t xml:space="preserve">4.3 Sector Intelligence Dimensions</w:t>
      </w:r>
    </w:p>
    <w:p>
      <w:pPr>
        <w:spacing w:after="100"/>
      </w:pPr>
      <w:r>
        <w:t xml:space="preserve">Each sector includes intelligence across these dimensions: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Dimension</w:t>
            </w:r>
          </w:p>
        </w:tc>
        <w:tc>
          <w:tcPr>
            <w:tcW w:type="dxa" w:w="624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Content</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Overview</w:t>
            </w:r>
          </w:p>
        </w:tc>
        <w:tc>
          <w:tcPr>
            <w:tcW w:type="dxa" w:w="6240"/>
            <w:tcBorders>
              <w:top w:val="single" w:color="CCCCCC" w:sz="1"/>
              <w:left w:val="single" w:color="CCCCCC" w:sz="1"/>
              <w:bottom w:val="single" w:color="CCCCCC" w:sz="1"/>
              <w:right w:val="single" w:color="CCCCCC" w:sz="1"/>
            </w:tcBorders>
          </w:tcPr>
          <w:p>
            <w:r>
              <w:rPr>
                <w:sz w:val="22"/>
                <w:szCs w:val="22"/>
              </w:rPr>
              <w:t xml:space="preserve">Industry description, value chain position, typical SME profiles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Financials</w:t>
            </w:r>
          </w:p>
        </w:tc>
        <w:tc>
          <w:tcPr>
            <w:tcW w:type="dxa" w:w="6240"/>
            <w:tcBorders>
              <w:top w:val="single" w:color="CCCCCC" w:sz="1"/>
              <w:left w:val="single" w:color="CCCCCC" w:sz="1"/>
              <w:bottom w:val="single" w:color="CCCCCC" w:sz="1"/>
              <w:right w:val="single" w:color="CCCCCC" w:sz="1"/>
            </w:tcBorders>
          </w:tcPr>
          <w:p>
            <w:r>
              <w:rPr>
                <w:sz w:val="22"/>
                <w:szCs w:val="22"/>
              </w:rPr>
              <w:t xml:space="preserve">Revenue benchmarks, margin expectations, capital requirements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KPIs</w:t>
            </w:r>
          </w:p>
        </w:tc>
        <w:tc>
          <w:tcPr>
            <w:tcW w:type="dxa" w:w="6240"/>
            <w:tcBorders>
              <w:top w:val="single" w:color="CCCCCC" w:sz="1"/>
              <w:left w:val="single" w:color="CCCCCC" w:sz="1"/>
              <w:bottom w:val="single" w:color="CCCCCC" w:sz="1"/>
              <w:right w:val="single" w:color="CCCCCC" w:sz="1"/>
            </w:tcBorders>
          </w:tcPr>
          <w:p>
            <w:r>
              <w:rPr>
                <w:sz w:val="22"/>
                <w:szCs w:val="22"/>
              </w:rPr>
              <w:t xml:space="preserve">Industry-specific performance indicators and targets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Regulatory</w:t>
            </w:r>
          </w:p>
        </w:tc>
        <w:tc>
          <w:tcPr>
            <w:tcW w:type="dxa" w:w="6240"/>
            <w:tcBorders>
              <w:top w:val="single" w:color="CCCCCC" w:sz="1"/>
              <w:left w:val="single" w:color="CCCCCC" w:sz="1"/>
              <w:bottom w:val="single" w:color="CCCCCC" w:sz="1"/>
              <w:right w:val="single" w:color="CCCCCC" w:sz="1"/>
            </w:tcBorders>
          </w:tcPr>
          <w:p>
            <w:r>
              <w:rPr>
                <w:sz w:val="22"/>
                <w:szCs w:val="22"/>
              </w:rPr>
              <w:t xml:space="preserve">Compliance requirements, licensing, legal considerations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Workforce</w:t>
            </w:r>
          </w:p>
        </w:tc>
        <w:tc>
          <w:tcPr>
            <w:tcW w:type="dxa" w:w="6240"/>
            <w:tcBorders>
              <w:top w:val="single" w:color="CCCCCC" w:sz="1"/>
              <w:left w:val="single" w:color="CCCCCC" w:sz="1"/>
              <w:bottom w:val="single" w:color="CCCCCC" w:sz="1"/>
              <w:right w:val="single" w:color="CCCCCC" w:sz="1"/>
            </w:tcBorders>
          </w:tcPr>
          <w:p>
            <w:r>
              <w:rPr>
                <w:sz w:val="22"/>
                <w:szCs w:val="22"/>
              </w:rPr>
              <w:t xml:space="preserve">Typical roles, skills gaps, labor market context</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Supply Chain</w:t>
            </w:r>
          </w:p>
        </w:tc>
        <w:tc>
          <w:tcPr>
            <w:tcW w:type="dxa" w:w="6240"/>
            <w:tcBorders>
              <w:top w:val="single" w:color="CCCCCC" w:sz="1"/>
              <w:left w:val="single" w:color="CCCCCC" w:sz="1"/>
              <w:bottom w:val="single" w:color="CCCCCC" w:sz="1"/>
              <w:right w:val="single" w:color="CCCCCC" w:sz="1"/>
            </w:tcBorders>
          </w:tcPr>
          <w:p>
            <w:r>
              <w:rPr>
                <w:sz w:val="22"/>
                <w:szCs w:val="22"/>
              </w:rPr>
              <w:t xml:space="preserve">Input sources, logistics patterns, supplier relationships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Technology</w:t>
            </w:r>
          </w:p>
        </w:tc>
        <w:tc>
          <w:tcPr>
            <w:tcW w:type="dxa" w:w="6240"/>
            <w:tcBorders>
              <w:top w:val="single" w:color="CCCCCC" w:sz="1"/>
              <w:left w:val="single" w:color="CCCCCC" w:sz="1"/>
              <w:bottom w:val="single" w:color="CCCCCC" w:sz="1"/>
              <w:right w:val="single" w:color="CCCCCC" w:sz="1"/>
            </w:tcBorders>
          </w:tcPr>
          <w:p>
            <w:r>
              <w:rPr>
                <w:sz w:val="22"/>
                <w:szCs w:val="22"/>
              </w:rPr>
              <w:t xml:space="preserve">Common tech stacks, digital maturity expectations, automation</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Risks</w:t>
            </w:r>
          </w:p>
        </w:tc>
        <w:tc>
          <w:tcPr>
            <w:tcW w:type="dxa" w:w="6240"/>
            <w:tcBorders>
              <w:top w:val="single" w:color="CCCCCC" w:sz="1"/>
              <w:left w:val="single" w:color="CCCCCC" w:sz="1"/>
              <w:bottom w:val="single" w:color="CCCCCC" w:sz="1"/>
              <w:right w:val="single" w:color="CCCCCC" w:sz="1"/>
            </w:tcBorders>
          </w:tcPr>
          <w:p>
            <w:r>
              <w:rPr>
                <w:sz w:val="22"/>
                <w:szCs w:val="22"/>
              </w:rPr>
              <w:t xml:space="preserve">Industry-specific risks, market vulnerabilities, mitigation</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Growth</w:t>
            </w:r>
          </w:p>
        </w:tc>
        <w:tc>
          <w:tcPr>
            <w:tcW w:type="dxa" w:w="6240"/>
            <w:tcBorders>
              <w:top w:val="single" w:color="CCCCCC" w:sz="1"/>
              <w:left w:val="single" w:color="CCCCCC" w:sz="1"/>
              <w:bottom w:val="single" w:color="CCCCCC" w:sz="1"/>
              <w:right w:val="single" w:color="CCCCCC" w:sz="1"/>
            </w:tcBorders>
          </w:tcPr>
          <w:p>
            <w:r>
              <w:rPr>
                <w:sz w:val="22"/>
                <w:szCs w:val="22"/>
              </w:rPr>
              <w:t xml:space="preserve">Expansion paths, scaling patterns, growth drivers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MENA Context</w:t>
            </w:r>
          </w:p>
        </w:tc>
        <w:tc>
          <w:tcPr>
            <w:tcW w:type="dxa" w:w="6240"/>
            <w:tcBorders>
              <w:top w:val="single" w:color="CCCCCC" w:sz="1"/>
              <w:left w:val="single" w:color="CCCCCC" w:sz="1"/>
              <w:bottom w:val="single" w:color="CCCCCC" w:sz="1"/>
              <w:right w:val="single" w:color="CCCCCC" w:sz="1"/>
            </w:tcBorders>
          </w:tcPr>
          <w:p>
            <w:r>
              <w:rPr>
                <w:sz w:val="22"/>
                <w:szCs w:val="22"/>
              </w:rPr>
              <w:t xml:space="preserve">Regional regulations, country-specific requirements, local market dynamics</w:t>
            </w:r>
          </w:p>
        </w:tc>
      </w:tr>
    </w:tbl>
    <w:p>
      <w:r>
        <w:br w:type="page"/>
      </w:r>
    </w:p>
    <w:p>
      <w:pPr>
        <w:pStyle w:val="Heading1"/>
      </w:pPr>
      <w:r>
        <w:t xml:space="preserve">5. The &amp;Eye — Transformation Lenses</w:t>
      </w:r>
    </w:p>
    <w:p>
      <w:pPr>
        <w:spacing w:after="200"/>
      </w:pPr>
      <w:r>
        <w:t xml:space="preserve">Each lens represents a transformation objective. Selecting a lens reprioritizes the entire diagnostic to focus on that goal. Same business data, different analysis priorities.</w:t>
      </w:r>
    </w:p>
    <w:p>
      <w:pPr>
        <w:pStyle w:val="Heading2"/>
      </w:pPr>
      <w:r>
        <w:t xml:space="preserve">5.1 The Crema (NEW — Featured Lens)</w:t>
      </w:r>
    </w:p>
    <w:p>
      <w:pPr>
        <w:spacing w:after="100"/>
      </w:pPr>
      <w:r>
        <w:rPr>
          <w:i/>
          <w:iCs/>
          <w:color w:val="B8904A"/>
        </w:rPr>
        <w:t xml:space="preserve">"I want quick wins"</w:t>
      </w:r>
    </w:p>
    <w:p>
      <w:pPr>
        <w:pStyle w:val="ListParagraph"/>
        <w:numPr>
          <w:ilvl w:val="0"/>
          <w:numId w:val="2"/>
        </w:numPr>
      </w:pPr>
      <w:r>
        <w:t xml:space="preserve">Focus: Productivity, Resource Efficiency, Cost Reduction</w:t>
      </w:r>
    </w:p>
    <w:p>
      <w:pPr>
        <w:pStyle w:val="ListParagraph"/>
        <w:numPr>
          <w:ilvl w:val="0"/>
          <w:numId w:val="2"/>
        </w:numPr>
      </w:pPr>
      <w:r>
        <w:t xml:space="preserve">Timeframe: 30-60-90 day action plan</w:t>
      </w:r>
    </w:p>
    <w:p>
      <w:pPr>
        <w:pStyle w:val="ListParagraph"/>
        <w:numPr>
          <w:ilvl w:val="0"/>
          <w:numId w:val="2"/>
        </w:numPr>
      </w:pPr>
      <w:r>
        <w:t xml:space="preserve">Criteria: Low Effort, High Impact</w:t>
      </w:r>
    </w:p>
    <w:p>
      <w:pPr>
        <w:pStyle w:val="ListParagraph"/>
        <w:numPr>
          <w:ilvl w:val="0"/>
          <w:numId w:val="2"/>
        </w:numPr>
      </w:pPr>
      <w:r>
        <w:t xml:space="preserve">Position: Pre-selected as default (can be deselected)</w:t>
      </w:r>
    </w:p>
    <w:p>
      <w:pPr>
        <w:pStyle w:val="ListParagraph"/>
        <w:numPr>
          <w:ilvl w:val="0"/>
          <w:numId w:val="2"/>
        </w:numPr>
      </w:pPr>
      <w:r>
        <w:t xml:space="preserve">Spans full width at top of lens grid in UI</w:t>
      </w:r>
    </w:p>
    <w:p>
      <w:pPr>
        <w:pStyle w:val="Heading2"/>
        <w:spacing w:before="400"/>
      </w:pPr>
      <w:r>
        <w:t xml:space="preserve">5.2 Growth Objectives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Lens</w:t>
            </w:r>
          </w:p>
        </w:tc>
        <w:tc>
          <w:tcPr>
            <w:tcW w:type="dxa" w:w="280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User Says</w:t>
            </w:r>
          </w:p>
        </w:tc>
        <w:tc>
          <w:tcPr>
            <w:tcW w:type="dxa" w:w="376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Focus Tags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Export Readiness</w:t>
            </w:r>
          </w:p>
        </w:tc>
        <w:tc>
          <w:tcPr>
            <w:tcW w:type="dxa" w:w="2800"/>
            <w:tcBorders>
              <w:top w:val="single" w:color="CCCCCC" w:sz="1"/>
              <w:left w:val="single" w:color="CCCCCC" w:sz="1"/>
              <w:bottom w:val="single" w:color="CCCCCC" w:sz="1"/>
              <w:right w:val="single" w:color="CCCCCC" w:sz="1"/>
            </w:tcBorders>
          </w:tcPr>
          <w:p>
            <w:r>
              <w:rPr>
                <w:sz w:val="22"/>
                <w:szCs w:val="22"/>
              </w:rPr>
              <w:t xml:space="preserve">"I want to sell internationally"</w:t>
            </w:r>
          </w:p>
        </w:tc>
        <w:tc>
          <w:tcPr>
            <w:tcW w:type="dxa" w:w="3760"/>
            <w:tcBorders>
              <w:top w:val="single" w:color="CCCCCC" w:sz="1"/>
              <w:left w:val="single" w:color="CCCCCC" w:sz="1"/>
              <w:bottom w:val="single" w:color="CCCCCC" w:sz="1"/>
              <w:right w:val="single" w:color="CCCCCC" w:sz="1"/>
            </w:tcBorders>
          </w:tcPr>
          <w:p>
            <w:r>
              <w:rPr>
                <w:sz w:val="22"/>
                <w:szCs w:val="22"/>
              </w:rPr>
              <w:t xml:space="preserve">Certifications, Logistics, Compliance</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Investment Attraction</w:t>
            </w:r>
          </w:p>
        </w:tc>
        <w:tc>
          <w:tcPr>
            <w:tcW w:type="dxa" w:w="2800"/>
            <w:tcBorders>
              <w:top w:val="single" w:color="CCCCCC" w:sz="1"/>
              <w:left w:val="single" w:color="CCCCCC" w:sz="1"/>
              <w:bottom w:val="single" w:color="CCCCCC" w:sz="1"/>
              <w:right w:val="single" w:color="CCCCCC" w:sz="1"/>
            </w:tcBorders>
          </w:tcPr>
          <w:p>
            <w:r>
              <w:rPr>
                <w:sz w:val="22"/>
                <w:szCs w:val="22"/>
              </w:rPr>
              <w:t xml:space="preserve">"I want to raise capital"</w:t>
            </w:r>
          </w:p>
        </w:tc>
        <w:tc>
          <w:tcPr>
            <w:tcW w:type="dxa" w:w="3760"/>
            <w:tcBorders>
              <w:top w:val="single" w:color="CCCCCC" w:sz="1"/>
              <w:left w:val="single" w:color="CCCCCC" w:sz="1"/>
              <w:bottom w:val="single" w:color="CCCCCC" w:sz="1"/>
              <w:right w:val="single" w:color="CCCCCC" w:sz="1"/>
            </w:tcBorders>
          </w:tcPr>
          <w:p>
            <w:r>
              <w:rPr>
                <w:sz w:val="22"/>
                <w:szCs w:val="22"/>
              </w:rPr>
              <w:t xml:space="preserve">Financials, Governance, Valuation</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Partnership / JV</w:t>
            </w:r>
          </w:p>
        </w:tc>
        <w:tc>
          <w:tcPr>
            <w:tcW w:type="dxa" w:w="2800"/>
            <w:tcBorders>
              <w:top w:val="single" w:color="CCCCCC" w:sz="1"/>
              <w:left w:val="single" w:color="CCCCCC" w:sz="1"/>
              <w:bottom w:val="single" w:color="CCCCCC" w:sz="1"/>
              <w:right w:val="single" w:color="CCCCCC" w:sz="1"/>
            </w:tcBorders>
          </w:tcPr>
          <w:p>
            <w:r>
              <w:rPr>
                <w:sz w:val="22"/>
                <w:szCs w:val="22"/>
              </w:rPr>
              <w:t xml:space="preserve">"I want to find a partner"</w:t>
            </w:r>
          </w:p>
        </w:tc>
        <w:tc>
          <w:tcPr>
            <w:tcW w:type="dxa" w:w="3760"/>
            <w:tcBorders>
              <w:top w:val="single" w:color="CCCCCC" w:sz="1"/>
              <w:left w:val="single" w:color="CCCCCC" w:sz="1"/>
              <w:bottom w:val="single" w:color="CCCCCC" w:sz="1"/>
              <w:right w:val="single" w:color="CCCCCC" w:sz="1"/>
            </w:tcBorders>
          </w:tcPr>
          <w:p>
            <w:r>
              <w:rPr>
                <w:sz w:val="22"/>
                <w:szCs w:val="22"/>
              </w:rPr>
              <w:t xml:space="preserve">Governance, Complementarity, Readiness</w:t>
            </w:r>
          </w:p>
        </w:tc>
      </w:tr>
    </w:tbl>
    <w:p>
      <w:pPr>
        <w:pStyle w:val="Heading2"/>
        <w:spacing w:before="400"/>
      </w:pPr>
      <w:r>
        <w:t xml:space="preserve">5.3 Transition Objectives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Lens</w:t>
            </w:r>
          </w:p>
        </w:tc>
        <w:tc>
          <w:tcPr>
            <w:tcW w:type="dxa" w:w="280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User Says</w:t>
            </w:r>
          </w:p>
        </w:tc>
        <w:tc>
          <w:tcPr>
            <w:tcW w:type="dxa" w:w="376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Focus Tags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Owner Succession</w:t>
            </w:r>
          </w:p>
        </w:tc>
        <w:tc>
          <w:tcPr>
            <w:tcW w:type="dxa" w:w="2800"/>
            <w:tcBorders>
              <w:top w:val="single" w:color="CCCCCC" w:sz="1"/>
              <w:left w:val="single" w:color="CCCCCC" w:sz="1"/>
              <w:bottom w:val="single" w:color="CCCCCC" w:sz="1"/>
              <w:right w:val="single" w:color="CCCCCC" w:sz="1"/>
            </w:tcBorders>
          </w:tcPr>
          <w:p>
            <w:r>
              <w:rPr>
                <w:sz w:val="22"/>
                <w:szCs w:val="22"/>
              </w:rPr>
              <w:t xml:space="preserve">"I want to retire / step back"</w:t>
            </w:r>
          </w:p>
        </w:tc>
        <w:tc>
          <w:tcPr>
            <w:tcW w:type="dxa" w:w="3760"/>
            <w:tcBorders>
              <w:top w:val="single" w:color="CCCCCC" w:sz="1"/>
              <w:left w:val="single" w:color="CCCCCC" w:sz="1"/>
              <w:bottom w:val="single" w:color="CCCCCC" w:sz="1"/>
              <w:right w:val="single" w:color="CCCCCC" w:sz="1"/>
            </w:tcBorders>
          </w:tcPr>
          <w:p>
            <w:r>
              <w:rPr>
                <w:sz w:val="22"/>
                <w:szCs w:val="22"/>
              </w:rPr>
              <w:t xml:space="preserve">HR, Processes, Independence</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Inheritance Prep</w:t>
            </w:r>
          </w:p>
        </w:tc>
        <w:tc>
          <w:tcPr>
            <w:tcW w:type="dxa" w:w="2800"/>
            <w:tcBorders>
              <w:top w:val="single" w:color="CCCCCC" w:sz="1"/>
              <w:left w:val="single" w:color="CCCCCC" w:sz="1"/>
              <w:bottom w:val="single" w:color="CCCCCC" w:sz="1"/>
              <w:right w:val="single" w:color="CCCCCC" w:sz="1"/>
            </w:tcBorders>
          </w:tcPr>
          <w:p>
            <w:r>
              <w:rPr>
                <w:sz w:val="22"/>
                <w:szCs w:val="22"/>
              </w:rPr>
              <w:t xml:space="preserve">"I want to pass to my children"</w:t>
            </w:r>
          </w:p>
        </w:tc>
        <w:tc>
          <w:tcPr>
            <w:tcW w:type="dxa" w:w="3760"/>
            <w:tcBorders>
              <w:top w:val="single" w:color="CCCCCC" w:sz="1"/>
              <w:left w:val="single" w:color="CCCCCC" w:sz="1"/>
              <w:bottom w:val="single" w:color="CCCCCC" w:sz="1"/>
              <w:right w:val="single" w:color="CCCCCC" w:sz="1"/>
            </w:tcBorders>
          </w:tcPr>
          <w:p>
            <w:r>
              <w:rPr>
                <w:sz w:val="22"/>
                <w:szCs w:val="22"/>
              </w:rPr>
              <w:t xml:space="preserve">Legal, Family Gov, Succession</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Sale / Exit</w:t>
            </w:r>
          </w:p>
        </w:tc>
        <w:tc>
          <w:tcPr>
            <w:tcW w:type="dxa" w:w="2800"/>
            <w:tcBorders>
              <w:top w:val="single" w:color="CCCCCC" w:sz="1"/>
              <w:left w:val="single" w:color="CCCCCC" w:sz="1"/>
              <w:bottom w:val="single" w:color="CCCCCC" w:sz="1"/>
              <w:right w:val="single" w:color="CCCCCC" w:sz="1"/>
            </w:tcBorders>
          </w:tcPr>
          <w:p>
            <w:r>
              <w:rPr>
                <w:sz w:val="22"/>
                <w:szCs w:val="22"/>
              </w:rPr>
              <w:t xml:space="preserve">"I want to sell the company"</w:t>
            </w:r>
          </w:p>
        </w:tc>
        <w:tc>
          <w:tcPr>
            <w:tcW w:type="dxa" w:w="3760"/>
            <w:tcBorders>
              <w:top w:val="single" w:color="CCCCCC" w:sz="1"/>
              <w:left w:val="single" w:color="CCCCCC" w:sz="1"/>
              <w:bottom w:val="single" w:color="CCCCCC" w:sz="1"/>
              <w:right w:val="single" w:color="CCCCCC" w:sz="1"/>
            </w:tcBorders>
          </w:tcPr>
          <w:p>
            <w:r>
              <w:rPr>
                <w:sz w:val="22"/>
                <w:szCs w:val="22"/>
              </w:rPr>
              <w:t xml:space="preserve">Valuation, Due Diligence, Clean Books</w:t>
            </w:r>
          </w:p>
        </w:tc>
      </w:tr>
    </w:tbl>
    <w:p>
      <w:pPr>
        <w:pStyle w:val="Heading2"/>
        <w:spacing w:before="400"/>
      </w:pPr>
      <w:r>
        <w:t xml:space="preserve">5.4 Operations Objectives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Lens</w:t>
            </w:r>
          </w:p>
        </w:tc>
        <w:tc>
          <w:tcPr>
            <w:tcW w:type="dxa" w:w="280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User Says</w:t>
            </w:r>
          </w:p>
        </w:tc>
        <w:tc>
          <w:tcPr>
            <w:tcW w:type="dxa" w:w="376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Focus Tags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Profitability</w:t>
            </w:r>
          </w:p>
        </w:tc>
        <w:tc>
          <w:tcPr>
            <w:tcW w:type="dxa" w:w="2800"/>
            <w:tcBorders>
              <w:top w:val="single" w:color="CCCCCC" w:sz="1"/>
              <w:left w:val="single" w:color="CCCCCC" w:sz="1"/>
              <w:bottom w:val="single" w:color="CCCCCC" w:sz="1"/>
              <w:right w:val="single" w:color="CCCCCC" w:sz="1"/>
            </w:tcBorders>
          </w:tcPr>
          <w:p>
            <w:r>
              <w:rPr>
                <w:sz w:val="22"/>
                <w:szCs w:val="22"/>
              </w:rPr>
              <w:t xml:space="preserve">"I want better margins"</w:t>
            </w:r>
          </w:p>
        </w:tc>
        <w:tc>
          <w:tcPr>
            <w:tcW w:type="dxa" w:w="3760"/>
            <w:tcBorders>
              <w:top w:val="single" w:color="CCCCCC" w:sz="1"/>
              <w:left w:val="single" w:color="CCCCCC" w:sz="1"/>
              <w:bottom w:val="single" w:color="CCCCCC" w:sz="1"/>
              <w:right w:val="single" w:color="CCCCCC" w:sz="1"/>
            </w:tcBorders>
          </w:tcPr>
          <w:p>
            <w:r>
              <w:rPr>
                <w:sz w:val="22"/>
                <w:szCs w:val="22"/>
              </w:rPr>
              <w:t xml:space="preserve">Costs, Efficiency, Pricing</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Operational Excellence</w:t>
            </w:r>
          </w:p>
        </w:tc>
        <w:tc>
          <w:tcPr>
            <w:tcW w:type="dxa" w:w="2800"/>
            <w:tcBorders>
              <w:top w:val="single" w:color="CCCCCC" w:sz="1"/>
              <w:left w:val="single" w:color="CCCCCC" w:sz="1"/>
              <w:bottom w:val="single" w:color="CCCCCC" w:sz="1"/>
              <w:right w:val="single" w:color="CCCCCC" w:sz="1"/>
            </w:tcBorders>
          </w:tcPr>
          <w:p>
            <w:r>
              <w:rPr>
                <w:sz w:val="22"/>
                <w:szCs w:val="22"/>
              </w:rPr>
              <w:t xml:space="preserve">"I want to run better"</w:t>
            </w:r>
          </w:p>
        </w:tc>
        <w:tc>
          <w:tcPr>
            <w:tcW w:type="dxa" w:w="3760"/>
            <w:tcBorders>
              <w:top w:val="single" w:color="CCCCCC" w:sz="1"/>
              <w:left w:val="single" w:color="CCCCCC" w:sz="1"/>
              <w:bottom w:val="single" w:color="CCCCCC" w:sz="1"/>
              <w:right w:val="single" w:color="CCCCCC" w:sz="1"/>
            </w:tcBorders>
          </w:tcPr>
          <w:p>
            <w:r>
              <w:rPr>
                <w:sz w:val="22"/>
                <w:szCs w:val="22"/>
              </w:rPr>
              <w:t xml:space="preserve">Processes, Quality, Lean</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Digital Transformation</w:t>
            </w:r>
          </w:p>
        </w:tc>
        <w:tc>
          <w:tcPr>
            <w:tcW w:type="dxa" w:w="2800"/>
            <w:tcBorders>
              <w:top w:val="single" w:color="CCCCCC" w:sz="1"/>
              <w:left w:val="single" w:color="CCCCCC" w:sz="1"/>
              <w:bottom w:val="single" w:color="CCCCCC" w:sz="1"/>
              <w:right w:val="single" w:color="CCCCCC" w:sz="1"/>
            </w:tcBorders>
          </w:tcPr>
          <w:p>
            <w:r>
              <w:rPr>
                <w:sz w:val="22"/>
                <w:szCs w:val="22"/>
              </w:rPr>
              <w:t xml:space="preserve">"I want to modernize"</w:t>
            </w:r>
          </w:p>
        </w:tc>
        <w:tc>
          <w:tcPr>
            <w:tcW w:type="dxa" w:w="3760"/>
            <w:tcBorders>
              <w:top w:val="single" w:color="CCCCCC" w:sz="1"/>
              <w:left w:val="single" w:color="CCCCCC" w:sz="1"/>
              <w:bottom w:val="single" w:color="CCCCCC" w:sz="1"/>
              <w:right w:val="single" w:color="CCCCCC" w:sz="1"/>
            </w:tcBorders>
          </w:tcPr>
          <w:p>
            <w:r>
              <w:rPr>
                <w:sz w:val="22"/>
                <w:szCs w:val="22"/>
              </w:rPr>
              <w:t xml:space="preserve">Tech Stack, Automation, Digital</w:t>
            </w:r>
          </w:p>
        </w:tc>
      </w:tr>
    </w:tbl>
    <w:p>
      <w:pPr>
        <w:pStyle w:val="Heading2"/>
        <w:spacing w:before="400"/>
      </w:pPr>
      <w:r>
        <w:t xml:space="preserve">5.5 Impact Objectives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Lens</w:t>
            </w:r>
          </w:p>
        </w:tc>
        <w:tc>
          <w:tcPr>
            <w:tcW w:type="dxa" w:w="280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User Says</w:t>
            </w:r>
          </w:p>
        </w:tc>
        <w:tc>
          <w:tcPr>
            <w:tcW w:type="dxa" w:w="376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Focus Tags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Sustainability / ESG</w:t>
            </w:r>
          </w:p>
        </w:tc>
        <w:tc>
          <w:tcPr>
            <w:tcW w:type="dxa" w:w="2800"/>
            <w:tcBorders>
              <w:top w:val="single" w:color="CCCCCC" w:sz="1"/>
              <w:left w:val="single" w:color="CCCCCC" w:sz="1"/>
              <w:bottom w:val="single" w:color="CCCCCC" w:sz="1"/>
              <w:right w:val="single" w:color="CCCCCC" w:sz="1"/>
            </w:tcBorders>
          </w:tcPr>
          <w:p>
            <w:r>
              <w:rPr>
                <w:sz w:val="22"/>
                <w:szCs w:val="22"/>
              </w:rPr>
              <w:t xml:space="preserve">"I want to be green"</w:t>
            </w:r>
          </w:p>
        </w:tc>
        <w:tc>
          <w:tcPr>
            <w:tcW w:type="dxa" w:w="3760"/>
            <w:tcBorders>
              <w:top w:val="single" w:color="CCCCCC" w:sz="1"/>
              <w:left w:val="single" w:color="CCCCCC" w:sz="1"/>
              <w:bottom w:val="single" w:color="CCCCCC" w:sz="1"/>
              <w:right w:val="single" w:color="CCCCCC" w:sz="1"/>
            </w:tcBorders>
          </w:tcPr>
          <w:p>
            <w:r>
              <w:rPr>
                <w:sz w:val="22"/>
                <w:szCs w:val="22"/>
              </w:rPr>
              <w:t xml:space="preserve">Environmental, Social, Governance</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Employment Growth</w:t>
            </w:r>
          </w:p>
        </w:tc>
        <w:tc>
          <w:tcPr>
            <w:tcW w:type="dxa" w:w="2800"/>
            <w:tcBorders>
              <w:top w:val="single" w:color="CCCCCC" w:sz="1"/>
              <w:left w:val="single" w:color="CCCCCC" w:sz="1"/>
              <w:bottom w:val="single" w:color="CCCCCC" w:sz="1"/>
              <w:right w:val="single" w:color="CCCCCC" w:sz="1"/>
            </w:tcBorders>
          </w:tcPr>
          <w:p>
            <w:r>
              <w:rPr>
                <w:sz w:val="22"/>
                <w:szCs w:val="22"/>
              </w:rPr>
              <w:t xml:space="preserve">"I want to create jobs"</w:t>
            </w:r>
          </w:p>
        </w:tc>
        <w:tc>
          <w:tcPr>
            <w:tcW w:type="dxa" w:w="3760"/>
            <w:tcBorders>
              <w:top w:val="single" w:color="CCCCCC" w:sz="1"/>
              <w:left w:val="single" w:color="CCCCCC" w:sz="1"/>
              <w:bottom w:val="single" w:color="CCCCCC" w:sz="1"/>
              <w:right w:val="single" w:color="CCCCCC" w:sz="1"/>
            </w:tcBorders>
          </w:tcPr>
          <w:p>
            <w:r>
              <w:rPr>
                <w:sz w:val="22"/>
                <w:szCs w:val="22"/>
              </w:rPr>
              <w:t xml:space="preserve">HR Capacity, Scaling, Workforce</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Supply Chain Integration</w:t>
            </w:r>
          </w:p>
        </w:tc>
        <w:tc>
          <w:tcPr>
            <w:tcW w:type="dxa" w:w="2800"/>
            <w:tcBorders>
              <w:top w:val="single" w:color="CCCCCC" w:sz="1"/>
              <w:left w:val="single" w:color="CCCCCC" w:sz="1"/>
              <w:bottom w:val="single" w:color="CCCCCC" w:sz="1"/>
              <w:right w:val="single" w:color="CCCCCC" w:sz="1"/>
            </w:tcBorders>
          </w:tcPr>
          <w:p>
            <w:r>
              <w:rPr>
                <w:sz w:val="22"/>
                <w:szCs w:val="22"/>
              </w:rPr>
              <w:t xml:space="preserve">"I want to join a value chain"</w:t>
            </w:r>
          </w:p>
        </w:tc>
        <w:tc>
          <w:tcPr>
            <w:tcW w:type="dxa" w:w="3760"/>
            <w:tcBorders>
              <w:top w:val="single" w:color="CCCCCC" w:sz="1"/>
              <w:left w:val="single" w:color="CCCCCC" w:sz="1"/>
              <w:bottom w:val="single" w:color="CCCCCC" w:sz="1"/>
              <w:right w:val="single" w:color="CCCCCC" w:sz="1"/>
            </w:tcBorders>
          </w:tcPr>
          <w:p>
            <w:r>
              <w:rPr>
                <w:sz w:val="22"/>
                <w:szCs w:val="22"/>
              </w:rPr>
              <w:t xml:space="preserve">Supplier Ready, Quality, Logistics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Local Development</w:t>
            </w:r>
          </w:p>
        </w:tc>
        <w:tc>
          <w:tcPr>
            <w:tcW w:type="dxa" w:w="2800"/>
            <w:tcBorders>
              <w:top w:val="single" w:color="CCCCCC" w:sz="1"/>
              <w:left w:val="single" w:color="CCCCCC" w:sz="1"/>
              <w:bottom w:val="single" w:color="CCCCCC" w:sz="1"/>
              <w:right w:val="single" w:color="CCCCCC" w:sz="1"/>
            </w:tcBorders>
          </w:tcPr>
          <w:p>
            <w:r>
              <w:rPr>
                <w:sz w:val="22"/>
                <w:szCs w:val="22"/>
              </w:rPr>
              <w:t xml:space="preserve">"I want community impact"</w:t>
            </w:r>
          </w:p>
        </w:tc>
        <w:tc>
          <w:tcPr>
            <w:tcW w:type="dxa" w:w="3760"/>
            <w:tcBorders>
              <w:top w:val="single" w:color="CCCCCC" w:sz="1"/>
              <w:left w:val="single" w:color="CCCCCC" w:sz="1"/>
              <w:bottom w:val="single" w:color="CCCCCC" w:sz="1"/>
              <w:right w:val="single" w:color="CCCCCC" w:sz="1"/>
            </w:tcBorders>
          </w:tcPr>
          <w:p>
            <w:r>
              <w:rPr>
                <w:sz w:val="22"/>
                <w:szCs w:val="22"/>
              </w:rPr>
              <w:t xml:space="preserve">Local Sourcing, Jobs, Community</w:t>
            </w:r>
          </w:p>
        </w:tc>
      </w:tr>
    </w:tbl>
    <w:p>
      <w:pPr>
        <w:pStyle w:val="Heading2"/>
        <w:spacing w:before="400"/>
      </w:pPr>
      <w:r>
        <w:t xml:space="preserve">5.6 Custom Objective</w:t>
      </w:r>
    </w:p>
    <w:p>
      <w:pPr>
        <w:spacing w:after="100"/>
      </w:pPr>
      <w:r>
        <w:rPr>
          <w:i/>
          <w:iCs/>
        </w:rPr>
        <w:t xml:space="preserve">"I have a specific goal"</w:t>
      </w:r>
    </w:p>
    <w:p>
      <w:r>
        <w:t xml:space="preserve">Tags: User-Defined, Flexible</w:t>
      </w:r>
    </w:p>
    <w:p>
      <w:pPr>
        <w:spacing w:after="200"/>
      </w:pPr>
      <w:r>
        <w:t xml:space="preserve">Allows users to specify objectives not covered by the 14 predefined lenses.</w:t>
      </w:r>
    </w:p>
    <w:p>
      <w:r>
        <w:br w:type="page"/>
      </w:r>
    </w:p>
    <w:p>
      <w:pPr>
        <w:pStyle w:val="Heading1"/>
      </w:pPr>
      <w:r>
        <w:t xml:space="preserve">6. UI Decisions &amp; Behaviors</w:t>
      </w:r>
    </w:p>
    <w:p>
      <w:pPr>
        <w:pStyle w:val="Heading2"/>
      </w:pPr>
      <w:r>
        <w:t xml:space="preserve">6.1 Agent Selection (The Pantheon)</w:t>
      </w:r>
    </w:p>
    <w:p>
      <w:pPr>
        <w:pStyle w:val="ListParagraph"/>
        <w:numPr>
          <w:ilvl w:val="0"/>
          <w:numId w:val="2"/>
        </w:numPr>
      </w:pPr>
      <w:r>
        <w:t xml:space="preserve">The Drucker (Supervisor): Always selected, cannot be deselected — locked in</w:t>
      </w:r>
    </w:p>
    <w:p>
      <w:pPr>
        <w:pStyle w:val="ListParagraph"/>
        <w:numPr>
          <w:ilvl w:val="0"/>
          <w:numId w:val="2"/>
        </w:numPr>
      </w:pPr>
      <w:r>
        <w:t xml:space="preserve">Core Agents (Marvin, Graham): Always included by default</w:t>
      </w:r>
    </w:p>
    <w:p>
      <w:pPr>
        <w:pStyle w:val="ListParagraph"/>
        <w:numPr>
          <w:ilvl w:val="0"/>
          <w:numId w:val="2"/>
        </w:numPr>
      </w:pPr>
      <w:r>
        <w:t xml:space="preserve">Add-On Agents: Click to toggle selection</w:t>
      </w:r>
    </w:p>
    <w:p>
      <w:pPr>
        <w:pStyle w:val="ListParagraph"/>
        <w:numPr>
          <w:ilvl w:val="0"/>
          <w:numId w:val="2"/>
        </w:numPr>
      </w:pPr>
      <w:r>
        <w:t xml:space="preserve">Utility Agents: Typically auto-included but displayed for transparency</w:t>
      </w:r>
    </w:p>
    <w:p>
      <w:pPr>
        <w:pStyle w:val="ListParagraph"/>
        <w:numPr>
          <w:ilvl w:val="0"/>
          <w:numId w:val="2"/>
        </w:numPr>
      </w:pPr>
      <w:r>
        <w:t xml:space="preserve">Selected state: Teal border glow, checkmark indicator</w:t>
      </w:r>
    </w:p>
    <w:p>
      <w:pPr>
        <w:pStyle w:val="Heading2"/>
        <w:spacing w:before="400"/>
      </w:pPr>
      <w:r>
        <w:t xml:space="preserve">6.2 Sector Selection (My Sector)</w:t>
      </w:r>
    </w:p>
    <w:p>
      <w:pPr>
        <w:pStyle w:val="ListParagraph"/>
        <w:numPr>
          <w:ilvl w:val="0"/>
          <w:numId w:val="2"/>
        </w:numPr>
      </w:pPr>
      <w:r>
        <w:t xml:space="preserve">Toggle between Industrial (12) and Services (15) tabs</w:t>
      </w:r>
    </w:p>
    <w:p>
      <w:pPr>
        <w:pStyle w:val="ListParagraph"/>
        <w:numPr>
          <w:ilvl w:val="0"/>
          <w:numId w:val="2"/>
        </w:numPr>
      </w:pPr>
      <w:r>
        <w:t xml:space="preserve">Single selection only — one sector per diagnostic</w:t>
      </w:r>
    </w:p>
    <w:p>
      <w:pPr>
        <w:pStyle w:val="ListParagraph"/>
        <w:numPr>
          <w:ilvl w:val="0"/>
          <w:numId w:val="2"/>
        </w:numPr>
      </w:pPr>
      <w:r>
        <w:t xml:space="preserve">Each card shows sector name, icon, and certification tags</w:t>
      </w:r>
    </w:p>
    <w:p>
      <w:pPr>
        <w:pStyle w:val="ListParagraph"/>
        <w:numPr>
          <w:ilvl w:val="0"/>
          <w:numId w:val="2"/>
        </w:numPr>
      </w:pPr>
      <w:r>
        <w:t xml:space="preserve">"Your Industry" card available for custom sectors</w:t>
      </w:r>
    </w:p>
    <w:p>
      <w:pPr>
        <w:pStyle w:val="Heading2"/>
        <w:spacing w:before="400"/>
      </w:pPr>
      <w:r>
        <w:t xml:space="preserve">6.3 Lens Selection (The &amp;Eye)</w:t>
      </w:r>
    </w:p>
    <w:p>
      <w:pPr>
        <w:pStyle w:val="ListParagraph"/>
        <w:numPr>
          <w:ilvl w:val="0"/>
          <w:numId w:val="2"/>
        </w:numPr>
      </w:pPr>
      <w:r>
        <w:t xml:space="preserve">The Crema: Pre-selected as default, can be deselected</w:t>
      </w:r>
    </w:p>
    <w:p>
      <w:pPr>
        <w:pStyle w:val="ListParagraph"/>
        <w:numPr>
          <w:ilvl w:val="0"/>
          <w:numId w:val="2"/>
        </w:numPr>
      </w:pPr>
      <w:r>
        <w:t xml:space="preserve">The Crema: Spans full width (3 columns) at top of grid</w:t>
      </w:r>
    </w:p>
    <w:p>
      <w:pPr>
        <w:pStyle w:val="ListParagraph"/>
        <w:numPr>
          <w:ilvl w:val="0"/>
          <w:numId w:val="2"/>
        </w:numPr>
      </w:pPr>
      <w:r>
        <w:t xml:space="preserve">Multiple lenses can be selected (TBD: limit to 2-3?)</w:t>
      </w:r>
    </w:p>
    <w:p>
      <w:pPr>
        <w:pStyle w:val="ListParagraph"/>
        <w:numPr>
          <w:ilvl w:val="0"/>
          <w:numId w:val="2"/>
        </w:numPr>
      </w:pPr>
      <w:r>
        <w:t xml:space="preserve">Each card shows lens name, "I want..." statement, and focus tags</w:t>
      </w:r>
    </w:p>
    <w:p>
      <w:pPr>
        <w:pStyle w:val="ListParagraph"/>
        <w:numPr>
          <w:ilvl w:val="0"/>
          <w:numId w:val="2"/>
        </w:numPr>
      </w:pPr>
      <w:r>
        <w:t xml:space="preserve">KNOWN BUG: Lens selection doesn't properly toggle off (needs fix)</w:t>
      </w:r>
    </w:p>
    <w:p>
      <w:pPr>
        <w:pStyle w:val="Heading2"/>
        <w:spacing w:before="400"/>
      </w:pPr>
      <w:r>
        <w:t xml:space="preserve">6.4 Cross-Section Behavior</w:t>
      </w:r>
    </w:p>
    <w:p>
      <w:pPr>
        <w:pStyle w:val="ListParagraph"/>
        <w:numPr>
          <w:ilvl w:val="0"/>
          <w:numId w:val="2"/>
        </w:numPr>
      </w:pPr>
      <w:r>
        <w:t xml:space="preserve">All three sections maintain selections simultaneously</w:t>
      </w:r>
    </w:p>
    <w:p>
      <w:pPr>
        <w:pStyle w:val="ListParagraph"/>
        <w:numPr>
          <w:ilvl w:val="0"/>
          <w:numId w:val="2"/>
        </w:numPr>
      </w:pPr>
      <w:r>
        <w:t xml:space="preserve">Selecting in one section does NOT clear selections in other sections</w:t>
      </w:r>
    </w:p>
    <w:p>
      <w:pPr>
        <w:pStyle w:val="ListParagraph"/>
        <w:numPr>
          <w:ilvl w:val="0"/>
          <w:numId w:val="2"/>
        </w:numPr>
      </w:pPr>
      <w:r>
        <w:t xml:space="preserve">User builds complete configuration across all three layers before starting diagnostic</w:t>
      </w:r>
    </w:p>
    <w:p>
      <w:r>
        <w:br w:type="page"/>
      </w:r>
    </w:p>
    <w:p>
      <w:pPr>
        <w:pStyle w:val="Heading1"/>
      </w:pPr>
      <w:r>
        <w:t xml:space="preserve">7. Presentation Slides Created</w:t>
      </w:r>
    </w:p>
    <w:p>
      <w:pPr>
        <w:spacing w:after="200"/>
      </w:pPr>
      <w:r>
        <w:t xml:space="preserve">The following slides were created for the investor presentation deck.</w:t>
      </w:r>
    </w:p>
    <w:p>
      <w:pPr>
        <w:pStyle w:val="Heading2"/>
      </w:pPr>
      <w:r>
        <w:t xml:space="preserve">7.1 Architecture Concept Slides (11A-11C)</w:t>
      </w:r>
    </w:p>
    <w:p>
      <w:pPr>
        <w:spacing w:after="100"/>
      </w:pPr>
      <w:r>
        <w:t xml:space="preserve">Created earlier — conceptual/design intent slides</w:t>
      </w:r>
    </w:p>
    <w:p>
      <w:pPr>
        <w:pStyle w:val="ListParagraph"/>
        <w:numPr>
          <w:ilvl w:val="0"/>
          <w:numId w:val="2"/>
        </w:numPr>
      </w:pPr>
      <w:r>
        <w:t xml:space="preserve">11A: The Pantheon — Agent concept grid</w:t>
      </w:r>
    </w:p>
    <w:p>
      <w:pPr>
        <w:pStyle w:val="ListParagraph"/>
        <w:numPr>
          <w:ilvl w:val="0"/>
          <w:numId w:val="2"/>
        </w:numPr>
      </w:pPr>
      <w:r>
        <w:t xml:space="preserve">11B: Sector Intelligence — Sector framework</w:t>
      </w:r>
    </w:p>
    <w:p>
      <w:pPr>
        <w:pStyle w:val="ListParagraph"/>
        <w:numPr>
          <w:ilvl w:val="0"/>
          <w:numId w:val="2"/>
        </w:numPr>
      </w:pPr>
      <w:r>
        <w:t xml:space="preserve">11C: Transformation Lenses — Lens options</w:t>
      </w:r>
    </w:p>
    <w:p>
      <w:pPr>
        <w:pStyle w:val="Heading2"/>
        <w:spacing w:before="400"/>
      </w:pPr>
      <w:r>
        <w:t xml:space="preserve">7.2 Real UI Screenshots (11D-11G)</w:t>
      </w:r>
    </w:p>
    <w:p>
      <w:pPr>
        <w:spacing w:after="100"/>
      </w:pPr>
      <w:r>
        <w:t xml:space="preserve">Created in this session — actual UI screenshots with branded frames</w:t>
      </w:r>
    </w:p>
    <w:p>
      <w:pPr>
        <w:pStyle w:val="ListParagraph"/>
        <w:numPr>
          <w:ilvl w:val="0"/>
          <w:numId w:val="2"/>
        </w:numPr>
      </w:pPr>
      <w:r>
        <w:t xml:space="preserve">11D: The RootRise System — Hero overview screenshot</w:t>
      </w:r>
    </w:p>
    <w:p>
      <w:pPr>
        <w:pStyle w:val="ListParagraph"/>
        <w:numPr>
          <w:ilvl w:val="0"/>
          <w:numId w:val="2"/>
        </w:numPr>
      </w:pPr>
      <w:r>
        <w:t xml:space="preserve">11E: The Pantheon — Real agent selection UI</w:t>
      </w:r>
    </w:p>
    <w:p>
      <w:pPr>
        <w:pStyle w:val="ListParagraph"/>
        <w:numPr>
          <w:ilvl w:val="0"/>
          <w:numId w:val="2"/>
        </w:numPr>
      </w:pPr>
      <w:r>
        <w:t xml:space="preserve">11F: My Sector — Real sector selection UI (Industrial tab)</w:t>
      </w:r>
    </w:p>
    <w:p>
      <w:pPr>
        <w:pStyle w:val="ListParagraph"/>
        <w:numPr>
          <w:ilvl w:val="0"/>
          <w:numId w:val="2"/>
        </w:numPr>
      </w:pPr>
      <w:r>
        <w:t xml:space="preserve">11G: The &amp;Eye — Real lens selection UI</w:t>
      </w:r>
    </w:p>
    <w:p>
      <w:pPr>
        <w:pStyle w:val="Heading2"/>
        <w:spacing w:before="400"/>
      </w:pPr>
      <w:r>
        <w:t xml:space="preserve">7.3 Presentation Flow</w:t>
      </w:r>
    </w:p>
    <w:p>
      <w:pPr>
        <w:spacing w:after="100"/>
      </w:pPr>
      <w:r>
        <w:t xml:space="preserve">Recommended narrative:</w:t>
      </w:r>
    </w:p>
    <w:p>
      <w:pPr>
        <w:pStyle w:val="ListParagraph"/>
        <w:numPr>
          <w:ilvl w:val="0"/>
          <w:numId w:val="2"/>
        </w:numPr>
      </w:pPr>
      <w:r>
        <w:t xml:space="preserve">Slides 11A-11C: "Here's what we designed..." (Concept)</w:t>
      </w:r>
    </w:p>
    <w:p>
      <w:pPr>
        <w:pStyle w:val="ListParagraph"/>
        <w:numPr>
          <w:ilvl w:val="0"/>
          <w:numId w:val="2"/>
        </w:numPr>
      </w:pPr>
      <w:r>
        <w:t xml:space="preserve">Slide 11D: "And here's what we built..." (Proof)</w:t>
      </w:r>
    </w:p>
    <w:p>
      <w:pPr>
        <w:pStyle w:val="ListParagraph"/>
        <w:numPr>
          <w:ilvl w:val="0"/>
          <w:numId w:val="2"/>
        </w:numPr>
      </w:pPr>
      <w:r>
        <w:t xml:space="preserve">Slides 11E-11G: "Let me show you each layer" (Detail)</w:t>
      </w:r>
    </w:p>
    <w:p>
      <w:pPr>
        <w:pStyle w:val="ListParagraph"/>
        <w:numPr>
          <w:ilvl w:val="0"/>
          <w:numId w:val="2"/>
        </w:numPr>
      </w:pPr>
      <w:r>
        <w:t xml:space="preserve">Slide 12: "Here's what this means" (Differentiation)</w:t>
      </w:r>
    </w:p>
    <w:p>
      <w:pPr>
        <w:pStyle w:val="ListParagraph"/>
        <w:numPr>
          <w:ilvl w:val="0"/>
          <w:numId w:val="2"/>
        </w:numPr>
      </w:pPr>
      <w:r>
        <w:t xml:space="preserve">Slides 12A-12G: "Now watch it in action" (Demo)</w:t>
      </w:r>
    </w:p>
    <w:p>
      <w:pPr>
        <w:pStyle w:val="Heading2"/>
        <w:spacing w:before="400"/>
      </w:pPr>
      <w:r>
        <w:t xml:space="preserve">7.4 Commentary Approach</w:t>
      </w:r>
    </w:p>
    <w:p>
      <w:pPr>
        <w:pStyle w:val="ListParagraph"/>
        <w:numPr>
          <w:ilvl w:val="0"/>
          <w:numId w:val="2"/>
        </w:numPr>
      </w:pPr>
      <w:r>
        <w:t xml:space="preserve">Slides are NEUTRAL — no "built" or "not built yet" language</w:t>
      </w:r>
    </w:p>
    <w:p>
      <w:pPr>
        <w:pStyle w:val="ListParagraph"/>
        <w:numPr>
          <w:ilvl w:val="0"/>
          <w:numId w:val="2"/>
        </w:numPr>
      </w:pPr>
      <w:r>
        <w:t xml:space="preserve">Feature-focused, not status-focused</w:t>
      </w:r>
    </w:p>
    <w:p>
      <w:pPr>
        <w:pStyle w:val="ListParagraph"/>
        <w:numPr>
          <w:ilvl w:val="0"/>
          <w:numId w:val="2"/>
        </w:numPr>
      </w:pPr>
      <w:r>
        <w:t xml:space="preserve">Verbal commentary can add build status context as appropriate</w:t>
      </w:r>
    </w:p>
    <w:p>
      <w:pPr>
        <w:pStyle w:val="ListParagraph"/>
        <w:numPr>
          <w:ilvl w:val="0"/>
          <w:numId w:val="2"/>
        </w:numPr>
      </w:pPr>
      <w:r>
        <w:t xml:space="preserve">Presentation designed to "go everywhere" without revision</w:t>
      </w:r>
    </w:p>
    <w:p>
      <w:r>
        <w:br w:type="page"/>
      </w:r>
    </w:p>
    <w:p>
      <w:pPr>
        <w:pStyle w:val="Heading1"/>
      </w:pPr>
      <w:r>
        <w:t xml:space="preserve">8. Next Steps</w:t>
      </w:r>
    </w:p>
    <w:p>
      <w:pPr>
        <w:pStyle w:val="Heading2"/>
      </w:pPr>
      <w:r>
        <w:t xml:space="preserve">8.1 Ahmed El-Gazzar Technical Handoff</w:t>
      </w:r>
    </w:p>
    <w:p>
      <w:pPr>
        <w:spacing w:after="100"/>
      </w:pPr>
      <w:r>
        <w:t xml:space="preserve">Requires separate technical specification document covering:</w:t>
      </w:r>
    </w:p>
    <w:p>
      <w:pPr>
        <w:pStyle w:val="ListParagraph"/>
        <w:numPr>
          <w:ilvl w:val="0"/>
          <w:numId w:val="5"/>
        </w:numPr>
      </w:pPr>
      <w:r>
        <w:t xml:space="preserve">LangGraph node architecture for each agent</w:t>
      </w:r>
    </w:p>
    <w:p>
      <w:pPr>
        <w:pStyle w:val="ListParagraph"/>
        <w:numPr>
          <w:ilvl w:val="0"/>
          <w:numId w:val="5"/>
        </w:numPr>
      </w:pPr>
      <w:r>
        <w:t xml:space="preserve">Agent-to-agent communication protocols</w:t>
      </w:r>
    </w:p>
    <w:p>
      <w:pPr>
        <w:pStyle w:val="ListParagraph"/>
        <w:numPr>
          <w:ilvl w:val="0"/>
          <w:numId w:val="5"/>
        </w:numPr>
      </w:pPr>
      <w:r>
        <w:t xml:space="preserve">Sector knowledge schema and data structure</w:t>
      </w:r>
    </w:p>
    <w:p>
      <w:pPr>
        <w:pStyle w:val="ListParagraph"/>
        <w:numPr>
          <w:ilvl w:val="0"/>
          <w:numId w:val="5"/>
        </w:numPr>
      </w:pPr>
      <w:r>
        <w:t xml:space="preserve">Lens priority matrix (which agents activated per lens)</w:t>
      </w:r>
    </w:p>
    <w:p>
      <w:pPr>
        <w:pStyle w:val="ListParagraph"/>
        <w:numPr>
          <w:ilvl w:val="0"/>
          <w:numId w:val="5"/>
        </w:numPr>
      </w:pPr>
      <w:r>
        <w:t xml:space="preserve">UI → Backend API mapping</w:t>
      </w:r>
    </w:p>
    <w:p>
      <w:pPr>
        <w:pStyle w:val="ListParagraph"/>
        <w:numPr>
          <w:ilvl w:val="0"/>
          <w:numId w:val="5"/>
        </w:numPr>
      </w:pPr>
      <w:r>
        <w:t xml:space="preserve">Workflow diagrams (Mermaid/flowcharts)</w:t>
      </w:r>
    </w:p>
    <w:p>
      <w:pPr>
        <w:pStyle w:val="ListParagraph"/>
        <w:numPr>
          <w:ilvl w:val="0"/>
          <w:numId w:val="5"/>
        </w:numPr>
      </w:pPr>
      <w:r>
        <w:t xml:space="preserve">Frappe backend integration points</w:t>
      </w:r>
    </w:p>
    <w:p>
      <w:pPr>
        <w:pStyle w:val="Heading2"/>
        <w:spacing w:before="400"/>
      </w:pPr>
      <w:r>
        <w:t xml:space="preserve">8.2 Content Population</w:t>
      </w:r>
    </w:p>
    <w:p>
      <w:pPr>
        <w:spacing w:after="100"/>
      </w:pPr>
      <w:r>
        <w:t xml:space="preserve">Three major workstreams:</w:t>
      </w:r>
    </w:p>
    <w:p>
      <w:pPr>
        <w:spacing w:after="100"/>
      </w:pPr>
      <w:r>
        <w:rPr>
          <w:b/>
          <w:bCs/>
        </w:rPr>
        <w:t xml:space="preserve">A. Sector Knowledge (27 sectors × 10 dimensions)</w:t>
      </w:r>
    </w:p>
    <w:p>
      <w:pPr>
        <w:pStyle w:val="ListParagraph"/>
        <w:numPr>
          <w:ilvl w:val="0"/>
          <w:numId w:val="2"/>
        </w:numPr>
      </w:pPr>
      <w:r>
        <w:t xml:space="preserve">MVP Priority: Food Processing, Textiles, Tech/Digital Services</w:t>
      </w:r>
    </w:p>
    <w:p>
      <w:pPr>
        <w:pStyle w:val="ListParagraph"/>
        <w:numPr>
          <w:ilvl w:val="0"/>
          <w:numId w:val="2"/>
        </w:numPr>
      </w:pPr>
      <w:r>
        <w:t xml:space="preserve">Create detailed knowledge pack for each dimension</w:t>
      </w:r>
    </w:p>
    <w:p>
      <w:pPr>
        <w:pStyle w:val="ListParagraph"/>
        <w:numPr>
          <w:ilvl w:val="0"/>
          <w:numId w:val="2"/>
        </w:numPr>
      </w:pPr>
      <w:r>
        <w:t xml:space="preserve">Include MENA-specific regulations and context</w:t>
      </w:r>
    </w:p>
    <w:p>
      <w:pPr>
        <w:spacing w:before="200" w:after="100"/>
      </w:pPr>
      <w:r>
        <w:rPr>
          <w:b/>
          <w:bCs/>
        </w:rPr>
        <w:t xml:space="preserve">B. Agent Prompts &amp; Tools (11 agents)</w:t>
      </w:r>
    </w:p>
    <w:p>
      <w:pPr>
        <w:pStyle w:val="ListParagraph"/>
        <w:numPr>
          <w:ilvl w:val="0"/>
          <w:numId w:val="2"/>
        </w:numPr>
      </w:pPr>
      <w:r>
        <w:t xml:space="preserve">Define system prompt for each agent</w:t>
      </w:r>
    </w:p>
    <w:p>
      <w:pPr>
        <w:pStyle w:val="ListParagraph"/>
        <w:numPr>
          <w:ilvl w:val="0"/>
          <w:numId w:val="2"/>
        </w:numPr>
      </w:pPr>
      <w:r>
        <w:t xml:space="preserve">Specify tools each agent can access</w:t>
      </w:r>
    </w:p>
    <w:p>
      <w:pPr>
        <w:pStyle w:val="ListParagraph"/>
        <w:numPr>
          <w:ilvl w:val="0"/>
          <w:numId w:val="2"/>
        </w:numPr>
      </w:pPr>
      <w:r>
        <w:t xml:space="preserve">Define agent behaviors and output formats</w:t>
      </w:r>
    </w:p>
    <w:p>
      <w:pPr>
        <w:spacing w:before="200" w:after="100"/>
      </w:pPr>
      <w:r>
        <w:rPr>
          <w:b/>
          <w:bCs/>
        </w:rPr>
        <w:t xml:space="preserve">C. Lens Configurations (15 lenses)</w:t>
      </w:r>
    </w:p>
    <w:p>
      <w:pPr>
        <w:pStyle w:val="ListParagraph"/>
        <w:numPr>
          <w:ilvl w:val="0"/>
          <w:numId w:val="2"/>
        </w:numPr>
      </w:pPr>
      <w:r>
        <w:t xml:space="preserve">Create priority matrix for each lens</w:t>
      </w:r>
    </w:p>
    <w:p>
      <w:pPr>
        <w:pStyle w:val="ListParagraph"/>
        <w:numPr>
          <w:ilvl w:val="0"/>
          <w:numId w:val="2"/>
        </w:numPr>
      </w:pPr>
      <w:r>
        <w:t xml:space="preserve">Define which agents are prioritized per lens</w:t>
      </w:r>
    </w:p>
    <w:p>
      <w:pPr>
        <w:pStyle w:val="ListParagraph"/>
        <w:numPr>
          <w:ilvl w:val="0"/>
          <w:numId w:val="2"/>
        </w:numPr>
      </w:pPr>
      <w:r>
        <w:t xml:space="preserve">Specify report section ordering per lens</w:t>
      </w:r>
    </w:p>
    <w:p>
      <w:pPr>
        <w:pStyle w:val="Heading2"/>
        <w:spacing w:before="400"/>
      </w:pPr>
      <w:r>
        <w:t xml:space="preserve">8.3 UI Bug Fixes</w:t>
      </w:r>
    </w:p>
    <w:p>
      <w:pPr>
        <w:pStyle w:val="ListParagraph"/>
        <w:numPr>
          <w:ilvl w:val="0"/>
          <w:numId w:val="2"/>
        </w:numPr>
      </w:pPr>
      <w:r>
        <w:t xml:space="preserve">The Crema lens toggle behavior (currently doesn't deselect properly)</w:t>
      </w:r>
    </w:p>
    <w:p>
      <w:pPr>
        <w:pStyle w:val="ListParagraph"/>
        <w:numPr>
          <w:ilvl w:val="0"/>
          <w:numId w:val="2"/>
        </w:numPr>
      </w:pPr>
      <w:r>
        <w:t xml:space="preserve">Verify agent detail panel updates match selected agent</w:t>
      </w:r>
    </w:p>
    <w:p>
      <w:r>
        <w:br w:type="page"/>
      </w:r>
    </w:p>
    <w:p>
      <w:pPr>
        <w:pStyle w:val="Heading1"/>
      </w:pPr>
      <w:r>
        <w:t xml:space="preserve">9. Key Decisions Made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Decision</w:t>
            </w:r>
          </w:p>
        </w:tc>
        <w:tc>
          <w:tcPr>
            <w:tcW w:type="dxa" w:w="6240"/>
            <w:tcBorders>
              <w:top w:val="single" w:color="CCCCCC" w:sz="1"/>
              <w:left w:val="single" w:color="CCCCCC" w:sz="1"/>
              <w:bottom w:val="single" w:color="CCCCCC" w:sz="1"/>
              <w:right w:val="single" w:color="CCCCCC" w:sz="1"/>
            </w:tcBorders>
            <w:shd w:fill="2A5C5C" w:val="clear"/>
          </w:tcPr>
          <w:p>
            <w:pPr>
              <w:jc w:val="center"/>
            </w:pPr>
            <w:r>
              <w:rPr>
                <w:b/>
                <w:bCs/>
                <w:color w:val="FFFFFF"/>
                <w:sz w:val="22"/>
                <w:szCs w:val="22"/>
              </w:rPr>
              <w:t xml:space="preserve">Resolution</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The Drucker behavior</w:t>
            </w:r>
          </w:p>
        </w:tc>
        <w:tc>
          <w:tcPr>
            <w:tcW w:type="dxa" w:w="6240"/>
            <w:tcBorders>
              <w:top w:val="single" w:color="CCCCCC" w:sz="1"/>
              <w:left w:val="single" w:color="CCCCCC" w:sz="1"/>
              <w:bottom w:val="single" w:color="CCCCCC" w:sz="1"/>
              <w:right w:val="single" w:color="CCCCCC" w:sz="1"/>
            </w:tcBorders>
          </w:tcPr>
          <w:p>
            <w:r>
              <w:rPr>
                <w:sz w:val="22"/>
                <w:szCs w:val="22"/>
              </w:rPr>
              <w:t xml:space="preserve">Always locked/selected — cannot be deselected (Supervisor role)</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The Crema behavior</w:t>
            </w:r>
          </w:p>
        </w:tc>
        <w:tc>
          <w:tcPr>
            <w:tcW w:type="dxa" w:w="6240"/>
            <w:tcBorders>
              <w:top w:val="single" w:color="CCCCCC" w:sz="1"/>
              <w:left w:val="single" w:color="CCCCCC" w:sz="1"/>
              <w:bottom w:val="single" w:color="CCCCCC" w:sz="1"/>
              <w:right w:val="single" w:color="CCCCCC" w:sz="1"/>
            </w:tcBorders>
          </w:tcPr>
          <w:p>
            <w:r>
              <w:rPr>
                <w:sz w:val="22"/>
                <w:szCs w:val="22"/>
              </w:rPr>
              <w:t xml:space="preserve">Pre-selected as default but CAN be deselected by user</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The Crema position</w:t>
            </w:r>
          </w:p>
        </w:tc>
        <w:tc>
          <w:tcPr>
            <w:tcW w:type="dxa" w:w="6240"/>
            <w:tcBorders>
              <w:top w:val="single" w:color="CCCCCC" w:sz="1"/>
              <w:left w:val="single" w:color="CCCCCC" w:sz="1"/>
              <w:bottom w:val="single" w:color="CCCCCC" w:sz="1"/>
              <w:right w:val="single" w:color="CCCCCC" w:sz="1"/>
            </w:tcBorders>
          </w:tcPr>
          <w:p>
            <w:r>
              <w:rPr>
                <w:sz w:val="22"/>
                <w:szCs w:val="22"/>
              </w:rPr>
              <w:t xml:space="preserve">Full-width (3 columns) at top of lens grid to emphasize importance</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Multiple lens selection</w:t>
            </w:r>
          </w:p>
        </w:tc>
        <w:tc>
          <w:tcPr>
            <w:tcW w:type="dxa" w:w="6240"/>
            <w:tcBorders>
              <w:top w:val="single" w:color="CCCCCC" w:sz="1"/>
              <w:left w:val="single" w:color="CCCCCC" w:sz="1"/>
              <w:bottom w:val="single" w:color="CCCCCC" w:sz="1"/>
              <w:right w:val="single" w:color="CCCCCC" w:sz="1"/>
            </w:tcBorders>
          </w:tcPr>
          <w:p>
            <w:r>
              <w:rPr>
                <w:sz w:val="22"/>
                <w:szCs w:val="22"/>
              </w:rPr>
              <w:t xml:space="preserve">Allowed — users can select multiple lenses (TBD: implement limit?)</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Cross-section behavior</w:t>
            </w:r>
          </w:p>
        </w:tc>
        <w:tc>
          <w:tcPr>
            <w:tcW w:type="dxa" w:w="6240"/>
            <w:tcBorders>
              <w:top w:val="single" w:color="CCCCCC" w:sz="1"/>
              <w:left w:val="single" w:color="CCCCCC" w:sz="1"/>
              <w:bottom w:val="single" w:color="CCCCCC" w:sz="1"/>
              <w:right w:val="single" w:color="CCCCCC" w:sz="1"/>
            </w:tcBorders>
          </w:tcPr>
          <w:p>
            <w:r>
              <w:rPr>
                <w:sz w:val="22"/>
                <w:szCs w:val="22"/>
              </w:rPr>
              <w:t xml:space="preserve">Selections persist across all three sections simultaneously</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Services sectors</w:t>
            </w:r>
          </w:p>
        </w:tc>
        <w:tc>
          <w:tcPr>
            <w:tcW w:type="dxa" w:w="6240"/>
            <w:tcBorders>
              <w:top w:val="single" w:color="CCCCCC" w:sz="1"/>
              <w:left w:val="single" w:color="CCCCCC" w:sz="1"/>
              <w:bottom w:val="single" w:color="CCCCCC" w:sz="1"/>
              <w:right w:val="single" w:color="CCCCCC" w:sz="1"/>
            </w:tcBorders>
          </w:tcPr>
          <w:p>
            <w:r>
              <w:rPr>
                <w:sz w:val="22"/>
                <w:szCs w:val="22"/>
              </w:rPr>
              <w:t xml:space="preserve">Added 15 services sectors (NEW in v6.0)</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The Landor agent</w:t>
            </w:r>
          </w:p>
        </w:tc>
        <w:tc>
          <w:tcPr>
            <w:tcW w:type="dxa" w:w="6240"/>
            <w:tcBorders>
              <w:top w:val="single" w:color="CCCCCC" w:sz="1"/>
              <w:left w:val="single" w:color="CCCCCC" w:sz="1"/>
              <w:bottom w:val="single" w:color="CCCCCC" w:sz="1"/>
              <w:right w:val="single" w:color="CCCCCC" w:sz="1"/>
            </w:tcBorders>
          </w:tcPr>
          <w:p>
            <w:r>
              <w:rPr>
                <w:sz w:val="22"/>
                <w:szCs w:val="22"/>
              </w:rPr>
              <w:t xml:space="preserve">NEW packaging/labeling specialist for export-ready SMEs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Presentation language</w:t>
            </w:r>
          </w:p>
        </w:tc>
        <w:tc>
          <w:tcPr>
            <w:tcW w:type="dxa" w:w="6240"/>
            <w:tcBorders>
              <w:top w:val="single" w:color="CCCCCC" w:sz="1"/>
              <w:left w:val="single" w:color="CCCCCC" w:sz="1"/>
              <w:bottom w:val="single" w:color="CCCCCC" w:sz="1"/>
              <w:right w:val="single" w:color="CCCCCC" w:sz="1"/>
            </w:tcBorders>
          </w:tcPr>
          <w:p>
            <w:r>
              <w:rPr>
                <w:sz w:val="22"/>
                <w:szCs w:val="22"/>
              </w:rPr>
              <w:t xml:space="preserve">Neutral — no built/not-built status claims on slides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Slide placement</w:t>
            </w:r>
          </w:p>
        </w:tc>
        <w:tc>
          <w:tcPr>
            <w:tcW w:type="dxa" w:w="6240"/>
            <w:tcBorders>
              <w:top w:val="single" w:color="CCCCCC" w:sz="1"/>
              <w:left w:val="single" w:color="CCCCCC" w:sz="1"/>
              <w:bottom w:val="single" w:color="CCCCCC" w:sz="1"/>
              <w:right w:val="single" w:color="CCCCCC" w:sz="1"/>
            </w:tcBorders>
          </w:tcPr>
          <w:p>
            <w:r>
              <w:rPr>
                <w:sz w:val="22"/>
                <w:szCs w:val="22"/>
              </w:rPr>
              <w:t xml:space="preserve">11A-11C (concept) → 11D-11G (UI) → 12 (differentiation) → 12A-12G (demo)</w:t>
            </w:r>
          </w:p>
        </w:tc>
      </w:tr>
    </w:tbl>
    <w:p>
      <w:pPr>
        <w:pStyle w:val="Heading1"/>
        <w:spacing w:before="600"/>
      </w:pPr>
      <w:r>
        <w:t xml:space="preserve">10. File Locations</w:t>
      </w:r>
    </w:p>
    <w:p>
      <w:pPr>
        <w:pStyle w:val="Heading2"/>
      </w:pPr>
      <w:r>
        <w:t xml:space="preserve">10.1 Presentation Slides</w:t>
      </w:r>
    </w:p>
    <w:p>
      <w:pPr>
        <w:pStyle w:val="ListParagraph"/>
        <w:numPr>
          <w:ilvl w:val="0"/>
          <w:numId w:val="2"/>
        </w:numPr>
      </w:pPr>
      <w:r>
        <w:t xml:space="preserve">Concept slides: /mnt/user-data/outputs/RootRise_New_Slides/</w:t>
      </w:r>
    </w:p>
    <w:p>
      <w:pPr>
        <w:pStyle w:val="ListParagraph"/>
        <w:numPr>
          <w:ilvl w:val="0"/>
          <w:numId w:val="2"/>
        </w:numPr>
      </w:pPr>
      <w:r>
        <w:t xml:space="preserve">UI screenshot slides: /mnt/user-data/outputs/RootRise_Ruba_Slides/</w:t>
      </w:r>
    </w:p>
    <w:p>
      <w:pPr>
        <w:pStyle w:val="Heading2"/>
        <w:spacing w:before="300"/>
      </w:pPr>
      <w:r>
        <w:t xml:space="preserve">10.2 Project Files</w:t>
      </w:r>
    </w:p>
    <w:p>
      <w:pPr>
        <w:pStyle w:val="ListParagraph"/>
        <w:numPr>
          <w:ilvl w:val="0"/>
          <w:numId w:val="2"/>
        </w:numPr>
      </w:pPr>
      <w:r>
        <w:t xml:space="preserve">Project Brief: /mnt/project/RootRise_Project_Brief.md</w:t>
      </w:r>
    </w:p>
    <w:p>
      <w:pPr>
        <w:pStyle w:val="ListParagraph"/>
        <w:numPr>
          <w:ilvl w:val="0"/>
          <w:numId w:val="2"/>
        </w:numPr>
      </w:pPr>
      <w:r>
        <w:t xml:space="preserve">Color System: /mnt/project/RootRise_Color_System_Ruba.html</w:t>
      </w:r>
    </w:p>
    <w:p>
      <w:pPr>
        <w:pStyle w:val="ListParagraph"/>
        <w:numPr>
          <w:ilvl w:val="0"/>
          <w:numId w:val="2"/>
        </w:numPr>
      </w:pPr>
      <w:r>
        <w:t xml:space="preserve">Learning Resources: /mnt/project/rootrise-resources__1_.jsx</w:t>
      </w:r>
    </w:p>
    <w:p>
      <w:pPr>
        <w:spacing w:before="600"/>
        <w:jc w:val="center"/>
      </w:pPr>
      <w:r>
        <w:rPr>
          <w:i/>
          <w:iCs/>
          <w:color w:val="888888"/>
        </w:rPr>
        <w:t xml:space="preserve">— End of Document —</w:t>
      </w:r>
    </w:p>
    <w:p>
      <w:pPr>
        <w:spacing w:before="200"/>
        <w:jc w:val="center"/>
      </w:pPr>
      <w:r>
        <w:rPr>
          <w:color w:val="888888"/>
          <w:sz w:val="20"/>
          <w:szCs w:val="20"/>
        </w:rPr>
        <w:t xml:space="preserve">Document generated: December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20"/>
        <w:szCs w:val="20"/>
      </w:rPr>
      <w:t xml:space="preserve">DEVONEERS — Confidential | Page </w:t>
    </w:r>
    <w:r>
      <w:rPr>
        <w:color w:val="888888"/>
        <w:sz w:val="20"/>
        <w:szCs w:val="20"/>
      </w:rPr>
      <w:fldChar w:fldCharType="begin"/>
      <w:instrText xml:space="preserve">PAGE</w:instrText>
      <w:fldChar w:fldCharType="separate"/>
      <w:fldChar w:fldCharType="end"/>
    </w:r>
    <w:r>
      <w:rPr>
        <w:color w:val="888888"/>
        <w:sz w:val="20"/>
        <w:szCs w:val="20"/>
      </w:rPr>
      <w:t xml:space="preserve"> of </w:t>
    </w:r>
    <w:r>
      <w:rPr>
        <w:color w:val="888888"/>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20"/>
        <w:szCs w:val="20"/>
      </w:rPr>
      <w:t xml:space="preserve">RootRise Architecture v6.0 — Master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2A5C5C"/>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B8904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A5C5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DD4C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2025-12-11T02:21:31.481Z</dcterms:created>
  <dcterms:modified xsi:type="dcterms:W3CDTF">2025-12-11T02:21:31.481Z</dcterms:modified>
</cp:coreProperties>
</file>

<file path=docProps/custom.xml><?xml version="1.0" encoding="utf-8"?>
<Properties xmlns="http://schemas.openxmlformats.org/officeDocument/2006/custom-properties" xmlns:vt="http://schemas.openxmlformats.org/officeDocument/2006/docPropsVTypes"/>
</file>