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pStyle w:val="Title"/>
      </w:pPr>
      <w:r>
        <w:t xml:space="preserve">RootRise</w:t>
      </w:r>
    </w:p>
    <w:p>
      <w:pPr>
        <w:jc w:val="center"/>
      </w:pPr>
      <w:r>
        <w:rPr>
          <w:b/>
          <w:bCs/>
          <w:color w:val="C9A45C"/>
          <w:sz w:val="36"/>
          <w:szCs w:val="36"/>
        </w:rPr>
        <w:t xml:space="preserve">Impact Report 2025</w:t>
      </w:r>
    </w:p>
    <w:p>
      <w:pPr>
        <w:spacing w:before="400"/>
        <w:jc w:val="center"/>
      </w:pPr>
      <w:r>
        <w:rPr>
          <w:color w:val="666666"/>
          <w:sz w:val="24"/>
          <w:szCs w:val="24"/>
        </w:rPr>
        <w:t xml:space="preserve">Driving Measurable Impact Across MENA</w:t>
      </w:r>
    </w:p>
    <w:p>
      <w:pPr>
        <w:spacing w:before="1500"/>
        <w:jc w:val="center"/>
      </w:pPr>
      <w:r>
        <w:rPr>
          <w:sz w:val="20"/>
          <w:szCs w:val="20"/>
        </w:rPr>
        <w:t xml:space="preserve">Prepared by DEVONEERS</w:t>
      </w:r>
    </w:p>
    <w:p>
      <w:pPr>
        <w:jc w:val="center"/>
      </w:pPr>
      <w:r>
        <w:rPr>
          <w:color w:val="888888"/>
          <w:sz w:val="20"/>
          <w:szCs w:val="20"/>
        </w:rPr>
        <w:t xml:space="preserve">December 2025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>RootRise is building the AI-powered operating system for SME transformation in MENA. This report outlines our impact thesis, methodology, and measurable outcomes aligned with global development goals.</w:t>
      </w:r>
    </w:p>
    <w:p>
      <w:pPr>
        <w:spacing w:before="200"/>
      </w:pPr>
      <w:r>
        <w:rPr>
          <w:b/>
          <w:bCs/>
        </w:rPr>
        <w:t xml:space="preserve">Key Highlights:</w:t>
      </w:r>
    </w:p>
    <w:p>
      <w:pPr>
        <w:pStyle w:val="ListParagraph"/>
        <w:numPr>
          <w:ilvl w:val="0"/>
          <w:numId w:val="2"/>
        </w:numPr>
      </w:pPr>
      <w:r>
        <w:t xml:space="preserve">200+ SME network reach across 6 MENA countries</w:t>
      </w:r>
    </w:p>
    <w:p>
      <w:pPr>
        <w:pStyle w:val="ListParagraph"/>
        <w:numPr>
          <w:ilvl w:val="0"/>
          <w:numId w:val="2"/>
        </w:numPr>
      </w:pPr>
      <w:r>
        <w:t xml:space="preserve">12,450 jobs impacted through transformation programs</w:t>
      </w:r>
    </w:p>
    <w:p>
      <w:pPr>
        <w:pStyle w:val="ListParagraph"/>
        <w:numPr>
          <w:ilvl w:val="0"/>
          <w:numId w:val="2"/>
        </w:numPr>
      </w:pPr>
      <w:r>
        <w:t xml:space="preserve">$45M GDP contribution from supported SMEs</w:t>
      </w:r>
    </w:p>
    <w:p>
      <w:pPr>
        <w:pStyle w:val="ListParagraph"/>
        <w:numPr>
          <w:ilvl w:val="0"/>
          <w:numId w:val="2"/>
        </w:numPr>
      </w:pPr>
      <w:r>
        <w:t xml:space="preserve">Aligned with SDG 8, SDG 9, and SDG 17</w:t>
      </w:r>
    </w:p>
    <w:p>
      <w:r>
        <w:br w:type="page"/>
      </w:r>
    </w:p>
    <w:p>
      <w:pPr>
        <w:pStyle w:val="Heading1"/>
      </w:pPr>
      <w:r>
        <w:t xml:space="preserve">The Opportunity</w:t>
      </w:r>
    </w:p>
    <w:p>
      <w:r>
        <w:t xml:space="preserve">SMEs represent over 90% of businesses in MENA but face significant barriers to growth and digital transformation.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Challenge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Scale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RootRise 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Digital Transformation Failure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89% fail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+ Human 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Access to Capital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70% struggle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Investment readiness 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Export Barriers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&lt;5% 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Export certification support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Theory of Change</w:t>
      </w:r>
    </w:p>
    <w:p>
      <w:r>
        <w:t xml:space="preserve">Our impact model follows a systematic approach from inputs to sustainable outcomes.</w:t>
      </w:r>
    </w:p>
    <w:p>
      <w:pPr>
        <w:pStyle w:val="Heading2"/>
        <w:spacing w:before="300"/>
      </w:pPr>
      <w:r>
        <w:t xml:space="preserve">Inputs</w:t>
      </w:r>
    </w:p>
    <w:p>
      <w:pPr>
        <w:pStyle w:val="ListParagraph"/>
        <w:numPr>
          <w:ilvl w:val="0"/>
          <w:numId w:val="2"/>
        </w:numPr>
      </w:pPr>
      <w:r>
        <w:t xml:space="preserve">AI-powered diagnostic and growth mapping technology</w:t>
      </w:r>
    </w:p>
    <w:p>
      <w:pPr>
        <w:pStyle w:val="ListParagraph"/>
        <w:numPr>
          <w:ilvl w:val="0"/>
          <w:numId w:val="2"/>
        </w:numPr>
      </w:pPr>
      <w:r>
        <w:t xml:space="preserve">Network of human expert advisors with local market knowledge</w:t>
      </w:r>
    </w:p>
    <w:p>
      <w:pPr>
        <w:pStyle w:val="ListParagraph"/>
        <w:numPr>
          <w:ilvl w:val="0"/>
          <w:numId w:val="2"/>
        </w:numPr>
      </w:pPr>
      <w:r>
        <w:t xml:space="preserve">Partnerships with investors, governments, and development organizations</w:t>
      </w:r>
    </w:p>
    <w:p>
      <w:pPr>
        <w:pStyle w:val="Heading2"/>
        <w:spacing w:before="200"/>
      </w:pPr>
      <w:r>
        <w:t xml:space="preserve">Activities</w:t>
      </w:r>
    </w:p>
    <w:p>
      <w:pPr>
        <w:pStyle w:val="ListParagraph"/>
        <w:numPr>
          <w:ilvl w:val="0"/>
          <w:numId w:val="2"/>
        </w:numPr>
      </w:pPr>
      <w:r>
        <w:t xml:space="preserve">SME diagnostics and growth roadmap creation</w:t>
      </w:r>
    </w:p>
    <w:p>
      <w:pPr>
        <w:pStyle w:val="ListParagraph"/>
        <w:numPr>
          <w:ilvl w:val="0"/>
          <w:numId w:val="2"/>
        </w:numPr>
      </w:pPr>
      <w:r>
        <w:t xml:space="preserve">Resource matching with grants, investors, and service providers</w:t>
      </w:r>
    </w:p>
    <w:p>
      <w:pPr>
        <w:pStyle w:val="ListParagraph"/>
        <w:numPr>
          <w:ilvl w:val="0"/>
          <w:numId w:val="2"/>
        </w:numPr>
      </w:pPr>
      <w:r>
        <w:t xml:space="preserve">Implementation support and progress monitoring</w:t>
      </w:r>
    </w:p>
    <w:p>
      <w:pPr>
        <w:pStyle w:val="Heading2"/>
        <w:spacing w:before="200"/>
      </w:pPr>
      <w:r>
        <w:t xml:space="preserve">Outcomes</w:t>
      </w:r>
    </w:p>
    <w:p>
      <w:pPr>
        <w:pStyle w:val="ListParagraph"/>
        <w:numPr>
          <w:ilvl w:val="0"/>
          <w:numId w:val="2"/>
        </w:numPr>
      </w:pPr>
      <w:r>
        <w:t xml:space="preserve">Increased operational efficiency (target: 30%+)</w:t>
      </w:r>
    </w:p>
    <w:p>
      <w:pPr>
        <w:pStyle w:val="ListParagraph"/>
        <w:numPr>
          <w:ilvl w:val="0"/>
          <w:numId w:val="2"/>
        </w:numPr>
      </w:pPr>
      <w:r>
        <w:t xml:space="preserve">Revenue growth for supported SMEs (target: 25%+)</w:t>
      </w:r>
    </w:p>
    <w:p>
      <w:pPr>
        <w:pStyle w:val="ListParagraph"/>
        <w:numPr>
          <w:ilvl w:val="0"/>
          <w:numId w:val="2"/>
        </w:numPr>
      </w:pPr>
      <w:r>
        <w:t xml:space="preserve">Job creation and preservation</w:t>
      </w:r>
    </w:p>
    <w:p>
      <w:pPr>
        <w:pStyle w:val="ListParagraph"/>
        <w:numPr>
          <w:ilvl w:val="0"/>
          <w:numId w:val="2"/>
        </w:numPr>
      </w:pPr>
      <w:r>
        <w:t xml:space="preserve">Export readiness and international market access</w:t>
      </w:r>
    </w:p>
    <w:p>
      <w:r>
        <w:br w:type="page"/>
      </w:r>
    </w:p>
    <w:p>
      <w:pPr>
        <w:pStyle w:val="Heading1"/>
      </w:pPr>
      <w:r>
        <w:t xml:space="preserve">SDG Alignment</w:t>
      </w:r>
    </w:p>
    <w:p>
      <w:r>
        <w:t xml:space="preserve">RootRise directly contributes to three Sustainable Development Goals:</w:t>
      </w:r>
    </w:p>
    <w:p>
      <w:pPr>
        <w:pStyle w:val="Heading2"/>
        <w:spacing w:before="300"/>
      </w:pPr>
      <w:r>
        <w:t xml:space="preserve">SDG 8: Decent Work and Economic Growth</w:t>
      </w:r>
    </w:p>
    <w:p>
      <w:r>
        <w:t xml:space="preserve">We promote sustained, inclusive economic growth through SME development, creating productive employment opportunities across the MENA region.</w:t>
      </w:r>
    </w:p>
    <w:p>
      <w:pPr>
        <w:pStyle w:val="Heading2"/>
        <w:spacing w:before="200"/>
      </w:pPr>
      <w:r>
        <w:t xml:space="preserve">SDG 9: Industry, Innovation and Infrastructure</w:t>
      </w:r>
    </w:p>
    <w:p>
      <w:r>
        <w:t xml:space="preserve">We build resilient infrastructure by providing SMEs with AI-powered tools that were previously only accessible to large enterprises.</w:t>
      </w:r>
    </w:p>
    <w:p>
      <w:pPr>
        <w:pStyle w:val="Heading2"/>
        <w:spacing w:before="200"/>
      </w:pPr>
      <w:r>
        <w:t xml:space="preserve">SDG 17: Partnerships for the Goals</w:t>
      </w:r>
    </w:p>
    <w:p>
      <w:r>
        <w:t xml:space="preserve">We strengthen global partnerships by connecting SMEs with investors, governments, and development organizations for sustainable impact.</w:t>
      </w:r>
    </w:p>
    <w:p>
      <w:r>
        <w:br w:type="page"/>
      </w:r>
    </w:p>
    <w:p>
      <w:pPr>
        <w:pStyle w:val="Heading1"/>
      </w:pPr>
      <w:r>
        <w:t xml:space="preserve">Impact Metrics</w:t>
      </w:r>
    </w:p>
    <w:p>
      <w:r>
        <w:t xml:space="preserve">Current and projected impact across key indicators: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D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2026 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SME Network Reach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1,000+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Jobs Impacted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12,450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50,000+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GDP Contribution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$45M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$200M+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Countries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Partner With Us</w:t>
      </w:r>
    </w:p>
    <w:p>
      <w:r>
        <w:t xml:space="preserve">We're seeking strategic partners who share our vision of transforming SME growth across MENA.</w:t>
      </w:r>
    </w:p>
    <w:p>
      <w:pPr>
        <w:pStyle w:val="Heading2"/>
        <w:spacing w:before="200"/>
      </w:pPr>
      <w:r>
        <w:t xml:space="preserve">Investment Opportunity</w:t>
      </w:r>
    </w:p>
    <w:p>
      <w:pPr>
        <w:pStyle w:val="ListParagraph"/>
        <w:numPr>
          <w:ilvl w:val="0"/>
          <w:numId w:val="2"/>
        </w:numPr>
      </w:pPr>
      <w:r>
        <w:t xml:space="preserve">Seed round: $500K - $1M</w:t>
      </w:r>
    </w:p>
    <w:p>
      <w:pPr>
        <w:pStyle w:val="ListParagraph"/>
        <w:numPr>
          <w:ilvl w:val="0"/>
          <w:numId w:val="2"/>
        </w:numPr>
      </w:pPr>
      <w:r>
        <w:t xml:space="preserve">Use of funds: Product development (45%), Sales &amp; Marketing (30%), Operations (25%)</w:t>
      </w:r>
    </w:p>
    <w:p>
      <w:pPr>
        <w:pStyle w:val="ListParagraph"/>
        <w:numPr>
          <w:ilvl w:val="0"/>
          <w:numId w:val="2"/>
        </w:numPr>
      </w:pPr>
      <w:r>
        <w:t xml:space="preserve">Target: 18-month runway to Series A</w:t>
      </w:r>
    </w:p>
    <w:p>
      <w:pPr>
        <w:pStyle w:val="Heading2"/>
        <w:spacing w:before="200"/>
      </w:pPr>
      <w:r>
        <w:t xml:space="preserve">Contact</w:t>
      </w:r>
    </w:p>
    <w:p>
      <w:r>
        <w:rPr>
          <w:b/>
          <w:bCs/>
        </w:rPr>
        <w:t xml:space="preserve">Email: </w:t>
      </w:r>
      <w:r>
        <w:t xml:space="preserve">invest@rootrise.io</w:t>
      </w:r>
    </w:p>
    <w:p>
      <w:r>
        <w:rPr>
          <w:b/>
          <w:bCs/>
        </w:rPr>
        <w:t xml:space="preserve">Locations: </w:t>
      </w:r>
      <w:r>
        <w:t xml:space="preserve">Cairo, Egypt | Dubai, UAE</w:t>
      </w:r>
    </w:p>
    <w:p>
      <w:pPr>
        <w:spacing w:before="600"/>
        <w:jc w:val="center"/>
      </w:pPr>
      <w:r>
        <w:rPr>
          <w:i/>
          <w:iCs/>
          <w:color w:val="888888"/>
        </w:rPr>
        <w:t xml:space="preserve">— End of Report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RootRise Impact Report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A162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C9A4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A162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2025-12-03T21:24:00.979Z</dcterms:created>
  <dcterms:modified xsi:type="dcterms:W3CDTF">2025-12-03T21:24:00.980Z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