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MediFlow Project - Compliance &amp; Data Governance</w:t>
      </w:r>
    </w:p>
    <w:p>
      <w:pPr>
        <w:pStyle w:val="Heading2"/>
      </w:pPr>
      <w:r>
        <w:t>1. Data Privacy &amp; Pseudo-Anonymization</w:t>
      </w:r>
    </w:p>
    <w:p>
      <w:r>
        <w:t>All patient data used in this project is synthetically generated and pseudo-anonymized. No real personally identifiable information (PII) such as names, phone numbers, addresses, or medical record numbers are used in this dataset.</w:t>
      </w:r>
    </w:p>
    <w:p>
      <w:pPr>
        <w:pStyle w:val="ListBullet"/>
      </w:pPr>
      <w:r>
        <w:t>Key Measures Implemented:</w:t>
      </w:r>
    </w:p>
    <w:p>
      <w:pPr>
        <w:pStyle w:val="ListBullet2"/>
      </w:pPr>
      <w:r>
        <w:t>• Only synthetic patient_id used as identifier.</w:t>
      </w:r>
    </w:p>
    <w:p>
      <w:pPr>
        <w:pStyle w:val="ListBullet2"/>
      </w:pPr>
      <w:r>
        <w:t>• No personal names or contact details stored.</w:t>
      </w:r>
    </w:p>
    <w:p>
      <w:pPr>
        <w:pStyle w:val="ListBullet2"/>
      </w:pPr>
      <w:r>
        <w:t>• Only city-level geographic information used.</w:t>
      </w:r>
    </w:p>
    <w:p>
      <w:pPr>
        <w:pStyle w:val="ListBullet2"/>
      </w:pPr>
      <w:r>
        <w:t>• No sensitive health identifiers exposed.</w:t>
      </w:r>
    </w:p>
    <w:p>
      <w:pPr>
        <w:pStyle w:val="Heading2"/>
      </w:pPr>
      <w:r>
        <w:t>2. Data Governance Controls</w:t>
      </w:r>
    </w:p>
    <w:p>
      <w:r>
        <w:t>• IAM roles implemented with least privilege access.</w:t>
      </w:r>
    </w:p>
    <w:p>
      <w:r>
        <w:t>• No public access enabled on S3 bucket.</w:t>
      </w:r>
    </w:p>
    <w:p>
      <w:r>
        <w:t>• Controlled Athena query permissions.</w:t>
      </w:r>
    </w:p>
    <w:p>
      <w:r>
        <w:t>• Structured data lake layers (raw, processed, analytics).</w:t>
      </w:r>
    </w:p>
    <w:p>
      <w:pPr>
        <w:pStyle w:val="Heading2"/>
      </w:pPr>
      <w:r>
        <w:t>3. Compliance Summary</w:t>
      </w:r>
    </w:p>
    <w:p>
      <w:r>
        <w:t>The project adheres to standard healthcare data governance principles by ensuring anonymization, access control, and secure cloud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