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IFLY_RECON_AUTOMATION_v15 — Issues Resolved &amp; Exact Replacements</w:t>
      </w:r>
    </w:p>
    <w:p>
      <w:pPr>
        <w:jc w:val="center"/>
      </w:pPr>
      <w:r>
        <w:t>Implementation note for the V14 code-review findings plus the requested Excel/HTML report changes.</w:t>
      </w:r>
    </w:p>
    <w:p>
      <w:pPr>
        <w:pStyle w:val="Heading1"/>
      </w:pPr>
      <w:r>
        <w:t>Scope</w:t>
      </w:r>
    </w:p>
    <w:p>
      <w:r>
        <w:t>The supplied V14 review document contained six bugs, five functional gaps, and four suggestions. Its text layer was image-based, so the findings were read from the embedded review screenshots. V15 incorporates the findings that can be resolved without changing the agreed reconciliation behavior, and also implements the requested report/UI changes.</w:t>
      </w:r>
    </w:p>
    <w:p>
      <w:pPr>
        <w:pStyle w:val="Heading1"/>
      </w:pPr>
      <w:r>
        <w:t>1. BUG 1 — Date vs datetime comparison</w:t>
      </w:r>
    </w:p>
    <w:p>
      <w:pPr>
        <w:pStyle w:val="Heading2"/>
      </w:pPr>
      <w:r>
        <w:t>Date-vs-datetime now checks the actual time component</w:t>
      </w:r>
    </w:p>
    <w:p>
      <w:r>
        <w:t>Review: reconcile.py lines 169–173 in the supplied review.</w:t>
      </w:r>
    </w:p>
    <w:p>
      <w:pPr>
        <w:pStyle w:val="IntenseQuote"/>
      </w:pPr>
      <w:r>
        <w:t>Previous behavior / issue:</w:t>
      </w:r>
    </w:p>
    <w:p>
      <w:pPr>
        <w:pStyle w:val="NoSpacing"/>
      </w:pPr>
      <w:r>
        <w:rPr>
          <w:rFonts w:ascii="Consolas" w:hAnsi="Consolas"/>
          <w:sz w:val="18"/>
        </w:rPr>
        <w:t>if date == datetime:</w:t>
        <w:br/>
        <w:t xml:space="preserve">    compare only the date portion</w:t>
      </w:r>
    </w:p>
    <w:p>
      <w:pPr>
        <w:pStyle w:val="IntenseQuote"/>
      </w:pPr>
      <w:r>
        <w:t>Replacement implemented in V15:</w:t>
      </w:r>
    </w:p>
    <w:p>
      <w:pPr>
        <w:pStyle w:val="NoSpacing"/>
      </w:pPr>
      <w:r>
        <w:rPr>
          <w:rFonts w:ascii="Consolas" w:hAnsi="Consolas"/>
          <w:sz w:val="18"/>
        </w:rPr>
        <w:t>if date == datetime:</w:t>
        <w:br/>
        <w:t xml:space="preserve">    equal only when datetime.time() == 00:00:00</w:t>
      </w:r>
    </w:p>
    <w:p>
      <w:r>
        <w:t>How it works now: 2024-01-15 equals 2024-01-15T00:00:00, but does not equal 2024-01-15T14:30:00. This removes the false MATCH described in the review.</w:t>
      </w:r>
    </w:p>
    <w:p>
      <w:pPr>
        <w:pStyle w:val="Heading1"/>
      </w:pPr>
      <w:r>
        <w:t>2. GAP 4 — ISO timezone-offset timestamps</w:t>
      </w:r>
    </w:p>
    <w:p>
      <w:r>
        <w:t>The previous temporal regex did not recognize Z or numeric timezone offsets. V15 accepts ISO timestamps ending in Z or ±HH:MM/±HHMM.</w:t>
      </w:r>
    </w:p>
    <w:p>
      <w:pPr>
        <w:pStyle w:val="NoSpacing"/>
      </w:pPr>
      <w:r>
        <w:rPr>
          <w:rFonts w:ascii="Consolas" w:hAnsi="Consolas"/>
          <w:sz w:val="18"/>
        </w:rPr>
        <w:t>r"\d{4}-\d{2}-\d{2}[T ]... (?:Z|[+-]\d{2}:?\d{2})?"</w:t>
      </w:r>
    </w:p>
    <w:p>
      <w:r>
        <w:t>Both timezone-aware timestamps are normalized to UTC for comparison. If only one side carries timezone metadata, the same wall-clock components are compared. This prevents the review examples from falling through to strict string comparison.</w:t>
      </w:r>
    </w:p>
    <w:p>
      <w:pPr>
        <w:pStyle w:val="Heading1"/>
      </w:pPr>
      <w:r>
        <w:t>3. BUG 2 — Unclean column names in app.py</w:t>
      </w:r>
    </w:p>
    <w:p>
      <w:pPr>
        <w:pStyle w:val="Heading2"/>
      </w:pPr>
      <w:r>
        <w:t>Column names are cleaned before key/common-column selection</w:t>
      </w:r>
    </w:p>
    <w:p>
      <w:r>
        <w:t>Review: app.py lines 45–46 in the supplied review.</w:t>
      </w:r>
    </w:p>
    <w:p>
      <w:pPr>
        <w:pStyle w:val="IntenseQuote"/>
      </w:pPr>
      <w:r>
        <w:t>Previous behavior / issue:</w:t>
      </w:r>
    </w:p>
    <w:p>
      <w:pPr>
        <w:pStyle w:val="NoSpacing"/>
      </w:pPr>
      <w:r>
        <w:rPr>
          <w:rFonts w:ascii="Consolas" w:hAnsi="Consolas"/>
          <w:sz w:val="18"/>
        </w:rPr>
        <w:t>d1 = read_table(...)</w:t>
        <w:br/>
        <w:t>d3 = read_table(...)</w:t>
        <w:br/>
        <w:t>common = [c for c in d1.columns if c in d3.columns]</w:t>
      </w:r>
    </w:p>
    <w:p>
      <w:pPr>
        <w:pStyle w:val="IntenseQuote"/>
      </w:pPr>
      <w:r>
        <w:t>Replacement implemented in V15:</w:t>
      </w:r>
    </w:p>
    <w:p>
      <w:pPr>
        <w:pStyle w:val="NoSpacing"/>
      </w:pPr>
      <w:r>
        <w:rPr>
          <w:rFonts w:ascii="Consolas" w:hAnsi="Consolas"/>
          <w:sz w:val="18"/>
        </w:rPr>
        <w:t>d1 = clean_columns(read_table(...))</w:t>
        <w:br/>
        <w:t>d3 = clean_columns(read_table(...))</w:t>
        <w:br/>
        <w:t>common = [c for c in d1.columns if c in d3.columns]</w:t>
      </w:r>
    </w:p>
    <w:p>
      <w:r>
        <w:t>How it works now: Leading/trailing whitespace in source headers is removed before the match-key selector and comparison-column selection run, so the app and reconciliation engine see the same names.</w:t>
      </w:r>
    </w:p>
    <w:p>
      <w:pPr>
        <w:pStyle w:val="Heading1"/>
      </w:pPr>
      <w:r>
        <w:t>4. BUG 2 / SUGGESTION 2 — One authoritative comparison-column list</w:t>
      </w:r>
    </w:p>
    <w:p>
      <w:r>
        <w:t>V15 adds get_compare_columns() in reconcile.py. app.py uses it to build field_comparison, and the same compare_columns list is passed into Excel and HTML report builders. Reporting no longer invents a second comparison-column rule.</w:t>
      </w:r>
    </w:p>
    <w:p>
      <w:pPr>
        <w:pStyle w:val="NoSpacing"/>
      </w:pPr>
      <w:r>
        <w:rPr>
          <w:rFonts w:ascii="Consolas" w:hAnsi="Consolas"/>
          <w:sz w:val="18"/>
        </w:rPr>
        <w:t>compare_columns = get_compare_columns(d1, d3, keys)</w:t>
        <w:br/>
        <w:t>field_comparison = build_field_comparison(changes, keys, compare_columns)</w:t>
        <w:br/>
        <w:t>build_excel(..., compare_columns)</w:t>
        <w:br/>
        <w:t>build_html(..., compare_columns)</w:t>
      </w:r>
    </w:p>
    <w:p>
      <w:pPr>
        <w:pStyle w:val="Heading1"/>
      </w:pPr>
      <w:r>
        <w:t>5. BUG 3 — Unused datatype-aware comparison pass</w:t>
      </w:r>
    </w:p>
    <w:p>
      <w:r>
        <w:t>The review noted that run_reconciliation computed value-only and datatype-aware results, then discarded the datatype-aware result. V15 removes the second comparison pass, removes the datatype output file, and retains only the agreed value-only reconciliation.</w:t>
      </w:r>
    </w:p>
    <w:p>
      <w:pPr>
        <w:pStyle w:val="NoSpacing"/>
      </w:pPr>
      <w:r>
        <w:rPr>
          <w:rFonts w:ascii="Consolas" w:hAnsi="Consolas"/>
          <w:sz w:val="18"/>
        </w:rPr>
        <w:t>summary_value, detail_value, changes_value = compare_tables(ifly_p, odh_p, key_columns, event_type)</w:t>
      </w:r>
    </w:p>
    <w:p>
      <w:r>
        <w:t>There is now one reconciliation pass, so the discarded datatype-aware computation no longer consumes time or memory.</w:t>
      </w:r>
    </w:p>
    <w:p>
      <w:pPr>
        <w:pStyle w:val="Heading1"/>
      </w:pPr>
      <w:r>
        <w:t>6. BUG 4 — clean_columns called twice</w:t>
      </w:r>
    </w:p>
    <w:p>
      <w:r>
        <w:t>V15 centralizes the comparison-column selection and avoids re-cleaning DataFrames for a second independent comparison path. run_reconciliation still cleans the actual reconciliation inputs once, and get_compare_columns safely handles already-cleaned DataFrames.</w:t>
      </w:r>
    </w:p>
    <w:p>
      <w:pPr>
        <w:pStyle w:val="Heading1"/>
      </w:pPr>
      <w:r>
        <w:t>7. BUG 5 — PowerShell setup only tried two Python versions</w:t>
      </w:r>
    </w:p>
    <w:p>
      <w:pPr>
        <w:pStyle w:val="Heading2"/>
      </w:pPr>
      <w:r>
        <w:t>setup_and_run.ps1 now cascades through Python 3.14 to 3.10</w:t>
      </w:r>
    </w:p>
    <w:p>
      <w:r>
        <w:t>Review: setup_and_run.ps1 in the supplied review.</w:t>
      </w:r>
    </w:p>
    <w:p>
      <w:pPr>
        <w:pStyle w:val="IntenseQuote"/>
      </w:pPr>
      <w:r>
        <w:t>Previous behavior / issue:</w:t>
      </w:r>
    </w:p>
    <w:p>
      <w:pPr>
        <w:pStyle w:val="NoSpacing"/>
      </w:pPr>
      <w:r>
        <w:rPr>
          <w:rFonts w:ascii="Consolas" w:hAnsi="Consolas"/>
          <w:sz w:val="18"/>
        </w:rPr>
        <w:t>py -3.14</w:t>
        <w:br/>
        <w:t>if failure: py -3.13</w:t>
      </w:r>
    </w:p>
    <w:p>
      <w:pPr>
        <w:pStyle w:val="IntenseQuote"/>
      </w:pPr>
      <w:r>
        <w:t>Replacement implemented in V15:</w:t>
      </w:r>
    </w:p>
    <w:p>
      <w:pPr>
        <w:pStyle w:val="NoSpacing"/>
      </w:pPr>
      <w:r>
        <w:rPr>
          <w:rFonts w:ascii="Consolas" w:hAnsi="Consolas"/>
          <w:sz w:val="18"/>
        </w:rPr>
        <w:t>for v in 3.14, 3.13, 3.12, 3.11, 3.10:</w:t>
        <w:br/>
        <w:t xml:space="preserve">    test the launcher</w:t>
        <w:br/>
        <w:t xml:space="preserve">    use the first available version</w:t>
      </w:r>
    </w:p>
    <w:p>
      <w:r>
        <w:t>How it works now: Windows PowerShell users with Python 3.12 or 3.11 can now create the environment instead of being rejected.</w:t>
      </w:r>
    </w:p>
    <w:p>
      <w:pPr>
        <w:pStyle w:val="Heading1"/>
      </w:pPr>
      <w:r>
        <w:t>8. BUG 6 — setup_and_run.sh recreated .venv every run</w:t>
      </w:r>
    </w:p>
    <w:p>
      <w:r>
        <w:t>The shell launcher now checks for .venv first. It creates a virtual environment only when it does not already exist, then reuses it on later runs.</w:t>
      </w:r>
    </w:p>
    <w:p>
      <w:pPr>
        <w:pStyle w:val="NoSpacing"/>
      </w:pPr>
      <w:r>
        <w:rPr>
          <w:rFonts w:ascii="Consolas" w:hAnsi="Consolas"/>
          <w:sz w:val="18"/>
        </w:rPr>
        <w:t>if [ ! -d .venv ]; then</w:t>
        <w:br/>
        <w:t xml:space="preserve">    select an available Python 3.14..3.10</w:t>
        <w:br/>
        <w:t xml:space="preserve">    python -m venv .venv</w:t>
        <w:br/>
        <w:t>fi</w:t>
        <w:br/>
        <w:t>. .venv/bin/activate</w:t>
      </w:r>
    </w:p>
    <w:p>
      <w:pPr>
        <w:pStyle w:val="Heading1"/>
      </w:pPr>
      <w:r>
        <w:t>9. GAP 1 — No progress indicator</w:t>
      </w:r>
    </w:p>
    <w:p>
      <w:r>
        <w:t>The Streamlit run action now uses st.status() and reports the major stages: matching/comparison and report formatting. This gives the user visible feedback while large files are processed.</w:t>
      </w:r>
    </w:p>
    <w:p>
      <w:pPr>
        <w:pStyle w:val="Heading1"/>
      </w:pPr>
      <w:r>
        <w:t>10. GAP 3 — No file-size guard or warning</w:t>
      </w:r>
    </w:p>
    <w:p>
      <w:r>
        <w:t>V15 adds a 500 MB per-file hard limit and a warning above 200 MB. This protects the application from attempting an uncontrolled in-memory reconciliation.</w:t>
      </w:r>
    </w:p>
    <w:p>
      <w:pPr>
        <w:pStyle w:val="NoSpacing"/>
      </w:pPr>
      <w:r>
        <w:rPr>
          <w:rFonts w:ascii="Consolas" w:hAnsi="Consolas"/>
          <w:sz w:val="18"/>
        </w:rPr>
        <w:t>MAX_UPLOAD_BYTES = 500 * 1024 * 1024</w:t>
        <w:br/>
        <w:t>if file.size &gt; MAX_UPLOAD_BYTES: stop</w:t>
        <w:br/>
        <w:t>if file.size &gt; 200 MB: warning</w:t>
      </w:r>
    </w:p>
    <w:p>
      <w:pPr>
        <w:pStyle w:val="Heading1"/>
      </w:pPr>
      <w:r>
        <w:t>11. SUGGESTION 1 — Cache file reads</w:t>
      </w:r>
    </w:p>
    <w:p>
      <w:r>
        <w:t>Uploaded file parsing is now behind st.cache_data and keyed by the uploaded bytes plus file suffix. Streamlit reruns caused by UI changes can reuse the parsed DataFrame instead of repeatedly parsing the same upload.</w:t>
      </w:r>
    </w:p>
    <w:p>
      <w:pPr>
        <w:pStyle w:val="Heading1"/>
      </w:pPr>
      <w:r>
        <w:t>12. GAP 2 — Large raw datasets in the single HTML report</w:t>
      </w:r>
    </w:p>
    <w:p>
      <w:r>
        <w:t>The requirement is a single self-contained HTML file that contains all input/query data and permits copy/paste. V15 therefore keeps all data inside the HTML, but compresses each dataset independently with gzip+Base64. The browser decompresses only the selected Query Result when the user opens it. This reduces the stored HTML payload substantially and avoids constructing every large CSV as an active textarea at page load.</w:t>
      </w:r>
    </w:p>
    <w:p>
      <w:r>
        <w:t>This is the compatible resolution for the self-contained/all-data requirement; removing the data from the HTML entirely would violate that requirement.</w:t>
      </w:r>
    </w:p>
    <w:p>
      <w:pPr>
        <w:pStyle w:val="Heading1"/>
      </w:pPr>
      <w:r>
        <w:t>13. SUGGESTION 4 — Clipboard API</w:t>
      </w:r>
    </w:p>
    <w:p>
      <w:r>
        <w:t>The HTML now tries navigator.clipboard.writeText() first and falls back to document.execCommand("copy") only when the modern API is unavailable.</w:t>
      </w:r>
    </w:p>
    <w:p>
      <w:pPr>
        <w:pStyle w:val="Heading1"/>
      </w:pPr>
      <w:r>
        <w:t>14. GAP 5 — stale README version</w:t>
      </w:r>
    </w:p>
    <w:p>
      <w:r>
        <w:t>README.md is now labeled IFLY_RECON_AUTOMATION_v15 and describes the current report structure and behavior.</w:t>
      </w:r>
    </w:p>
    <w:p>
      <w:pPr>
        <w:pStyle w:val="Heading1"/>
      </w:pPr>
      <w:r>
        <w:t>15. Excel report changes requested after V14</w:t>
      </w:r>
    </w:p>
    <w:p>
      <w:r>
        <w:t>The Excel report remains the same four-sheet report structure, but V15 removes worksheet auto-filters from the attribute headers. Worksheet gridlines remain hidden outside the report data area, while the report cells retain their borders so the data remains visually separated. No datatype-comparison sheet is generated.</w:t>
      </w:r>
    </w:p>
    <w:p>
      <w:pPr>
        <w:pStyle w:val="Heading1"/>
      </w:pPr>
      <w:r>
        <w:t>16. HTML report changes requested after V14</w:t>
      </w:r>
    </w:p>
    <w:p>
      <w:pPr>
        <w:pStyle w:val="ListBullet"/>
      </w:pPr>
      <w:r>
        <w:t>Input CSV/Parquet now has Step 1 — iFly and Step 3 — ODH subtabs instead of displaying both datasets on the same view.</w:t>
      </w:r>
    </w:p>
    <w:p>
      <w:pPr>
        <w:pStyle w:val="ListBullet"/>
      </w:pPr>
      <w:r>
        <w:t>Query Results remains a dropdown inside the single HTML file and decodes the selected dataset on demand.</w:t>
      </w:r>
    </w:p>
    <w:p>
      <w:pPr>
        <w:pStyle w:val="ListBullet"/>
      </w:pPr>
      <w:r>
        <w:t>Comparisons show MATCH, UPDATE/MISMATCH, INSERT, and DELETE using the existing reconciliation classifications.</w:t>
      </w:r>
    </w:p>
    <w:p>
      <w:pPr>
        <w:pStyle w:val="ListBullet"/>
      </w:pPr>
      <w:r>
        <w:t>Comparison tables use paired &lt;field&gt;_Ifly and &lt;field&gt;_ODH columns.</w:t>
      </w:r>
    </w:p>
    <w:p>
      <w:pPr>
        <w:pStyle w:val="ListBullet"/>
      </w:pPr>
      <w:r>
        <w:t>The hamburger remains part of the sidebar and the main content is offset so the navigation control does not cover report text.</w:t>
      </w:r>
    </w:p>
    <w:p>
      <w:pPr>
        <w:pStyle w:val="ListBullet"/>
      </w:pPr>
      <w:r>
        <w:t>The duplicate top comparison legend and Print Report button are absent.</w:t>
      </w:r>
    </w:p>
    <w:p>
      <w:pPr>
        <w:pStyle w:val="Heading1"/>
      </w:pPr>
      <w:r>
        <w:t>17. Validation performed on V15 code</w:t>
      </w:r>
    </w:p>
    <w:p>
      <w:pPr>
        <w:pStyle w:val="ListBullet"/>
      </w:pPr>
      <w:r>
        <w:t>Python syntax compilation completed for app.py, reconcile.py, and reporting.py.</w:t>
      </w:r>
    </w:p>
    <w:p>
      <w:pPr>
        <w:pStyle w:val="ListBullet"/>
      </w:pPr>
      <w:r>
        <w:t>Value-comparison unit cases verified: None/NaN/NaT/blank equivalence; literal NULL remains a value; identical ABC matches; ABC vs abc mismatches; numeric strings with leading zeros compare by numeric value; date vs midnight datetime matches; date vs non-midnight datetime mismatches; ISO Z/offset timestamps are recognized.</w:t>
      </w:r>
    </w:p>
    <w:p>
      <w:pPr>
        <w:pStyle w:val="ListBullet"/>
      </w:pPr>
      <w:r>
        <w:t>Synthetic report generation verified four visible Excel sheets, no worksheet auto-filters, hidden worksheet gridlines, paired _Ifly/_ODH HTML columns, and the Input subtabs.</w:t>
      </w:r>
    </w:p>
    <w:p>
      <w:pPr>
        <w:pStyle w:val="ListBullet"/>
      </w:pPr>
      <w:r>
        <w:t>Inline HTML JavaScript passed Node syntax checking.</w:t>
      </w:r>
    </w:p>
    <w:p>
      <w:pPr>
        <w:pStyle w:val="Heading1"/>
      </w:pPr>
      <w:r>
        <w:t>Final V15 behavior</w:t>
      </w:r>
    </w:p>
    <w:p>
      <w:r>
        <w:t>The reconciliation engine still performs the agreed record matching first and then field-level value comparison. Blank representations are equivalent only when both sides are blank; literal NULL/NaN/NaT text is not blank; meaningful string whitespace/case differences remain meaningful; numeric formatting such as leading zeros is handled as a value representation; and the final classification is MATCH, UPDATE, INSERT, or DELETE.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