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 Conditions of Contract - EPC-101</w:t>
      </w:r>
    </w:p>
    <w:p>
      <w:r>
        <w:t>Employer: Demo Green Energy Ltd (fictional). Contractor: Demo EPC Contractors Ltd (fictional).</w:t>
      </w:r>
    </w:p>
    <w:p>
      <w:r>
        <w:t>1.1 Definitions</w:t>
      </w:r>
    </w:p>
    <w:p>
      <w:r>
        <w:t>In this Contract, Commencement Date means the date stated in the Letter of Acceptance. Works means the permanent and temporary works to be executed by the Contractor.</w:t>
      </w:r>
    </w:p>
    <w:p>
      <w:r>
        <w:t>4.3 Confidentiality</w:t>
      </w:r>
    </w:p>
    <w:p>
      <w:r>
        <w:t>The Contractor shall treat the details of the Contract and all Employer information as confidential and shall not disclose them without prior written consent.</w:t>
      </w:r>
    </w:p>
    <w:p>
      <w:r>
        <w:t>8.4 Notice of Delay</w:t>
      </w:r>
    </w:p>
    <w:p>
      <w:r>
        <w:t>The Contractor shall give notice to the Employer within fourteen (14) days after the Contractor became aware, or should have become aware, of any event or circumstance likely to delay completion. The notice shall describe the event and its expected effect on the programme.</w:t>
      </w:r>
    </w:p>
    <w:p>
      <w:r>
        <w:t>8.7 Delay Damages</w:t>
      </w:r>
    </w:p>
    <w:p>
      <w:r>
        <w:t>If the Contractor fails to achieve a Milestone, the Contractor shall pay liquidated damages at 0.5% of the Contract Price per week of delay, subject to a maximum of 10% of the Contract Price.</w:t>
      </w:r>
    </w:p>
    <w:p>
      <w:r>
        <w:t>9.2 Pressure Testing of Piping</w:t>
      </w:r>
    </w:p>
    <w:p>
      <w:r>
        <w:t>All process piping shall be hydrostatically tested at 1.5 times the design pressure in accordance with the approved test procedure. The Contractor shall notify the Employer within three (3) working days before each test so that the test may be witnessed. Calibrated gauges shall be used and signed test reports shall be submitted before acceptance of the piping.</w:t>
      </w:r>
    </w:p>
    <w:p>
      <w:r>
        <w:t>9.5 Electrical Earthing Tests</w:t>
      </w:r>
    </w:p>
    <w:p>
      <w:r>
        <w:t>Earthing resistance of all electrical switchgear and transformer installations shall be tested and recorded before energisation.</w:t>
      </w:r>
    </w:p>
    <w:p>
      <w:r>
        <w:t>11.1 Health, Safety and Environment</w:t>
      </w:r>
    </w:p>
    <w:p>
      <w:r>
        <w:t>The Contractor shall submit a site-specific HSE plan within seven (7) days of the Commencement Date and shall comply with the Employer's permit to work system.</w:t>
      </w:r>
    </w:p>
    <w:p>
      <w:r>
        <w:t>13.1 Variations</w:t>
      </w:r>
    </w:p>
    <w:p>
      <w:r>
        <w:t>Upon receipt of an instruction to change the Works, the Contractor shall submit its valuation and time impact within twenty-eight (28) days of the instruction.</w:t>
      </w:r>
    </w:p>
    <w:p>
      <w:r>
        <w:t>14.3 Interim Payment</w:t>
      </w:r>
    </w:p>
    <w:p>
      <w:r>
        <w:t>The Contractor shall submit monthly statements with supporting measurement. Retention of 5% shall be deducted from each interim payment until taking-over.</w:t>
      </w:r>
    </w:p>
    <w:p>
      <w:r>
        <w:t>15.2 Termination for Default</w:t>
      </w:r>
    </w:p>
    <w:p>
      <w:r>
        <w:t>The Employer may terminate the Contract if the Contractor abandons the Works or persistently fails to perform its obligations after notice.</w:t>
      </w:r>
    </w:p>
    <w:p>
      <w:r>
        <w:t>17.1 Indemnities</w:t>
      </w:r>
    </w:p>
    <w:p>
      <w:r>
        <w:t>The Contractor shall indemnify the Employer against all claims arising from the Contractor's negligence, subject to the limitation of liability in Clause 17.6.</w:t>
      </w:r>
    </w:p>
    <w:p>
      <w:r>
        <w:t>18.1 Insurance</w:t>
      </w:r>
    </w:p>
    <w:p>
      <w:r>
        <w:t>The Contractor shall provide evidence of the insurances required by this Contract within fourteen (14) days after the Commencement Date.</w:t>
      </w:r>
    </w:p>
    <w:p>
      <w:r>
        <w:t>19.1 Defects Liability</w:t>
      </w:r>
    </w:p>
    <w:p>
      <w:r>
        <w:t>The Contractor shall remedy defects notified during a defects liability period of eighteen months from taking-over.</w:t>
      </w:r>
    </w:p>
    <w:p>
      <w:r>
        <w:t>20.1 Disputes and Arbitration</w:t>
      </w:r>
    </w:p>
    <w:p>
      <w:r>
        <w:t>Any dispute shall be referred to arbitration under the Arbitration and Conciliation Act, 1996, seated in New Delhi.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