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3B986" w14:textId="5E424DC6" w:rsidR="00CA3AE9" w:rsidRDefault="002E37CC">
      <w:r>
        <w:t>Question 1. A</w:t>
      </w:r>
    </w:p>
    <w:p w14:paraId="30AE8D9B" w14:textId="5762606E" w:rsidR="002E37CC" w:rsidRDefault="002E37CC">
      <w:r>
        <w:t xml:space="preserve">For the logistic regression function, we set the value of C which is equal to 1/(lambda). So, for this example, I took five values of C = [ </w:t>
      </w:r>
      <w:r w:rsidRPr="002E37CC">
        <w:t xml:space="preserve">0.01, 0.1, 1, 10, </w:t>
      </w:r>
      <w:proofErr w:type="gramStart"/>
      <w:r w:rsidRPr="002E37CC">
        <w:t>100</w:t>
      </w:r>
      <w:r>
        <w:t xml:space="preserve"> ]</w:t>
      </w:r>
      <w:proofErr w:type="gramEnd"/>
      <w:r>
        <w:t xml:space="preserve">. </w:t>
      </w:r>
      <w:proofErr w:type="gramStart"/>
      <w:r>
        <w:t>This values</w:t>
      </w:r>
      <w:proofErr w:type="gramEnd"/>
      <w:r>
        <w:t xml:space="preserve"> correspond to the following values of lambda = [ 100, 10, 1, 0.1, 0.01]. Then comparing the 5-fold cross validation errors, the best values of lambda were selected for every preprocessing types discussed. This was based on the value of lambda, which gave the least error rate. Thus, the error rates obtained were as follows:</w:t>
      </w:r>
    </w:p>
    <w:tbl>
      <w:tblPr>
        <w:tblStyle w:val="TableGrid"/>
        <w:tblW w:w="0" w:type="auto"/>
        <w:tblLook w:val="04A0" w:firstRow="1" w:lastRow="0" w:firstColumn="1" w:lastColumn="0" w:noHBand="0" w:noVBand="1"/>
      </w:tblPr>
      <w:tblGrid>
        <w:gridCol w:w="1624"/>
        <w:gridCol w:w="1284"/>
        <w:gridCol w:w="1388"/>
        <w:gridCol w:w="1388"/>
        <w:gridCol w:w="1833"/>
        <w:gridCol w:w="1833"/>
      </w:tblGrid>
      <w:tr w:rsidR="002E37CC" w14:paraId="1F13C5BD" w14:textId="77777777" w:rsidTr="002E37CC">
        <w:tc>
          <w:tcPr>
            <w:tcW w:w="1255" w:type="dxa"/>
          </w:tcPr>
          <w:p w14:paraId="339FE9B5" w14:textId="5D04147F" w:rsidR="002E37CC" w:rsidRPr="002E37CC" w:rsidRDefault="002E37CC" w:rsidP="002E37CC">
            <w:pPr>
              <w:jc w:val="center"/>
              <w:rPr>
                <w:b/>
              </w:rPr>
            </w:pPr>
            <w:r w:rsidRPr="002E37CC">
              <w:rPr>
                <w:b/>
              </w:rPr>
              <w:t>Method</w:t>
            </w:r>
          </w:p>
        </w:tc>
        <w:tc>
          <w:tcPr>
            <w:tcW w:w="1861" w:type="dxa"/>
          </w:tcPr>
          <w:p w14:paraId="18D5869E" w14:textId="76EE6B02" w:rsidR="002E37CC" w:rsidRPr="002E37CC" w:rsidRDefault="002E37CC" w:rsidP="002E37CC">
            <w:pPr>
              <w:jc w:val="center"/>
              <w:rPr>
                <w:b/>
              </w:rPr>
            </w:pPr>
            <w:r w:rsidRPr="002E37CC">
              <w:rPr>
                <w:b/>
              </w:rPr>
              <w:t>Best Value of lambda</w:t>
            </w:r>
          </w:p>
        </w:tc>
        <w:tc>
          <w:tcPr>
            <w:tcW w:w="1558" w:type="dxa"/>
          </w:tcPr>
          <w:p w14:paraId="529A2846" w14:textId="388E12BA" w:rsidR="002E37CC" w:rsidRPr="002E37CC" w:rsidRDefault="002E37CC" w:rsidP="002E37CC">
            <w:pPr>
              <w:jc w:val="center"/>
              <w:rPr>
                <w:b/>
              </w:rPr>
            </w:pPr>
            <w:r w:rsidRPr="002E37CC">
              <w:rPr>
                <w:b/>
              </w:rPr>
              <w:t>Cross Validation train error rate</w:t>
            </w:r>
          </w:p>
        </w:tc>
        <w:tc>
          <w:tcPr>
            <w:tcW w:w="1558" w:type="dxa"/>
          </w:tcPr>
          <w:p w14:paraId="7F07ED34" w14:textId="55FFA14E" w:rsidR="002E37CC" w:rsidRPr="002E37CC" w:rsidRDefault="002E37CC" w:rsidP="002E37CC">
            <w:pPr>
              <w:jc w:val="center"/>
              <w:rPr>
                <w:b/>
              </w:rPr>
            </w:pPr>
            <w:r w:rsidRPr="002E37CC">
              <w:rPr>
                <w:b/>
              </w:rPr>
              <w:t>Cross Validation test error rate</w:t>
            </w:r>
          </w:p>
        </w:tc>
        <w:tc>
          <w:tcPr>
            <w:tcW w:w="1559" w:type="dxa"/>
          </w:tcPr>
          <w:p w14:paraId="6E23D3AE" w14:textId="3C0566F9" w:rsidR="002E37CC" w:rsidRPr="002E37CC" w:rsidRDefault="002E37CC" w:rsidP="002E37CC">
            <w:pPr>
              <w:jc w:val="center"/>
              <w:rPr>
                <w:b/>
              </w:rPr>
            </w:pPr>
            <w:r w:rsidRPr="002E37CC">
              <w:rPr>
                <w:b/>
              </w:rPr>
              <w:t>Train Error Rate</w:t>
            </w:r>
          </w:p>
        </w:tc>
        <w:tc>
          <w:tcPr>
            <w:tcW w:w="1559" w:type="dxa"/>
          </w:tcPr>
          <w:p w14:paraId="6F7CBAB6" w14:textId="4DB330E8" w:rsidR="002E37CC" w:rsidRPr="002E37CC" w:rsidRDefault="002E37CC" w:rsidP="002E37CC">
            <w:pPr>
              <w:jc w:val="center"/>
              <w:rPr>
                <w:b/>
              </w:rPr>
            </w:pPr>
            <w:r w:rsidRPr="002E37CC">
              <w:rPr>
                <w:b/>
              </w:rPr>
              <w:t>Test Error Rate</w:t>
            </w:r>
          </w:p>
        </w:tc>
      </w:tr>
      <w:tr w:rsidR="002E37CC" w14:paraId="153A554E" w14:textId="77777777" w:rsidTr="002E37CC">
        <w:tc>
          <w:tcPr>
            <w:tcW w:w="1255" w:type="dxa"/>
          </w:tcPr>
          <w:p w14:paraId="5495B39C" w14:textId="3D217B07" w:rsidR="002E37CC" w:rsidRDefault="002E37CC">
            <w:r>
              <w:t>Standardization</w:t>
            </w:r>
          </w:p>
        </w:tc>
        <w:tc>
          <w:tcPr>
            <w:tcW w:w="1861" w:type="dxa"/>
          </w:tcPr>
          <w:p w14:paraId="0E183A3F" w14:textId="0D399C22" w:rsidR="002E37CC" w:rsidRDefault="002E37CC" w:rsidP="002E37CC">
            <w:pPr>
              <w:jc w:val="center"/>
            </w:pPr>
            <w:r>
              <w:t>0.01</w:t>
            </w:r>
          </w:p>
        </w:tc>
        <w:tc>
          <w:tcPr>
            <w:tcW w:w="1558" w:type="dxa"/>
          </w:tcPr>
          <w:p w14:paraId="527F3CCE" w14:textId="353D1DAB" w:rsidR="002E37CC" w:rsidRDefault="002E37CC">
            <w:r w:rsidRPr="002E37CC">
              <w:t>0.06435563</w:t>
            </w:r>
          </w:p>
        </w:tc>
        <w:tc>
          <w:tcPr>
            <w:tcW w:w="1558" w:type="dxa"/>
          </w:tcPr>
          <w:p w14:paraId="764C9455" w14:textId="238251DC" w:rsidR="002E37CC" w:rsidRDefault="002E37CC">
            <w:r w:rsidRPr="002E37CC">
              <w:t>0.07862969</w:t>
            </w:r>
          </w:p>
        </w:tc>
        <w:tc>
          <w:tcPr>
            <w:tcW w:w="1559" w:type="dxa"/>
          </w:tcPr>
          <w:p w14:paraId="72E3777D" w14:textId="61326124" w:rsidR="002E37CC" w:rsidRDefault="002E37CC">
            <w:r w:rsidRPr="002E37CC">
              <w:t>0.0701468189233</w:t>
            </w:r>
          </w:p>
        </w:tc>
        <w:tc>
          <w:tcPr>
            <w:tcW w:w="1559" w:type="dxa"/>
          </w:tcPr>
          <w:p w14:paraId="1B6BE4EF" w14:textId="309E8136" w:rsidR="002E37CC" w:rsidRDefault="002E37CC">
            <w:r w:rsidRPr="002E37CC">
              <w:t>0.0865885416667</w:t>
            </w:r>
          </w:p>
        </w:tc>
      </w:tr>
      <w:tr w:rsidR="002E37CC" w14:paraId="60A7012A" w14:textId="77777777" w:rsidTr="002E37CC">
        <w:tc>
          <w:tcPr>
            <w:tcW w:w="1255" w:type="dxa"/>
          </w:tcPr>
          <w:p w14:paraId="79E758D0" w14:textId="5D7B3AA5" w:rsidR="002E37CC" w:rsidRDefault="002E37CC">
            <w:r>
              <w:t>Log Transform</w:t>
            </w:r>
          </w:p>
        </w:tc>
        <w:tc>
          <w:tcPr>
            <w:tcW w:w="1861" w:type="dxa"/>
          </w:tcPr>
          <w:p w14:paraId="3B472EB4" w14:textId="25E2DD14" w:rsidR="002E37CC" w:rsidRDefault="002E37CC" w:rsidP="002E37CC">
            <w:pPr>
              <w:jc w:val="center"/>
            </w:pPr>
            <w:r>
              <w:t>0.1</w:t>
            </w:r>
          </w:p>
        </w:tc>
        <w:tc>
          <w:tcPr>
            <w:tcW w:w="1558" w:type="dxa"/>
          </w:tcPr>
          <w:p w14:paraId="34D79512" w14:textId="222A63BE" w:rsidR="002E37CC" w:rsidRDefault="002E37CC">
            <w:r w:rsidRPr="002E37CC">
              <w:t>0.05089723</w:t>
            </w:r>
          </w:p>
        </w:tc>
        <w:tc>
          <w:tcPr>
            <w:tcW w:w="1558" w:type="dxa"/>
          </w:tcPr>
          <w:p w14:paraId="4D7E99AC" w14:textId="19338F34" w:rsidR="002E37CC" w:rsidRDefault="002E37CC">
            <w:r w:rsidRPr="002E37CC">
              <w:t>0.05448613</w:t>
            </w:r>
          </w:p>
        </w:tc>
        <w:tc>
          <w:tcPr>
            <w:tcW w:w="1559" w:type="dxa"/>
          </w:tcPr>
          <w:p w14:paraId="0CDA35ED" w14:textId="5B8CAEB1" w:rsidR="002E37CC" w:rsidRDefault="002E37CC">
            <w:r w:rsidRPr="002E37CC">
              <w:t>0.051223491</w:t>
            </w:r>
          </w:p>
        </w:tc>
        <w:tc>
          <w:tcPr>
            <w:tcW w:w="1559" w:type="dxa"/>
          </w:tcPr>
          <w:p w14:paraId="2A5381CB" w14:textId="6ED74B2F" w:rsidR="002E37CC" w:rsidRDefault="002E37CC">
            <w:r w:rsidRPr="002E37CC">
              <w:t>0.05859375</w:t>
            </w:r>
          </w:p>
        </w:tc>
      </w:tr>
      <w:tr w:rsidR="002E37CC" w14:paraId="5B873841" w14:textId="77777777" w:rsidTr="002E37CC">
        <w:tc>
          <w:tcPr>
            <w:tcW w:w="1255" w:type="dxa"/>
          </w:tcPr>
          <w:p w14:paraId="01E49FD9" w14:textId="0A2D4205" w:rsidR="002E37CC" w:rsidRDefault="002E37CC">
            <w:r>
              <w:t>Binary Transform</w:t>
            </w:r>
          </w:p>
        </w:tc>
        <w:tc>
          <w:tcPr>
            <w:tcW w:w="1861" w:type="dxa"/>
          </w:tcPr>
          <w:p w14:paraId="3AD4F76A" w14:textId="0B481033" w:rsidR="002E37CC" w:rsidRDefault="002E37CC" w:rsidP="002E37CC">
            <w:pPr>
              <w:jc w:val="center"/>
            </w:pPr>
            <w:r>
              <w:t>1</w:t>
            </w:r>
          </w:p>
        </w:tc>
        <w:tc>
          <w:tcPr>
            <w:tcW w:w="1558" w:type="dxa"/>
          </w:tcPr>
          <w:p w14:paraId="17245E1A" w14:textId="57CAB82F" w:rsidR="002E37CC" w:rsidRDefault="00550794">
            <w:r w:rsidRPr="00550794">
              <w:t>0.06362153</w:t>
            </w:r>
          </w:p>
        </w:tc>
        <w:tc>
          <w:tcPr>
            <w:tcW w:w="1558" w:type="dxa"/>
          </w:tcPr>
          <w:p w14:paraId="693AC596" w14:textId="04EE9370" w:rsidR="002E37CC" w:rsidRDefault="00550794">
            <w:r w:rsidRPr="00550794">
              <w:t>0.06688418</w:t>
            </w:r>
          </w:p>
        </w:tc>
        <w:tc>
          <w:tcPr>
            <w:tcW w:w="1559" w:type="dxa"/>
          </w:tcPr>
          <w:p w14:paraId="0EBB09E6" w14:textId="52F1B9F3" w:rsidR="002E37CC" w:rsidRDefault="00550794">
            <w:r w:rsidRPr="00550794">
              <w:t>0.063295269</w:t>
            </w:r>
          </w:p>
        </w:tc>
        <w:tc>
          <w:tcPr>
            <w:tcW w:w="1559" w:type="dxa"/>
          </w:tcPr>
          <w:p w14:paraId="38778071" w14:textId="3E41F1D9" w:rsidR="002E37CC" w:rsidRDefault="00550794">
            <w:r w:rsidRPr="00550794">
              <w:t>0.072265625</w:t>
            </w:r>
          </w:p>
        </w:tc>
      </w:tr>
    </w:tbl>
    <w:p w14:paraId="741A5245" w14:textId="78117FF0" w:rsidR="002E37CC" w:rsidRDefault="002E37CC"/>
    <w:p w14:paraId="00706B3C" w14:textId="47A8BD1D" w:rsidR="00550794" w:rsidRDefault="00550794" w:rsidP="00550794">
      <w:r>
        <w:t>Question 1. B</w:t>
      </w:r>
    </w:p>
    <w:p w14:paraId="52660F13" w14:textId="60F15CA2" w:rsidR="00550794" w:rsidRDefault="0022129E" w:rsidP="0022129E">
      <w:pPr>
        <w:pStyle w:val="ListParagraph"/>
        <w:numPr>
          <w:ilvl w:val="0"/>
          <w:numId w:val="1"/>
        </w:numPr>
      </w:pPr>
      <w:r>
        <w:t>Scatter Plot of all testing points:</w:t>
      </w:r>
    </w:p>
    <w:p w14:paraId="267BAB30" w14:textId="71631F56" w:rsidR="0022129E" w:rsidRDefault="0022129E" w:rsidP="0022129E">
      <w:pPr>
        <w:pStyle w:val="ListParagraph"/>
        <w:ind w:left="1080"/>
      </w:pPr>
    </w:p>
    <w:p w14:paraId="02B60A5A" w14:textId="42AA7AE0" w:rsidR="0022129E" w:rsidRDefault="0022129E" w:rsidP="0022129E">
      <w:pPr>
        <w:pStyle w:val="ListParagraph"/>
        <w:ind w:left="1080"/>
      </w:pPr>
      <w:r>
        <w:rPr>
          <w:noProof/>
        </w:rPr>
        <w:drawing>
          <wp:inline distT="0" distB="0" distL="0" distR="0" wp14:anchorId="64F1A6CA" wp14:editId="69321DB4">
            <wp:extent cx="4649259" cy="3201129"/>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6">
                      <a:extLst>
                        <a:ext uri="{28A0092B-C50C-407E-A947-70E740481C1C}">
                          <a14:useLocalDpi xmlns:a14="http://schemas.microsoft.com/office/drawing/2010/main" val="0"/>
                        </a:ext>
                      </a:extLst>
                    </a:blip>
                    <a:stretch>
                      <a:fillRect/>
                    </a:stretch>
                  </pic:blipFill>
                  <pic:spPr>
                    <a:xfrm>
                      <a:off x="0" y="0"/>
                      <a:ext cx="4649259" cy="3201129"/>
                    </a:xfrm>
                    <a:prstGeom prst="rect">
                      <a:avLst/>
                    </a:prstGeom>
                  </pic:spPr>
                </pic:pic>
              </a:graphicData>
            </a:graphic>
          </wp:inline>
        </w:drawing>
      </w:r>
    </w:p>
    <w:p w14:paraId="2138C037" w14:textId="342C65B9" w:rsidR="0022129E" w:rsidRDefault="0022129E" w:rsidP="0022129E">
      <w:pPr>
        <w:pStyle w:val="ListParagraph"/>
        <w:ind w:left="1080"/>
      </w:pPr>
      <w:r>
        <w:t>Here, Blue points denote spam mail and Red denotes non-spam. The data points are overwritten in the scatter plot and hence cannot see all the points.</w:t>
      </w:r>
    </w:p>
    <w:p w14:paraId="26474BFE" w14:textId="183B0453" w:rsidR="0022129E" w:rsidRDefault="0022129E" w:rsidP="0022129E">
      <w:pPr>
        <w:pStyle w:val="ListParagraph"/>
        <w:ind w:left="1080"/>
      </w:pPr>
    </w:p>
    <w:p w14:paraId="2B21AEB5" w14:textId="278CDF47" w:rsidR="0022129E" w:rsidRDefault="0022129E" w:rsidP="0022129E">
      <w:pPr>
        <w:pStyle w:val="ListParagraph"/>
        <w:numPr>
          <w:ilvl w:val="0"/>
          <w:numId w:val="1"/>
        </w:numPr>
      </w:pPr>
      <w:r>
        <w:t>3D histogram for emails labeled spam:</w:t>
      </w:r>
    </w:p>
    <w:p w14:paraId="625E7A69" w14:textId="5D8B0342" w:rsidR="0022129E" w:rsidRDefault="0022129E" w:rsidP="0022129E">
      <w:pPr>
        <w:pStyle w:val="ListParagraph"/>
        <w:ind w:left="1080"/>
      </w:pPr>
    </w:p>
    <w:p w14:paraId="3908D125" w14:textId="2162DC1B" w:rsidR="0022129E" w:rsidRDefault="0022129E" w:rsidP="0022129E">
      <w:pPr>
        <w:pStyle w:val="ListParagraph"/>
        <w:ind w:left="1080"/>
      </w:pPr>
      <w:r>
        <w:rPr>
          <w:noProof/>
        </w:rPr>
        <w:lastRenderedPageBreak/>
        <w:drawing>
          <wp:inline distT="0" distB="0" distL="0" distR="0" wp14:anchorId="6C4451BF" wp14:editId="783B98D3">
            <wp:extent cx="4522230" cy="30232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7">
                      <a:extLst>
                        <a:ext uri="{28A0092B-C50C-407E-A947-70E740481C1C}">
                          <a14:useLocalDpi xmlns:a14="http://schemas.microsoft.com/office/drawing/2010/main" val="0"/>
                        </a:ext>
                      </a:extLst>
                    </a:blip>
                    <a:stretch>
                      <a:fillRect/>
                    </a:stretch>
                  </pic:blipFill>
                  <pic:spPr>
                    <a:xfrm>
                      <a:off x="0" y="0"/>
                      <a:ext cx="4522230" cy="3023289"/>
                    </a:xfrm>
                    <a:prstGeom prst="rect">
                      <a:avLst/>
                    </a:prstGeom>
                  </pic:spPr>
                </pic:pic>
              </a:graphicData>
            </a:graphic>
          </wp:inline>
        </w:drawing>
      </w:r>
    </w:p>
    <w:p w14:paraId="68A2AF2E" w14:textId="3E58437C" w:rsidR="0022129E" w:rsidRDefault="0022129E" w:rsidP="0022129E">
      <w:pPr>
        <w:pStyle w:val="ListParagraph"/>
        <w:ind w:left="1080"/>
      </w:pPr>
    </w:p>
    <w:p w14:paraId="5B21BAB8" w14:textId="5BFABE8C" w:rsidR="0022129E" w:rsidRDefault="0022129E" w:rsidP="0022129E">
      <w:pPr>
        <w:pStyle w:val="ListParagraph"/>
        <w:ind w:left="1080"/>
      </w:pPr>
      <w:r>
        <w:t>G</w:t>
      </w:r>
      <w:r>
        <w:t>iven test data,</w:t>
      </w:r>
      <w:r>
        <w:t xml:space="preserve"> we</w:t>
      </w:r>
      <w:r>
        <w:t xml:space="preserve"> use</w:t>
      </w:r>
      <w:r>
        <w:t>d</w:t>
      </w:r>
      <w:r>
        <w:t xml:space="preserve"> sum of features 1-48 (total count of keywords in percentage) as x axis, and sum of features 49-54 (total count of special characters in percentage) as y axis</w:t>
      </w:r>
      <w:r>
        <w:t>.</w:t>
      </w:r>
    </w:p>
    <w:p w14:paraId="3D6CEA0F" w14:textId="165C1C31" w:rsidR="0022129E" w:rsidRDefault="0022129E" w:rsidP="0022129E">
      <w:pPr>
        <w:pStyle w:val="ListParagraph"/>
        <w:ind w:left="1080"/>
      </w:pPr>
    </w:p>
    <w:p w14:paraId="25944A39" w14:textId="58C9805F" w:rsidR="0022129E" w:rsidRDefault="0022129E" w:rsidP="0022129E">
      <w:pPr>
        <w:pStyle w:val="ListParagraph"/>
        <w:numPr>
          <w:ilvl w:val="0"/>
          <w:numId w:val="1"/>
        </w:numPr>
      </w:pPr>
      <w:r>
        <w:t xml:space="preserve">3D histogram for emails labeled </w:t>
      </w:r>
      <w:r>
        <w:t>non-</w:t>
      </w:r>
      <w:r>
        <w:t>spam:</w:t>
      </w:r>
    </w:p>
    <w:p w14:paraId="66B23600" w14:textId="454E9839" w:rsidR="0022129E" w:rsidRDefault="0022129E" w:rsidP="0022129E">
      <w:pPr>
        <w:pStyle w:val="ListParagraph"/>
        <w:ind w:left="1080"/>
      </w:pPr>
    </w:p>
    <w:p w14:paraId="7332A922" w14:textId="3127E9B9" w:rsidR="0022129E" w:rsidRDefault="0022129E" w:rsidP="0022129E">
      <w:pPr>
        <w:pStyle w:val="ListParagraph"/>
        <w:ind w:left="1080"/>
      </w:pPr>
      <w:r>
        <w:rPr>
          <w:noProof/>
        </w:rPr>
        <w:drawing>
          <wp:inline distT="0" distB="0" distL="0" distR="0" wp14:anchorId="61F60C37" wp14:editId="45DE2ACF">
            <wp:extent cx="4522230" cy="30232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8">
                      <a:extLst>
                        <a:ext uri="{28A0092B-C50C-407E-A947-70E740481C1C}">
                          <a14:useLocalDpi xmlns:a14="http://schemas.microsoft.com/office/drawing/2010/main" val="0"/>
                        </a:ext>
                      </a:extLst>
                    </a:blip>
                    <a:stretch>
                      <a:fillRect/>
                    </a:stretch>
                  </pic:blipFill>
                  <pic:spPr>
                    <a:xfrm>
                      <a:off x="0" y="0"/>
                      <a:ext cx="4522230" cy="3023289"/>
                    </a:xfrm>
                    <a:prstGeom prst="rect">
                      <a:avLst/>
                    </a:prstGeom>
                  </pic:spPr>
                </pic:pic>
              </a:graphicData>
            </a:graphic>
          </wp:inline>
        </w:drawing>
      </w:r>
    </w:p>
    <w:p w14:paraId="633E2F0E" w14:textId="3AC7F037" w:rsidR="0022129E" w:rsidRDefault="0022129E" w:rsidP="0022129E">
      <w:pPr>
        <w:pStyle w:val="ListParagraph"/>
        <w:ind w:left="1080"/>
      </w:pPr>
    </w:p>
    <w:p w14:paraId="66F22EE1" w14:textId="77777777" w:rsidR="0022129E" w:rsidRDefault="0022129E" w:rsidP="0022129E">
      <w:pPr>
        <w:pStyle w:val="ListParagraph"/>
        <w:ind w:left="1080"/>
      </w:pPr>
      <w:r>
        <w:t>Given test data, we used sum of features 1-48 (total count of keywords in percentage) as x axis, and sum of features 49-54 (total count of special characters in percentage) as y axis.</w:t>
      </w:r>
    </w:p>
    <w:p w14:paraId="23574B58" w14:textId="73FD6B9D" w:rsidR="0022129E" w:rsidRDefault="0022129E" w:rsidP="0022129E">
      <w:pPr>
        <w:pStyle w:val="ListParagraph"/>
        <w:ind w:left="1080"/>
      </w:pPr>
    </w:p>
    <w:p w14:paraId="45255799" w14:textId="77777777" w:rsidR="00B6470C" w:rsidRDefault="002D17FE" w:rsidP="0022129E">
      <w:pPr>
        <w:pStyle w:val="ListParagraph"/>
        <w:numPr>
          <w:ilvl w:val="0"/>
          <w:numId w:val="1"/>
        </w:numPr>
      </w:pPr>
      <w:r>
        <w:lastRenderedPageBreak/>
        <w:t>Yes, there’s significant difference between the two histograms.</w:t>
      </w:r>
      <w:r w:rsidR="006F4C77">
        <w:t xml:space="preserve"> As we can see, for spam emails, the bars are concentrated near the zero value. In the case of </w:t>
      </w:r>
      <w:r w:rsidR="00EB7B82">
        <w:t>non-spam</w:t>
      </w:r>
      <w:r w:rsidR="006F4C77">
        <w:t xml:space="preserve"> mail, it’s the opposite with the bars being concentrat</w:t>
      </w:r>
      <w:r w:rsidR="00B6470C">
        <w:t>ed in the opposite direction and more spread out. Also, the bars in the histogram have a higher z axis value for non-spam case.</w:t>
      </w:r>
    </w:p>
    <w:p w14:paraId="5C166C3B" w14:textId="65B02A7D" w:rsidR="0022129E" w:rsidRDefault="00B6470C" w:rsidP="00B6470C">
      <w:pPr>
        <w:pStyle w:val="ListParagraph"/>
        <w:ind w:left="1080"/>
      </w:pPr>
      <w:bookmarkStart w:id="0" w:name="_GoBack"/>
      <w:bookmarkEnd w:id="0"/>
      <w:r>
        <w:t xml:space="preserve"> </w:t>
      </w:r>
    </w:p>
    <w:sectPr w:rsidR="00221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007C3"/>
    <w:multiLevelType w:val="hybridMultilevel"/>
    <w:tmpl w:val="747AE32C"/>
    <w:lvl w:ilvl="0" w:tplc="4462B7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73"/>
    <w:rsid w:val="0022129E"/>
    <w:rsid w:val="002D17FE"/>
    <w:rsid w:val="002E37CC"/>
    <w:rsid w:val="00550794"/>
    <w:rsid w:val="00601C73"/>
    <w:rsid w:val="006F4C77"/>
    <w:rsid w:val="00B6470C"/>
    <w:rsid w:val="00CA3AE9"/>
    <w:rsid w:val="00EB7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E9F4"/>
  <w15:chartTrackingRefBased/>
  <w15:docId w15:val="{6533F304-2E82-459D-A1C6-47ACA08C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3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78EF0-CBF4-4E53-8C92-58D26147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3</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Tamoghna Chattopadhyay</dc:creator>
  <cp:keywords/>
  <dc:description/>
  <cp:lastModifiedBy>Tamoghna Chattopadhyay</cp:lastModifiedBy>
  <cp:revision>9</cp:revision>
  <dcterms:created xsi:type="dcterms:W3CDTF">2018-09-18T03:51:00Z</dcterms:created>
  <dcterms:modified xsi:type="dcterms:W3CDTF">2018-09-18T18:11:00Z</dcterms:modified>
</cp:coreProperties>
</file>