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36"/>
          <w:szCs w:val="36"/>
        </w:rPr>
        <w:t xml:space="preserve">Lab Task 11</w:t>
      </w:r>
    </w:p>
    <w:p>
      <w:pPr>
        <w:spacing w:after="360" w:before="0"/>
        <w:jc w:val="center"/>
      </w:pPr>
      <w:r>
        <w:rPr>
          <w:rFonts w:ascii="Arial" w:cs="Arial" w:eastAsia="Arial" w:hAnsi="Arial"/>
          <w:b/>
          <w:bCs/>
          <w:color w:val="444444"/>
          <w:sz w:val="26"/>
          <w:szCs w:val="26"/>
        </w:rPr>
        <w:t xml:space="preserve">Describe the Difference Between the Following Concepts:</w:t>
      </w:r>
    </w:p>
    <w:p>
      <w:pPr>
        <w:pBdr>
          <w:bottom w:val="single" w:color="2E75B6" w:sz="4" w:space="1"/>
        </w:pBdr>
        <w:spacing w:after="120" w:before="320"/>
      </w:pPr>
      <w:r>
        <w:rPr>
          <w:rFonts w:ascii="Arial" w:cs="Arial" w:eastAsia="Arial" w:hAnsi="Arial"/>
          <w:b/>
          <w:bCs/>
          <w:color w:val="2E4057"/>
          <w:sz w:val="28"/>
          <w:szCs w:val="28"/>
        </w:rPr>
        <w:t xml:space="preserve">Hugging Face:</w:t>
      </w:r>
    </w:p>
    <w:p>
      <w:pPr>
        <w:spacing w:after="80" w:before="80"/>
        <w:jc w:val="both"/>
      </w:pPr>
      <w:r>
        <w:rPr>
          <w:rFonts w:ascii="Arial" w:cs="Arial" w:eastAsia="Arial" w:hAnsi="Arial"/>
          <w:sz w:val="24"/>
          <w:szCs w:val="24"/>
        </w:rPr>
        <w:t xml:space="preserve">Hugging Face is an open-source AI platform and community hub that provides developers with access to thousands of pre-trained machine learning models, datasets, and tools. It simplifies the process of working with state-of-the-art NLP, computer vision, and multimodal models through its Transformers library.</w:t>
      </w:r>
    </w:p>
    <w:p>
      <w:pPr>
        <w:spacing w:after="60" w:before="60"/>
      </w:pPr>
      <w:r>
        <w:t xml:space="preserve"/>
      </w:r>
    </w:p>
    <w:p>
      <w:pPr>
        <w:spacing w:after="80" w:before="80"/>
        <w:jc w:val="both"/>
      </w:pPr>
      <w:r>
        <w:rPr>
          <w:rFonts w:ascii="Arial" w:cs="Arial" w:eastAsia="Arial" w:hAnsi="Arial"/>
          <w:sz w:val="24"/>
          <w:szCs w:val="24"/>
        </w:rPr>
        <w:t xml:space="preserve">Rather than training models from scratch, Hugging Face allows developers to download, fine-tune, and deploy existing models with just a few lines of code. It is widely used for tasks such as text classification, sentiment analysis, question answering, and text generation, making cutting-edge AI research accessible to everyone.</w:t>
      </w:r>
    </w:p>
    <w:p>
      <w:pPr>
        <w:spacing w:after="60" w:before="60"/>
      </w:pPr>
      <w:r>
        <w:t xml:space="preserve"/>
      </w:r>
    </w:p>
    <w:p>
      <w:pPr>
        <w:pBdr>
          <w:bottom w:val="single" w:color="2E75B6" w:sz="4" w:space="1"/>
        </w:pBdr>
        <w:spacing w:after="120" w:before="320"/>
      </w:pPr>
      <w:r>
        <w:rPr>
          <w:rFonts w:ascii="Arial" w:cs="Arial" w:eastAsia="Arial" w:hAnsi="Arial"/>
          <w:b/>
          <w:bCs/>
          <w:color w:val="2E4057"/>
          <w:sz w:val="28"/>
          <w:szCs w:val="28"/>
        </w:rPr>
        <w:t xml:space="preserve">Transformer:</w:t>
      </w:r>
    </w:p>
    <w:p>
      <w:pPr>
        <w:spacing w:after="80" w:before="80"/>
        <w:jc w:val="both"/>
      </w:pPr>
      <w:r>
        <w:rPr>
          <w:rFonts w:ascii="Arial" w:cs="Arial" w:eastAsia="Arial" w:hAnsi="Arial"/>
          <w:sz w:val="24"/>
          <w:szCs w:val="24"/>
        </w:rPr>
        <w:t xml:space="preserve">A Transformer is a deep learning architecture introduced in the 2017 paper "Attention is All You Need." It relies entirely on a self-attention mechanism to process sequences of data in parallel, replacing the older recurrent and convolutional approaches that processed data step by step.</w:t>
      </w:r>
    </w:p>
    <w:p>
      <w:pPr>
        <w:spacing w:after="60" w:before="60"/>
      </w:pPr>
      <w:r>
        <w:t xml:space="preserve"/>
      </w:r>
    </w:p>
    <w:p>
      <w:pPr>
        <w:spacing w:after="80" w:before="80"/>
        <w:jc w:val="both"/>
      </w:pPr>
      <w:r>
        <w:rPr>
          <w:rFonts w:ascii="Arial" w:cs="Arial" w:eastAsia="Arial" w:hAnsi="Arial"/>
          <w:sz w:val="24"/>
          <w:szCs w:val="24"/>
        </w:rPr>
        <w:t xml:space="preserve">Transformers have become the backbone of virtually all modern NLP models including BERT, GPT, and T5. Their ability to capture long-range dependencies in text and scale efficiently with large datasets has made them the dominant architecture in natural language processing, computer vision, and beyond.</w:t>
      </w:r>
    </w:p>
    <w:p>
      <w:pPr>
        <w:spacing w:after="60" w:before="60"/>
      </w:pPr>
      <w:r>
        <w:t xml:space="preserve"/>
      </w:r>
    </w:p>
    <w:p>
      <w:pPr>
        <w:pBdr>
          <w:bottom w:val="single" w:color="2E75B6" w:sz="4" w:space="1"/>
        </w:pBdr>
        <w:spacing w:after="120" w:before="320"/>
      </w:pPr>
      <w:r>
        <w:rPr>
          <w:rFonts w:ascii="Arial" w:cs="Arial" w:eastAsia="Arial" w:hAnsi="Arial"/>
          <w:b/>
          <w:bCs/>
          <w:color w:val="2E4057"/>
          <w:sz w:val="28"/>
          <w:szCs w:val="28"/>
        </w:rPr>
        <w:t xml:space="preserve">Fine-Tuning:</w:t>
      </w:r>
    </w:p>
    <w:p>
      <w:pPr>
        <w:spacing w:after="80" w:before="80"/>
        <w:jc w:val="both"/>
      </w:pPr>
      <w:r>
        <w:rPr>
          <w:rFonts w:ascii="Arial" w:cs="Arial" w:eastAsia="Arial" w:hAnsi="Arial"/>
          <w:sz w:val="24"/>
          <w:szCs w:val="24"/>
        </w:rPr>
        <w:t xml:space="preserve">Fine-tuning is the process of taking a large pre-trained model and continuing its training on a smaller, task-specific dataset. Instead of training a model from scratch, fine-tuning adapts an existing model's knowledge to a new domain or task while preserving the general patterns it already learned.</w:t>
      </w:r>
    </w:p>
    <w:p>
      <w:pPr>
        <w:spacing w:after="60" w:before="60"/>
      </w:pPr>
      <w:r>
        <w:t xml:space="preserve"/>
      </w:r>
    </w:p>
    <w:p>
      <w:pPr>
        <w:spacing w:after="80" w:before="80"/>
        <w:jc w:val="both"/>
      </w:pPr>
      <w:r>
        <w:rPr>
          <w:rFonts w:ascii="Arial" w:cs="Arial" w:eastAsia="Arial" w:hAnsi="Arial"/>
          <w:sz w:val="24"/>
          <w:szCs w:val="24"/>
        </w:rPr>
        <w:t xml:space="preserve">For example, a pre-trained language model like BERT can be fine-tuned on a medical dataset to become a specialized medical question-answering system. Fine-tuning is computationally efficient and typically requires far less data and time than full model training, making it the standard approach for deploying AI in specialized applications.</w:t>
      </w:r>
    </w:p>
    <w:p>
      <w:pPr>
        <w:spacing w:after="60" w:before="60"/>
      </w:pPr>
      <w:r>
        <w:t xml:space="preserve"/>
      </w:r>
    </w:p>
    <w:p>
      <w:pPr>
        <w:pBdr>
          <w:bottom w:val="single" w:color="2E75B6" w:sz="4" w:space="1"/>
        </w:pBdr>
        <w:spacing w:after="120" w:before="320"/>
      </w:pPr>
      <w:r>
        <w:rPr>
          <w:rFonts w:ascii="Arial" w:cs="Arial" w:eastAsia="Arial" w:hAnsi="Arial"/>
          <w:b/>
          <w:bCs/>
          <w:color w:val="2E4057"/>
          <w:sz w:val="28"/>
          <w:szCs w:val="28"/>
        </w:rPr>
        <w:t xml:space="preserve">Embeddings:</w:t>
      </w:r>
    </w:p>
    <w:p>
      <w:pPr>
        <w:spacing w:after="80" w:before="80"/>
        <w:jc w:val="both"/>
      </w:pPr>
      <w:r>
        <w:rPr>
          <w:rFonts w:ascii="Arial" w:cs="Arial" w:eastAsia="Arial" w:hAnsi="Arial"/>
          <w:sz w:val="24"/>
          <w:szCs w:val="24"/>
        </w:rPr>
        <w:t xml:space="preserve">Embeddings are dense numerical representations of data such as words, sentences, or images stored as high-dimensional vectors of floating-point numbers. They encode semantic meaning in such a way that similar concepts end up close together in the vector space.</w:t>
      </w:r>
    </w:p>
    <w:p>
      <w:pPr>
        <w:spacing w:after="60" w:before="60"/>
      </w:pPr>
      <w:r>
        <w:t xml:space="preserve"/>
      </w:r>
    </w:p>
    <w:p>
      <w:pPr>
        <w:spacing w:after="80" w:before="80"/>
        <w:jc w:val="both"/>
      </w:pPr>
      <w:r>
        <w:rPr>
          <w:rFonts w:ascii="Arial" w:cs="Arial" w:eastAsia="Arial" w:hAnsi="Arial"/>
          <w:sz w:val="24"/>
          <w:szCs w:val="24"/>
        </w:rPr>
        <w:t xml:space="preserve">For instance, the words "king" and "queen" would have vectors that are geometrically close to each other. Embeddings are produced by models like Word2Vec, GloVe, or modern sentence transformers. They are fundamental to nearly all modern AI applications because they allow machines to reason about meaning rather than just literal text.</w:t>
      </w:r>
    </w:p>
    <w:p>
      <w:pPr>
        <w:spacing w:after="60" w:before="60"/>
      </w:pPr>
      <w:r>
        <w:t xml:space="preserve"/>
      </w:r>
    </w:p>
    <w:p>
      <w:pPr>
        <w:pBdr>
          <w:bottom w:val="single" w:color="2E75B6" w:sz="4" w:space="1"/>
        </w:pBdr>
        <w:spacing w:after="120" w:before="320"/>
      </w:pPr>
      <w:r>
        <w:rPr>
          <w:rFonts w:ascii="Arial" w:cs="Arial" w:eastAsia="Arial" w:hAnsi="Arial"/>
          <w:b/>
          <w:bCs/>
          <w:color w:val="2E4057"/>
          <w:sz w:val="28"/>
          <w:szCs w:val="28"/>
        </w:rPr>
        <w:t xml:space="preserve">Prompt Engineering:</w:t>
      </w:r>
    </w:p>
    <w:p>
      <w:pPr>
        <w:spacing w:after="80" w:before="80"/>
        <w:jc w:val="both"/>
      </w:pPr>
      <w:r>
        <w:rPr>
          <w:rFonts w:ascii="Arial" w:cs="Arial" w:eastAsia="Arial" w:hAnsi="Arial"/>
          <w:sz w:val="24"/>
          <w:szCs w:val="24"/>
        </w:rPr>
        <w:t xml:space="preserve">Prompt engineering is the practice of carefully designing the input text given to a large language model in order to guide it toward producing the most accurate, relevant, and useful response. It involves structuring instructions, providing context, adding examples, and specifying the desired output format.</w:t>
      </w:r>
    </w:p>
    <w:p>
      <w:pPr>
        <w:spacing w:after="60" w:before="60"/>
      </w:pPr>
      <w:r>
        <w:t xml:space="preserve"/>
      </w:r>
    </w:p>
    <w:p>
      <w:pPr>
        <w:spacing w:after="80" w:before="80"/>
        <w:jc w:val="both"/>
      </w:pPr>
      <w:r>
        <w:rPr>
          <w:rFonts w:ascii="Arial" w:cs="Arial" w:eastAsia="Arial" w:hAnsi="Arial"/>
          <w:sz w:val="24"/>
          <w:szCs w:val="24"/>
        </w:rPr>
        <w:t xml:space="preserve">A well-engineered prompt can dramatically improve the quality of an LLM's output without changing the model itself. Techniques include zero-shot prompting, few-shot prompting with examples, chain-of-thought prompting for reasoning tasks, and role-based prompting. Prompt engineering has become a critical skill for anyone working with generative AI systems.</w:t>
      </w:r>
    </w:p>
    <w:p>
      <w:pPr>
        <w:spacing w:after="60" w:before="60"/>
      </w:pPr>
      <w:r>
        <w:t xml:space="preserve"/>
      </w:r>
    </w:p>
    <w:p>
      <w:pPr>
        <w:pBdr>
          <w:bottom w:val="single" w:color="2E75B6" w:sz="4" w:space="1"/>
        </w:pBdr>
        <w:spacing w:after="120" w:before="320"/>
      </w:pPr>
      <w:r>
        <w:rPr>
          <w:rFonts w:ascii="Arial" w:cs="Arial" w:eastAsia="Arial" w:hAnsi="Arial"/>
          <w:b/>
          <w:bCs/>
          <w:color w:val="2E4057"/>
          <w:sz w:val="28"/>
          <w:szCs w:val="28"/>
        </w:rPr>
        <w:t xml:space="preserve">Tokenization:</w:t>
      </w:r>
    </w:p>
    <w:p>
      <w:pPr>
        <w:spacing w:after="80" w:before="80"/>
        <w:jc w:val="both"/>
      </w:pPr>
      <w:r>
        <w:rPr>
          <w:rFonts w:ascii="Arial" w:cs="Arial" w:eastAsia="Arial" w:hAnsi="Arial"/>
          <w:sz w:val="24"/>
          <w:szCs w:val="24"/>
        </w:rPr>
        <w:t xml:space="preserve">Tokenization is the process of breaking raw text into smaller units called tokens before feeding it into a language model. A token can represent a word, a subword, a character, or even punctuation depending on the tokenization strategy used.</w:t>
      </w:r>
    </w:p>
    <w:p>
      <w:pPr>
        <w:spacing w:after="60" w:before="60"/>
      </w:pPr>
      <w:r>
        <w:t xml:space="preserve"/>
      </w:r>
    </w:p>
    <w:p>
      <w:pPr>
        <w:spacing w:after="80" w:before="80"/>
        <w:jc w:val="both"/>
      </w:pPr>
      <w:r>
        <w:rPr>
          <w:rFonts w:ascii="Arial" w:cs="Arial" w:eastAsia="Arial" w:hAnsi="Arial"/>
          <w:sz w:val="24"/>
          <w:szCs w:val="24"/>
        </w:rPr>
        <w:t xml:space="preserve">For example, the word "unhappiness" might be split into tokens ["un", "happiness"] using a subword tokenizer like Byte Pair Encoding (BPE). Models such as GPT and BERT have fixed vocabularies and use tokenizers to convert any input text into a sequence of token IDs that the model can process numerically. The choice of tokenization strategy directly impacts model efficiency and language understanding.</w:t>
      </w:r>
    </w:p>
    <w:p>
      <w:pPr>
        <w:spacing w:after="60" w:before="60"/>
      </w:pPr>
      <w:r>
        <w:t xml:space="preserve"/>
      </w:r>
    </w:p>
    <w:p>
      <w:pPr>
        <w:pBdr>
          <w:bottom w:val="single" w:color="2E75B6" w:sz="4" w:space="1"/>
        </w:pBdr>
        <w:spacing w:after="120" w:before="320"/>
      </w:pPr>
      <w:r>
        <w:rPr>
          <w:rFonts w:ascii="Arial" w:cs="Arial" w:eastAsia="Arial" w:hAnsi="Arial"/>
          <w:b/>
          <w:bCs/>
          <w:color w:val="2E4057"/>
          <w:sz w:val="28"/>
          <w:szCs w:val="28"/>
        </w:rPr>
        <w:t xml:space="preserve">Transfer Learning:</w:t>
      </w:r>
    </w:p>
    <w:p>
      <w:pPr>
        <w:spacing w:after="80" w:before="80"/>
        <w:jc w:val="both"/>
      </w:pPr>
      <w:r>
        <w:rPr>
          <w:rFonts w:ascii="Arial" w:cs="Arial" w:eastAsia="Arial" w:hAnsi="Arial"/>
          <w:sz w:val="24"/>
          <w:szCs w:val="24"/>
        </w:rPr>
        <w:t xml:space="preserve">Transfer learning is a machine learning technique where a model trained on one large task is reused as the starting point for a different but related task. Instead of initializing a model with random weights, transfer learning starts from the rich representations already learned during pre-training.</w:t>
      </w:r>
    </w:p>
    <w:p>
      <w:pPr>
        <w:spacing w:after="60" w:before="60"/>
      </w:pPr>
      <w:r>
        <w:t xml:space="preserve"/>
      </w:r>
    </w:p>
    <w:p>
      <w:pPr>
        <w:spacing w:after="80" w:before="80"/>
        <w:jc w:val="both"/>
      </w:pPr>
      <w:r>
        <w:rPr>
          <w:rFonts w:ascii="Arial" w:cs="Arial" w:eastAsia="Arial" w:hAnsi="Arial"/>
          <w:sz w:val="24"/>
          <w:szCs w:val="24"/>
        </w:rPr>
        <w:t xml:space="preserve">This approach dramatically reduces the amount of data and computation needed for new tasks. In NLP, models pre-trained on massive text corpora can be transferred to specialized domains like legal document analysis or medical diagnosis with relatively small task-specific datasets. Transfer learning is the foundation of the modern pre-train then fine-tune paradigm in AI.</w:t>
      </w:r>
    </w:p>
    <w:p>
      <w:pPr>
        <w:spacing w:after="60" w:before="60"/>
      </w:pPr>
      <w:r>
        <w:t xml:space="preserve"/>
      </w:r>
    </w:p>
    <w:p>
      <w:pPr>
        <w:pBdr>
          <w:bottom w:val="single" w:color="2E75B6" w:sz="4" w:space="1"/>
        </w:pBdr>
        <w:spacing w:after="120" w:before="320"/>
      </w:pPr>
      <w:r>
        <w:rPr>
          <w:rFonts w:ascii="Arial" w:cs="Arial" w:eastAsia="Arial" w:hAnsi="Arial"/>
          <w:b/>
          <w:bCs/>
          <w:color w:val="2E4057"/>
          <w:sz w:val="28"/>
          <w:szCs w:val="28"/>
        </w:rPr>
        <w:t xml:space="preserve">Attention Mechanism:</w:t>
      </w:r>
    </w:p>
    <w:p>
      <w:pPr>
        <w:spacing w:after="80" w:before="80"/>
        <w:jc w:val="both"/>
      </w:pPr>
      <w:r>
        <w:rPr>
          <w:rFonts w:ascii="Arial" w:cs="Arial" w:eastAsia="Arial" w:hAnsi="Arial"/>
          <w:sz w:val="24"/>
          <w:szCs w:val="24"/>
        </w:rPr>
        <w:t xml:space="preserve">The attention mechanism is a component in neural networks that allows a model to selectively focus on the most relevant parts of the input when producing each output. Rather than compressing an entire input sequence into a single fixed representation, attention dynamically weights different positions based on their relevance to the current computation.</w:t>
      </w:r>
    </w:p>
    <w:p>
      <w:pPr>
        <w:spacing w:after="60" w:before="60"/>
      </w:pPr>
      <w:r>
        <w:t xml:space="preserve"/>
      </w:r>
    </w:p>
    <w:p>
      <w:pPr>
        <w:spacing w:after="80" w:before="80"/>
        <w:jc w:val="both"/>
      </w:pPr>
      <w:r>
        <w:rPr>
          <w:rFonts w:ascii="Arial" w:cs="Arial" w:eastAsia="Arial" w:hAnsi="Arial"/>
          <w:sz w:val="24"/>
          <w:szCs w:val="24"/>
        </w:rPr>
        <w:t xml:space="preserve">In the Transformer architecture, self-attention allows every token in a sequence to attend to every other token simultaneously, capturing complex relationships regardless of how far apart they are in the text. For example, when translating a sentence, the model can attend directly to the corresponding source word no matter its position. This mechanism is the core reason Transformers outperform older sequential models like RNNs and LSTMs.</w:t>
      </w:r>
    </w:p>
    <w:p>
      <w:pPr>
        <w:spacing w:after="60" w:before="60"/>
      </w:pPr>
      <w:r>
        <w:t xml:space="preserve"/>
      </w:r>
    </w:p>
    <w:p>
      <w:pPr>
        <w:spacing w:after="200" w:before="360"/>
        <w:jc w:val="center"/>
      </w:pPr>
      <w:r>
        <w:rPr>
          <w:rFonts w:ascii="Arial" w:cs="Arial" w:eastAsia="Arial" w:hAnsi="Arial"/>
          <w:b/>
          <w:bCs/>
          <w:color w:val="2E4057"/>
          <w:sz w:val="26"/>
          <w:szCs w:val="26"/>
        </w:rPr>
        <w:t xml:space="preserve">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E4057" w:val="clear"/>
            <w:tcMar>
              <w:top w:type="dxa" w:w="100"/>
              <w:left w:type="dxa" w:w="150"/>
              <w:bottom w:type="dxa" w:w="100"/>
              <w:right w:type="dxa" w:w="150"/>
            </w:tcMar>
            <w:vAlign w:val="center"/>
          </w:tcPr>
          <w:p>
            <w:r>
              <w:rPr>
                <w:rFonts w:ascii="Arial" w:cs="Arial" w:eastAsia="Arial" w:hAnsi="Arial"/>
                <w:b/>
                <w:bCs/>
                <w:color w:val="FFFFFF"/>
                <w:sz w:val="22"/>
                <w:szCs w:val="22"/>
              </w:rPr>
              <w:t xml:space="preserve">Concept</w:t>
            </w:r>
          </w:p>
        </w:tc>
        <w:tc>
          <w:tcPr>
            <w:tcW w:type="dxa" w:w="6760"/>
            <w:shd w:fill="2E4057" w:val="clear"/>
            <w:tcMar>
              <w:top w:type="dxa" w:w="100"/>
              <w:left w:type="dxa" w:w="150"/>
              <w:bottom w:type="dxa" w:w="100"/>
              <w:right w:type="dxa" w:w="150"/>
            </w:tcMar>
            <w:vAlign w:val="center"/>
          </w:tcPr>
          <w:p>
            <w:r>
              <w:rPr>
                <w:rFonts w:ascii="Arial" w:cs="Arial" w:eastAsia="Arial" w:hAnsi="Arial"/>
                <w:b/>
                <w:bCs/>
                <w:color w:val="FFFFFF"/>
                <w:sz w:val="22"/>
                <w:szCs w:val="22"/>
              </w:rPr>
              <w:t xml:space="preserve">One-Line Definition</w:t>
            </w:r>
          </w:p>
        </w:tc>
      </w:tr>
      <w:tr>
        <w:tc>
          <w:tcPr>
            <w:tcW w:type="dxa" w:w="2600"/>
            <w:shd w:fill="EAF2FB" w:val="clear"/>
            <w:tcMar>
              <w:top w:type="dxa" w:w="80"/>
              <w:left w:type="dxa" w:w="150"/>
              <w:bottom w:type="dxa" w:w="80"/>
              <w:right w:type="dxa" w:w="150"/>
            </w:tcMar>
          </w:tcPr>
          <w:p>
            <w:r>
              <w:rPr>
                <w:rFonts w:ascii="Arial" w:cs="Arial" w:eastAsia="Arial" w:hAnsi="Arial"/>
                <w:b/>
                <w:bCs/>
                <w:sz w:val="22"/>
                <w:szCs w:val="22"/>
              </w:rPr>
              <w:t xml:space="preserve">Hugging Face</w:t>
            </w:r>
          </w:p>
        </w:tc>
        <w:tc>
          <w:tcPr>
            <w:tcW w:type="dxa" w:w="6760"/>
            <w:shd w:fill="EAF2FB" w:val="clear"/>
            <w:tcMar>
              <w:top w:type="dxa" w:w="80"/>
              <w:left w:type="dxa" w:w="150"/>
              <w:bottom w:type="dxa" w:w="80"/>
              <w:right w:type="dxa" w:w="150"/>
            </w:tcMar>
          </w:tcPr>
          <w:p>
            <w:r>
              <w:rPr>
                <w:rFonts w:ascii="Arial" w:cs="Arial" w:eastAsia="Arial" w:hAnsi="Arial"/>
                <w:sz w:val="22"/>
                <w:szCs w:val="22"/>
              </w:rPr>
              <w:t xml:space="preserve">Open-source platform for sharing and deploying pre-trained AI models.</w:t>
            </w:r>
          </w:p>
        </w:tc>
      </w:tr>
      <w:tr>
        <w:tc>
          <w:tcPr>
            <w:tcW w:type="dxa" w:w="2600"/>
            <w:shd w:fill="FFFFFF" w:val="clear"/>
            <w:tcMar>
              <w:top w:type="dxa" w:w="80"/>
              <w:left w:type="dxa" w:w="150"/>
              <w:bottom w:type="dxa" w:w="80"/>
              <w:right w:type="dxa" w:w="150"/>
            </w:tcMar>
          </w:tcPr>
          <w:p>
            <w:r>
              <w:rPr>
                <w:rFonts w:ascii="Arial" w:cs="Arial" w:eastAsia="Arial" w:hAnsi="Arial"/>
                <w:b/>
                <w:bCs/>
                <w:sz w:val="22"/>
                <w:szCs w:val="22"/>
              </w:rPr>
              <w:t xml:space="preserve">Transformer</w:t>
            </w:r>
          </w:p>
        </w:tc>
        <w:tc>
          <w:tcPr>
            <w:tcW w:type="dxa" w:w="6760"/>
            <w:shd w:fill="FFFFFF" w:val="clear"/>
            <w:tcMar>
              <w:top w:type="dxa" w:w="80"/>
              <w:left w:type="dxa" w:w="150"/>
              <w:bottom w:type="dxa" w:w="80"/>
              <w:right w:type="dxa" w:w="150"/>
            </w:tcMar>
          </w:tcPr>
          <w:p>
            <w:r>
              <w:rPr>
                <w:rFonts w:ascii="Arial" w:cs="Arial" w:eastAsia="Arial" w:hAnsi="Arial"/>
                <w:sz w:val="22"/>
                <w:szCs w:val="22"/>
              </w:rPr>
              <w:t xml:space="preserve">Deep learning architecture using self-attention to process sequences in parallel.</w:t>
            </w:r>
          </w:p>
        </w:tc>
      </w:tr>
      <w:tr>
        <w:tc>
          <w:tcPr>
            <w:tcW w:type="dxa" w:w="2600"/>
            <w:shd w:fill="EAF2FB" w:val="clear"/>
            <w:tcMar>
              <w:top w:type="dxa" w:w="80"/>
              <w:left w:type="dxa" w:w="150"/>
              <w:bottom w:type="dxa" w:w="80"/>
              <w:right w:type="dxa" w:w="150"/>
            </w:tcMar>
          </w:tcPr>
          <w:p>
            <w:r>
              <w:rPr>
                <w:rFonts w:ascii="Arial" w:cs="Arial" w:eastAsia="Arial" w:hAnsi="Arial"/>
                <w:b/>
                <w:bCs/>
                <w:sz w:val="22"/>
                <w:szCs w:val="22"/>
              </w:rPr>
              <w:t xml:space="preserve">Fine-Tuning</w:t>
            </w:r>
          </w:p>
        </w:tc>
        <w:tc>
          <w:tcPr>
            <w:tcW w:type="dxa" w:w="6760"/>
            <w:shd w:fill="EAF2FB" w:val="clear"/>
            <w:tcMar>
              <w:top w:type="dxa" w:w="80"/>
              <w:left w:type="dxa" w:w="150"/>
              <w:bottom w:type="dxa" w:w="80"/>
              <w:right w:type="dxa" w:w="150"/>
            </w:tcMar>
          </w:tcPr>
          <w:p>
            <w:r>
              <w:rPr>
                <w:rFonts w:ascii="Arial" w:cs="Arial" w:eastAsia="Arial" w:hAnsi="Arial"/>
                <w:sz w:val="22"/>
                <w:szCs w:val="22"/>
              </w:rPr>
              <w:t xml:space="preserve">Adapting a pre-trained model to a specific task with a smaller dataset.</w:t>
            </w:r>
          </w:p>
        </w:tc>
      </w:tr>
      <w:tr>
        <w:tc>
          <w:tcPr>
            <w:tcW w:type="dxa" w:w="2600"/>
            <w:shd w:fill="FFFFFF" w:val="clear"/>
            <w:tcMar>
              <w:top w:type="dxa" w:w="80"/>
              <w:left w:type="dxa" w:w="150"/>
              <w:bottom w:type="dxa" w:w="80"/>
              <w:right w:type="dxa" w:w="150"/>
            </w:tcMar>
          </w:tcPr>
          <w:p>
            <w:r>
              <w:rPr>
                <w:rFonts w:ascii="Arial" w:cs="Arial" w:eastAsia="Arial" w:hAnsi="Arial"/>
                <w:b/>
                <w:bCs/>
                <w:sz w:val="22"/>
                <w:szCs w:val="22"/>
              </w:rPr>
              <w:t xml:space="preserve">Embeddings</w:t>
            </w:r>
          </w:p>
        </w:tc>
        <w:tc>
          <w:tcPr>
            <w:tcW w:type="dxa" w:w="6760"/>
            <w:shd w:fill="FFFFFF" w:val="clear"/>
            <w:tcMar>
              <w:top w:type="dxa" w:w="80"/>
              <w:left w:type="dxa" w:w="150"/>
              <w:bottom w:type="dxa" w:w="80"/>
              <w:right w:type="dxa" w:w="150"/>
            </w:tcMar>
          </w:tcPr>
          <w:p>
            <w:r>
              <w:rPr>
                <w:rFonts w:ascii="Arial" w:cs="Arial" w:eastAsia="Arial" w:hAnsi="Arial"/>
                <w:sz w:val="22"/>
                <w:szCs w:val="22"/>
              </w:rPr>
              <w:t xml:space="preserve">Numerical vector representations that capture the semantic meaning of data.</w:t>
            </w:r>
          </w:p>
        </w:tc>
      </w:tr>
      <w:tr>
        <w:tc>
          <w:tcPr>
            <w:tcW w:type="dxa" w:w="2600"/>
            <w:shd w:fill="EAF2FB" w:val="clear"/>
            <w:tcMar>
              <w:top w:type="dxa" w:w="80"/>
              <w:left w:type="dxa" w:w="150"/>
              <w:bottom w:type="dxa" w:w="80"/>
              <w:right w:type="dxa" w:w="150"/>
            </w:tcMar>
          </w:tcPr>
          <w:p>
            <w:r>
              <w:rPr>
                <w:rFonts w:ascii="Arial" w:cs="Arial" w:eastAsia="Arial" w:hAnsi="Arial"/>
                <w:b/>
                <w:bCs/>
                <w:sz w:val="22"/>
                <w:szCs w:val="22"/>
              </w:rPr>
              <w:t xml:space="preserve">Prompt Engineering</w:t>
            </w:r>
          </w:p>
        </w:tc>
        <w:tc>
          <w:tcPr>
            <w:tcW w:type="dxa" w:w="6760"/>
            <w:shd w:fill="EAF2FB" w:val="clear"/>
            <w:tcMar>
              <w:top w:type="dxa" w:w="80"/>
              <w:left w:type="dxa" w:w="150"/>
              <w:bottom w:type="dxa" w:w="80"/>
              <w:right w:type="dxa" w:w="150"/>
            </w:tcMar>
          </w:tcPr>
          <w:p>
            <w:r>
              <w:rPr>
                <w:rFonts w:ascii="Arial" w:cs="Arial" w:eastAsia="Arial" w:hAnsi="Arial"/>
                <w:sz w:val="22"/>
                <w:szCs w:val="22"/>
              </w:rPr>
              <w:t xml:space="preserve">Designing inputs to guide LLMs toward accurate, useful responses.</w:t>
            </w:r>
          </w:p>
        </w:tc>
      </w:tr>
      <w:tr>
        <w:tc>
          <w:tcPr>
            <w:tcW w:type="dxa" w:w="2600"/>
            <w:shd w:fill="FFFFFF" w:val="clear"/>
            <w:tcMar>
              <w:top w:type="dxa" w:w="80"/>
              <w:left w:type="dxa" w:w="150"/>
              <w:bottom w:type="dxa" w:w="80"/>
              <w:right w:type="dxa" w:w="150"/>
            </w:tcMar>
          </w:tcPr>
          <w:p>
            <w:r>
              <w:rPr>
                <w:rFonts w:ascii="Arial" w:cs="Arial" w:eastAsia="Arial" w:hAnsi="Arial"/>
                <w:b/>
                <w:bCs/>
                <w:sz w:val="22"/>
                <w:szCs w:val="22"/>
              </w:rPr>
              <w:t xml:space="preserve">Tokenization</w:t>
            </w:r>
          </w:p>
        </w:tc>
        <w:tc>
          <w:tcPr>
            <w:tcW w:type="dxa" w:w="6760"/>
            <w:shd w:fill="FFFFFF" w:val="clear"/>
            <w:tcMar>
              <w:top w:type="dxa" w:w="80"/>
              <w:left w:type="dxa" w:w="150"/>
              <w:bottom w:type="dxa" w:w="80"/>
              <w:right w:type="dxa" w:w="150"/>
            </w:tcMar>
          </w:tcPr>
          <w:p>
            <w:r>
              <w:rPr>
                <w:rFonts w:ascii="Arial" w:cs="Arial" w:eastAsia="Arial" w:hAnsi="Arial"/>
                <w:sz w:val="22"/>
                <w:szCs w:val="22"/>
              </w:rPr>
              <w:t xml:space="preserve">Breaking text into smaller units (tokens) for model processing.</w:t>
            </w:r>
          </w:p>
        </w:tc>
      </w:tr>
      <w:tr>
        <w:tc>
          <w:tcPr>
            <w:tcW w:type="dxa" w:w="2600"/>
            <w:shd w:fill="EAF2FB" w:val="clear"/>
            <w:tcMar>
              <w:top w:type="dxa" w:w="80"/>
              <w:left w:type="dxa" w:w="150"/>
              <w:bottom w:type="dxa" w:w="80"/>
              <w:right w:type="dxa" w:w="150"/>
            </w:tcMar>
          </w:tcPr>
          <w:p>
            <w:r>
              <w:rPr>
                <w:rFonts w:ascii="Arial" w:cs="Arial" w:eastAsia="Arial" w:hAnsi="Arial"/>
                <w:b/>
                <w:bCs/>
                <w:sz w:val="22"/>
                <w:szCs w:val="22"/>
              </w:rPr>
              <w:t xml:space="preserve">Transfer Learning</w:t>
            </w:r>
          </w:p>
        </w:tc>
        <w:tc>
          <w:tcPr>
            <w:tcW w:type="dxa" w:w="6760"/>
            <w:shd w:fill="EAF2FB" w:val="clear"/>
            <w:tcMar>
              <w:top w:type="dxa" w:w="80"/>
              <w:left w:type="dxa" w:w="150"/>
              <w:bottom w:type="dxa" w:w="80"/>
              <w:right w:type="dxa" w:w="150"/>
            </w:tcMar>
          </w:tcPr>
          <w:p>
            <w:r>
              <w:rPr>
                <w:rFonts w:ascii="Arial" w:cs="Arial" w:eastAsia="Arial" w:hAnsi="Arial"/>
                <w:sz w:val="22"/>
                <w:szCs w:val="22"/>
              </w:rPr>
              <w:t xml:space="preserve">Reusing a model trained on one task as the starting point for another.</w:t>
            </w:r>
          </w:p>
        </w:tc>
      </w:tr>
      <w:tr>
        <w:tc>
          <w:tcPr>
            <w:tcW w:type="dxa" w:w="2600"/>
            <w:shd w:fill="FFFFFF" w:val="clear"/>
            <w:tcMar>
              <w:top w:type="dxa" w:w="80"/>
              <w:left w:type="dxa" w:w="150"/>
              <w:bottom w:type="dxa" w:w="80"/>
              <w:right w:type="dxa" w:w="150"/>
            </w:tcMar>
          </w:tcPr>
          <w:p>
            <w:r>
              <w:rPr>
                <w:rFonts w:ascii="Arial" w:cs="Arial" w:eastAsia="Arial" w:hAnsi="Arial"/>
                <w:b/>
                <w:bCs/>
                <w:sz w:val="22"/>
                <w:szCs w:val="22"/>
              </w:rPr>
              <w:t xml:space="preserve">Attention Mechanism</w:t>
            </w:r>
          </w:p>
        </w:tc>
        <w:tc>
          <w:tcPr>
            <w:tcW w:type="dxa" w:w="6760"/>
            <w:shd w:fill="FFFFFF" w:val="clear"/>
            <w:tcMar>
              <w:top w:type="dxa" w:w="80"/>
              <w:left w:type="dxa" w:w="150"/>
              <w:bottom w:type="dxa" w:w="80"/>
              <w:right w:type="dxa" w:w="150"/>
            </w:tcMar>
          </w:tcPr>
          <w:p>
            <w:r>
              <w:rPr>
                <w:rFonts w:ascii="Arial" w:cs="Arial" w:eastAsia="Arial" w:hAnsi="Arial"/>
                <w:sz w:val="22"/>
                <w:szCs w:val="22"/>
              </w:rPr>
              <w:t xml:space="preserve">Allows a model to focus on the most relevant parts of input dynamically.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2026-05-01T20:08:39.252Z</dcterms:created>
  <dcterms:modified xsi:type="dcterms:W3CDTF">2026-05-01T20:08:39.252Z</dcterms:modified>
</cp:coreProperties>
</file>

<file path=docProps/custom.xml><?xml version="1.0" encoding="utf-8"?>
<Properties xmlns="http://schemas.openxmlformats.org/officeDocument/2006/custom-properties" xmlns:vt="http://schemas.openxmlformats.org/officeDocument/2006/docPropsVTypes"/>
</file>