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A"/>
        </w:rPr>
        <w:t>BINGONGOLD CREDIT</w:t>
      </w:r>
    </w:p>
    <w:p>
      <w:pPr>
        <w:pStyle w:val="Heading1"/>
      </w:pPr>
      <w:r>
        <w:t>Portfolio Summary Report</w:t>
      </w:r>
    </w:p>
    <w:p>
      <w:r>
        <w:t>Generated: 2026-04-17</w:t>
      </w:r>
    </w:p>
    <w:p>
      <w:pPr>
        <w:pStyle w:val="Heading2"/>
      </w:pPr>
      <w:r>
        <w:t>Summary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Clients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Portfolio</w:t>
            </w:r>
          </w:p>
        </w:tc>
        <w:tc>
          <w:tcPr>
            <w:tcW w:type="dxa" w:w="4320"/>
          </w:tcPr>
          <w:p>
            <w:r>
              <w:t>UGX 0</w:t>
            </w:r>
          </w:p>
        </w:tc>
      </w:tr>
      <w:tr>
        <w:tc>
          <w:tcPr>
            <w:tcW w:type="dxa" w:w="4320"/>
          </w:tcPr>
          <w:p>
            <w:r>
              <w:t>Active Loans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Completed Loans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Defaulted Loans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