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Calibri" w:hAnsi="Calibri"/>
          <w:b/>
          <w:i w:val="0"/>
          <w:color w:val="2E74B5"/>
          <w:sz w:val="20"/>
        </w:rPr>
        <w:t>VERIFIED RESULTS REPORT</w:t>
      </w:r>
    </w:p>
    <w:p>
      <w:pPr>
        <w:spacing w:after="80"/>
      </w:pPr>
      <w:r>
        <w:rPr>
          <w:rFonts w:ascii="Calibri" w:hAnsi="Calibri"/>
          <w:b/>
          <w:i w:val="0"/>
          <w:color w:val="0B2545"/>
          <w:sz w:val="46"/>
        </w:rPr>
        <w:t>Feedback-lifecycle-audit Held-out TEST-197 / TEST-168</w:t>
      </w:r>
    </w:p>
    <w:p>
      <w:pPr>
        <w:spacing w:after="280"/>
      </w:pPr>
      <w:r>
        <w:rPr>
          <w:rFonts w:ascii="Calibri" w:hAnsi="Calibri"/>
          <w:b w:val="0"/>
          <w:i w:val="0"/>
          <w:color w:val="5D6975"/>
          <w:sz w:val="26"/>
        </w:rPr>
        <w:t>Human reliability, adjudicated lifecycle prevalence, and B/C evaluator comparison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Field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Value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Status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Verified; all reported TEST-set quantities recomputed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Audit date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29 September 2026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Source partition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197 transitions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Analytic cohort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168 frozen claim-bearing packets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Provider calls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0 during verification</w:t>
            </w:r>
          </w:p>
        </w:tc>
      </w:tr>
    </w:tbl>
    <w:p/>
    <w:p>
      <w:pPr>
        <w:spacing w:before="120" w:after="160"/>
        <w:ind w:left="160" w:right="160"/>
        <w:shd w:fill="F4F6F9"/>
        <w:pBdr>
          <w:top w:val="single" w:sz="6" w:space="5" w:color="C8CDD3"/>
          <w:left w:val="single" w:sz="6" w:space="5" w:color="C8CDD3"/>
          <w:bottom w:val="single" w:sz="6" w:space="5" w:color="C8CDD3"/>
          <w:right w:val="single" w:sz="6" w:space="5" w:color="C8CDD3"/>
        </w:pBdr>
      </w:pPr>
      <w:r>
        <w:rPr>
          <w:rFonts w:ascii="Calibri" w:hAnsi="Calibri"/>
          <w:b/>
          <w:i w:val="0"/>
          <w:color w:val="2F6B45"/>
          <w:sz w:val="22"/>
        </w:rPr>
        <w:t xml:space="preserve">Verdict: </w:t>
      </w:r>
      <w:r>
        <w:rPr>
          <w:rFonts w:ascii="Calibri" w:hAnsi="Calibri"/>
          <w:b w:val="0"/>
          <w:i w:val="0"/>
          <w:color w:val="0B2545"/>
          <w:sz w:val="22"/>
        </w:rPr>
        <w:t>No false quantitative TEST-set result was detected. The model-specific paired effects are small and point in opposite directions; the supported conclusion is no consistent directional advantage, not statistical equivalence.</w:t>
      </w:r>
    </w:p>
    <w:p>
      <w:pPr>
        <w:pStyle w:val="Heading1"/>
        <w:keepNext/>
      </w:pPr>
      <w:r>
        <w:t>1. Cohort and provenance</w:t>
      </w:r>
    </w:p>
    <w:p>
      <w:r>
        <w:rPr>
          <w:rFonts w:ascii="Calibri" w:hAnsi="Calibri"/>
          <w:b w:val="0"/>
          <w:i w:val="0"/>
          <w:color w:val="000000"/>
          <w:sz w:val="22"/>
        </w:rPr>
        <w:t>The report uses TEST-197 for the frozen source partition and TEST-168 for the final claim-bearing analytic cohort. Keeping these names distinct avoids implying that all 197 source transitions received human labels or model decisions.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1100"/>
        <w:gridCol w:w="5160"/>
      </w:tblGrid>
      <w:tr>
        <w:trPr>
          <w:tblHeader w:val="true"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Stage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Count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Boundary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Source TEST partition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197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Frozen test transitions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Confirmed C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188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Nine objective language exclusions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Stage-A calls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190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50 historical Batch 1 + 140 Batch 2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Accepted hints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170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Twenty preserved Stage-A failures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Final analytic cohort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168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 problems, 49 trajectories, 42 participants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Locked state replays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252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S_t and S_t+1 for 126 new packet cases</w:t>
            </w:r>
          </w:p>
        </w:tc>
      </w:tr>
    </w:tbl>
    <w:p>
      <w:pPr>
        <w:spacing w:before="80" w:after="80"/>
      </w:pPr>
      <w:r>
        <w:rPr>
          <w:rFonts w:ascii="Calibri" w:hAnsi="Calibri"/>
          <w:b w:val="0"/>
          <w:i/>
          <w:color w:val="5D6975"/>
          <w:sz w:val="17"/>
        </w:rPr>
        <w:t>Source: frozen cohort profile, packet manifest, screening ledger, and integrity summary.</w:t>
      </w:r>
    </w:p>
    <w:p>
      <w:r>
        <w:br w:type="page"/>
      </w:r>
    </w:p>
    <w:p>
      <w:pPr>
        <w:pStyle w:val="Heading1"/>
        <w:keepNext/>
      </w:pPr>
      <w:r>
        <w:t>2. Human annotation reliability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1900"/>
        <w:gridCol w:w="2200"/>
        <w:gridCol w:w="2060"/>
      </w:tblGrid>
      <w:tr>
        <w:trPr>
          <w:tblHeader w:val="true"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Field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Agreement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Raw agreement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Cohen kappa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Original validity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161/168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95.83%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0.2170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Target state at t+1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145/168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86.31%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0.7249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Lifecycle label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145/168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86.31%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0.7249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Instructional priority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144/168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85.71%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0.7117</w:t>
            </w:r>
          </w:p>
        </w:tc>
      </w:tr>
    </w:tbl>
    <w:p>
      <w:pPr>
        <w:spacing w:before="80" w:after="80"/>
      </w:pPr>
      <w:r>
        <w:rPr>
          <w:rFonts w:ascii="Calibri" w:hAnsi="Calibri"/>
          <w:b w:val="0"/>
          <w:i/>
          <w:color w:val="5D6975"/>
          <w:sz w:val="17"/>
        </w:rPr>
        <w:t>Pre-adjudication A01/A02 agreement; kappa is unweighted.</w:t>
      </w:r>
    </w:p>
    <w:p>
      <w:r>
        <w:rPr>
          <w:rFonts w:ascii="Calibri" w:hAnsi="Calibri"/>
          <w:b w:val="0"/>
          <w:i w:val="0"/>
          <w:color w:val="000000"/>
          <w:sz w:val="22"/>
        </w:rPr>
        <w:t>All four core fields agreed jointly on 144/168 cases. The 24 unique disagreement cases comprise 23 lifecycle disagreements and one priority-only disagreement.</w:t>
      </w:r>
    </w:p>
    <w:p>
      <w:pPr>
        <w:pStyle w:val="Heading2"/>
        <w:keepNext/>
      </w:pPr>
      <w:r>
        <w:t>2.1 Final adjudicated gold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200"/>
        <w:gridCol w:w="1600"/>
        <w:gridCol w:w="4960"/>
      </w:tblGrid>
      <w:tr>
        <w:trPr>
          <w:tblHeader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Label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Count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Share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Meaning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KEEP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100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59.52%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Claim remains active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RETIRE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65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38.69%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Supported claim resolved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RETRACT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1.79%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Original claim not supported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UNSURE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0.00%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Indeterminate</w:t>
            </w:r>
          </w:p>
        </w:tc>
      </w:tr>
    </w:tbl>
    <w:p>
      <w:r>
        <w:rPr>
          <w:rFonts w:ascii="Calibri" w:hAnsi="Calibri"/>
          <w:b w:val="0"/>
          <w:i w:val="0"/>
          <w:color w:val="000000"/>
          <w:sz w:val="22"/>
        </w:rPr>
        <w:t>Among 165 hints supported at generation time, 65 were resolved by the next observed revision (39.39%).</w:t>
      </w:r>
    </w:p>
    <w:p>
      <w:pPr>
        <w:spacing w:before="120" w:after="160"/>
        <w:ind w:left="160" w:right="160"/>
        <w:shd w:fill="F4F6F9"/>
        <w:pBdr>
          <w:top w:val="single" w:sz="6" w:space="5" w:color="C8CDD3"/>
          <w:left w:val="single" w:sz="6" w:space="5" w:color="C8CDD3"/>
          <w:bottom w:val="single" w:sz="6" w:space="5" w:color="C8CDD3"/>
          <w:right w:val="single" w:sz="6" w:space="5" w:color="C8CDD3"/>
        </w:pBdr>
      </w:pPr>
      <w:r>
        <w:rPr>
          <w:rFonts w:ascii="Calibri" w:hAnsi="Calibri"/>
          <w:b/>
          <w:i w:val="0"/>
          <w:color w:val="2E74B5"/>
          <w:sz w:val="22"/>
        </w:rPr>
        <w:t xml:space="preserve">Adjudication freeze: </w:t>
      </w:r>
      <w:r>
        <w:rPr>
          <w:rFonts w:ascii="Calibri" w:hAnsi="Calibri"/>
          <w:b w:val="0"/>
          <w:i w:val="0"/>
          <w:color w:val="0B2545"/>
          <w:sz w:val="22"/>
        </w:rPr>
        <w:t>All 24 disagreement cases are present in the final JSON and JSONL exports, all required fields are populated, all evidence references are valid, and the blind packet remains unchanged.</w:t>
      </w:r>
    </w:p>
    <w:p>
      <w:r>
        <w:br w:type="page"/>
      </w:r>
    </w:p>
    <w:p>
      <w:pPr>
        <w:pStyle w:val="Heading1"/>
        <w:keepNext/>
      </w:pPr>
      <w:r>
        <w:t>3. Frozen primary matrix and predeclared recovery</w:t>
      </w:r>
    </w:p>
    <w:p>
      <w:r>
        <w:rPr>
          <w:rFonts w:ascii="Calibri" w:hAnsi="Calibri"/>
          <w:b w:val="0"/>
          <w:i w:val="0"/>
          <w:color w:val="000000"/>
          <w:sz w:val="22"/>
        </w:rPr>
        <w:t>The primary matrix is complete: 4 frozen model-condition runs and 672 first attempts. Primary files were not overwritten by recovery.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850"/>
        <w:gridCol w:w="1500"/>
        <w:gridCol w:w="1700"/>
        <w:gridCol w:w="1350"/>
        <w:gridCol w:w="1360"/>
      </w:tblGrid>
      <w:tr>
        <w:trPr>
          <w:tblHeader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Model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Cond.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Primary 429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Recovery calls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Accepted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Errors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DeepSeek V4.1 Flash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90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83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DeepSeek V4.1 Flash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53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29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Qwen3.8-27B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51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28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Qwen3.8-27B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27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</w:t>
            </w:r>
          </w:p>
        </w:tc>
      </w:tr>
    </w:tbl>
    <w:p>
      <w:pPr>
        <w:spacing w:before="80" w:after="80"/>
      </w:pPr>
      <w:r>
        <w:rPr>
          <w:rFonts w:ascii="Calibri" w:hAnsi="Calibri"/>
          <w:b w:val="0"/>
          <w:i/>
          <w:color w:val="5D6975"/>
          <w:sz w:val="17"/>
        </w:rPr>
        <w:t>Recovery policy: exactly one call per primary HTTP 429; 20 seconds between calls, 90 seconds after another 429; no retry or fallback; non-429 failures excluded.</w:t>
      </w:r>
    </w:p>
    <w:p>
      <w:pPr>
        <w:pStyle w:val="Heading1"/>
        <w:keepNext/>
      </w:pPr>
      <w:r>
        <w:t>4. Post-recovery model results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20"/>
        <w:gridCol w:w="1100"/>
        <w:gridCol w:w="1100"/>
        <w:gridCol w:w="1300"/>
        <w:gridCol w:w="1600"/>
        <w:gridCol w:w="1890"/>
      </w:tblGrid>
      <w:tr>
        <w:trPr>
          <w:tblHeader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Model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Cond.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Usable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Abstain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Decisions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Correct</w:t>
            </w:r>
          </w:p>
        </w:tc>
        <w:tc>
          <w:tcPr>
            <w:tcW w:type="dxa" w:w="1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Accuracy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DeepSeek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154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154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146/154</w:t>
            </w:r>
          </w:p>
        </w:tc>
        <w:tc>
          <w:tcPr>
            <w:tcW w:type="dxa" w:w="1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94.81%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DeepSeek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135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132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127/132</w:t>
            </w:r>
          </w:p>
        </w:tc>
        <w:tc>
          <w:tcPr>
            <w:tcW w:type="dxa" w:w="1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96.21%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Qwen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136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136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133/136</w:t>
            </w:r>
          </w:p>
        </w:tc>
        <w:tc>
          <w:tcPr>
            <w:tcW w:type="dxa" w:w="1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97.79%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Qwen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141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137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132/137</w:t>
            </w:r>
          </w:p>
        </w:tc>
        <w:tc>
          <w:tcPr>
            <w:tcW w:type="dxa" w:w="1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96.35%</w:t>
            </w:r>
          </w:p>
        </w:tc>
      </w:tr>
    </w:tbl>
    <w:p>
      <w:pPr>
        <w:spacing w:before="80" w:after="80"/>
      </w:pPr>
      <w:r>
        <w:rPr>
          <w:rFonts w:ascii="Calibri" w:hAnsi="Calibri"/>
          <w:b w:val="0"/>
          <w:i/>
          <w:color w:val="5D6975"/>
          <w:sz w:val="17"/>
        </w:rPr>
        <w:t>Decision accuracy is calculated on non-abstaining outputs under the frozen shared evaluator. Condition B is normalized as non-abstaining because it has no selective-decision field.</w:t>
      </w:r>
    </w:p>
    <w:p>
      <w:pPr>
        <w:pStyle w:val="Heading2"/>
        <w:keepNext/>
      </w:pPr>
      <w:r>
        <w:t>4.1 Safety-relevant lifecycle errors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0"/>
        <w:gridCol w:w="1450"/>
        <w:gridCol w:w="1450"/>
        <w:gridCol w:w="2200"/>
        <w:gridCol w:w="180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Model</w:t>
            </w:r>
          </w:p>
        </w:tc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Cond.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False KEEP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KEEP recall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Wrongful removal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RETRACT recall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DeepSeek</w:t>
            </w:r>
          </w:p>
        </w:tc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1/68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87/100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6/100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3/3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DeepSeek</w:t>
            </w:r>
          </w:p>
        </w:tc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0/68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73/100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5/100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3/3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Qwen</w:t>
            </w:r>
          </w:p>
        </w:tc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0/68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78/100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3/100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2/3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Qwen</w:t>
            </w:r>
          </w:p>
        </w:tc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1/68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76/100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4/100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2/3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5. Paired common-decision comparison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1200"/>
        <w:gridCol w:w="2100"/>
        <w:gridCol w:w="2100"/>
        <w:gridCol w:w="1610"/>
      </w:tblGrid>
      <w:tr>
        <w:trPr>
          <w:tblHeader w:val="true"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Model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Paired n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Condition B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Condition C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 - B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DeepSeek V4.1 Flash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124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117/124 (94.35%)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119/124 (95.97%)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+1.61 pp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Qwen3.8-27B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115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113/115 (98.26%)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111/115 (96.52%)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-1.74 pp</w:t>
            </w:r>
          </w:p>
        </w:tc>
      </w:tr>
    </w:tbl>
    <w:p>
      <w:r>
        <w:rPr>
          <w:rFonts w:ascii="Calibri" w:hAnsi="Calibri"/>
          <w:b w:val="0"/>
          <w:i w:val="0"/>
          <w:color w:val="000000"/>
          <w:sz w:val="22"/>
        </w:rPr>
        <w:t>Descriptively aggregating the model-specific paired sets gives 239 model-case comparisons. B and C are each correct on 230/239 (96.23%). Both conditions are simultaneously correct on 228 comparisons.</w:t>
      </w:r>
    </w:p>
    <w:p>
      <w:r>
        <w:rPr>
          <w:rFonts w:ascii="Calibri" w:hAnsi="Calibri"/>
          <w:b w:val="0"/>
          <w:i w:val="0"/>
          <w:color w:val="000000"/>
          <w:sz w:val="22"/>
        </w:rPr>
        <w:t>Each condition produces one false KEEP and eight wrongful removals in the descriptive aggregate. Because model-specific paired subsets differ and cases are clustered, this is not a formal pooled estimator.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2948214"/>
            <wp:docPr id="1" name="Picture 1" descr="Bar chart: Qwen Condition B accuracy 98.26 percent and Condition C accuracy 96.52 percent on 115 paired decis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wen_paired_common_decision_accurac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48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200"/>
        <w:jc w:val="center"/>
      </w:pPr>
      <w:r>
        <w:rPr>
          <w:rFonts w:ascii="Calibri" w:hAnsi="Calibri"/>
          <w:b w:val="0"/>
          <w:i/>
          <w:color w:val="5D6975"/>
          <w:sz w:val="18"/>
        </w:rPr>
        <w:t>Figure 1. Qwen paired common-decision accuracy. The paired subset contains 115 cases.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2670735"/>
            <wp:docPr id="2" name="Picture 2" descr="Horizontal bar chart: DeepSeek C minus B accuracy is plus 1.61 percentage points; Qwen is minus 1.74 percentage poin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ss_model_paired_effe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70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200"/>
        <w:jc w:val="center"/>
      </w:pPr>
      <w:r>
        <w:rPr>
          <w:rFonts w:ascii="Calibri" w:hAnsi="Calibri"/>
          <w:b w:val="0"/>
          <w:i/>
          <w:color w:val="5D6975"/>
          <w:sz w:val="18"/>
        </w:rPr>
        <w:t>Figure 2. Cross-model paired C-B effect. Positive values favor C; negative values favor B.</w:t>
      </w:r>
    </w:p>
    <w:p>
      <w:r>
        <w:br w:type="page"/>
      </w:r>
    </w:p>
    <w:p>
      <w:pPr>
        <w:pStyle w:val="Heading1"/>
        <w:keepNext/>
      </w:pPr>
      <w:r>
        <w:t>6. Interpretation and reporting boundary</w:t>
      </w:r>
    </w:p>
    <w:p>
      <w:pPr>
        <w:spacing w:before="120" w:after="160"/>
        <w:ind w:left="160" w:right="160"/>
        <w:shd w:fill="F4F6F9"/>
        <w:pBdr>
          <w:top w:val="single" w:sz="6" w:space="5" w:color="C8CDD3"/>
          <w:left w:val="single" w:sz="6" w:space="5" w:color="C8CDD3"/>
          <w:bottom w:val="single" w:sz="6" w:space="5" w:color="C8CDD3"/>
          <w:right w:val="single" w:sz="6" w:space="5" w:color="C8CDD3"/>
        </w:pBdr>
      </w:pPr>
      <w:r>
        <w:rPr>
          <w:rFonts w:ascii="Calibri" w:hAnsi="Calibri"/>
          <w:b/>
          <w:i w:val="0"/>
          <w:color w:val="2F6B45"/>
          <w:sz w:val="22"/>
        </w:rPr>
        <w:t xml:space="preserve">Supported conclusion: </w:t>
      </w:r>
      <w:r>
        <w:rPr>
          <w:rFonts w:ascii="Calibri" w:hAnsi="Calibri"/>
          <w:b w:val="0"/>
          <w:i w:val="0"/>
          <w:color w:val="0B2545"/>
          <w:sz w:val="22"/>
        </w:rPr>
        <w:t>On the natural held-out cohort, explicit lifecycle structuring does not yield a consistent accuracy advantage over the matched-evidence auditor. DeepSeek moves modestly toward C; Qwen moves modestly toward B.</w:t>
      </w:r>
    </w:p>
    <w:p>
      <w:r>
        <w:rPr>
          <w:rFonts w:ascii="Calibri" w:hAnsi="Calibri"/>
          <w:b w:val="0"/>
          <w:i w:val="0"/>
          <w:color w:val="000000"/>
          <w:sz w:val="22"/>
        </w:rPr>
        <w:t>The paired point estimates are descriptive. No paired confidence interval, equivalence test, or null-hypothesis test is included, so the report does not claim statistical equivalence or proof of no effect.</w:t>
      </w:r>
    </w:p>
    <w:p>
      <w:r>
        <w:rPr>
          <w:rFonts w:ascii="Calibri" w:hAnsi="Calibri"/>
          <w:b w:val="0"/>
          <w:i w:val="0"/>
          <w:color w:val="000000"/>
          <w:sz w:val="22"/>
        </w:rPr>
        <w:t>Rare-label inference remains limited because the natural gold contains only three RETRACT and no UNSURE cases. Controlled Stress-20 results should remain in a separate diagnostic section and must not alter natural prevalence estimates.</w:t>
      </w:r>
    </w:p>
    <w:p>
      <w:r>
        <w:rPr>
          <w:rFonts w:ascii="Calibri" w:hAnsi="Calibri"/>
          <w:b w:val="0"/>
          <w:i w:val="0"/>
          <w:color w:val="000000"/>
          <w:sz w:val="22"/>
        </w:rPr>
        <w:t>Operational coverage and decision quality are distinct. Provider failures remain retained in the ledgers, while accepted explicit abstentions are excluded from decision-accuracy denominators under the frozen evaluator.</w:t>
      </w:r>
    </w:p>
    <w:p>
      <w:pPr>
        <w:pStyle w:val="Heading1"/>
        <w:keepNext/>
      </w:pPr>
      <w:r>
        <w:t>7. Reproducibility 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Artifact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Repository path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Human exports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results/heldout_test_197/annotations_frozen_v1/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Blind adjudication packet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results/heldout_test_197/adjudication_24_blind_v1/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Final adjudication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results/heldout_test_197/adjudication_24_final_v1/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Primary and recovery ledgers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results/heldout_test_197/evaluations/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Machine-readable audit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results/heldout_test_197/analysis/verified_test_results.json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Recomputation script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scripts/audit_heldout_test197_results.py</w:t>
            </w:r>
          </w:p>
        </w:tc>
      </w:tr>
    </w:tbl>
    <w:p>
      <w:pPr>
        <w:spacing w:before="80" w:after="80"/>
      </w:pPr>
      <w:r>
        <w:rPr>
          <w:rFonts w:ascii="Calibri" w:hAnsi="Calibri"/>
          <w:b w:val="0"/>
          <w:i/>
          <w:color w:val="5D6975"/>
          <w:sz w:val="17"/>
        </w:rPr>
        <w:t>All reported values in this report are generated from the machine-readable audit output. No model predictions were exposed to the adjudicator packet.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D6975"/>
        <w:sz w:val="17"/>
      </w:rPr>
      <w:t xml:space="preserve">Page </w:t>
      <w:fldChar w:fldCharType="begin"/>
      <w:instrText xml:space="preserve"> PAGE </w:instrText>
      <w:fldChar w:fldCharType="end"/>
    </w:r>
    <w:r>
      <w:rPr>
        <w:rFonts w:ascii="Calibri" w:hAnsi="Calibri"/>
        <w:b w:val="0"/>
        <w:i w:val="0"/>
        <w:color w:val="5D6975"/>
        <w:sz w:val="17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 w:val="0"/>
        <w:i w:val="0"/>
        <w:color w:val="5D6975"/>
        <w:sz w:val="17"/>
      </w:rPr>
      <w:t>Feedback-lifecycle-audit | Held-out TEST verification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