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2E74B5"/>
          <w:sz w:val="20"/>
        </w:rPr>
        <w:t>VERIFIED RESULTS REPORT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6"/>
        </w:rPr>
        <w:t>RevGround Held-out TEST-197 / TEST-168</w:t>
      </w:r>
    </w:p>
    <w:p>
      <w:pPr>
        <w:spacing w:after="280"/>
      </w:pPr>
      <w:r>
        <w:rPr>
          <w:rFonts w:ascii="Calibri" w:hAnsi="Calibri"/>
          <w:b w:val="0"/>
          <w:i w:val="0"/>
          <w:color w:val="5D6975"/>
          <w:sz w:val="26"/>
        </w:rPr>
        <w:t>Human reliability, adjudicated lifecycle prevalence, and B/C evaluator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Value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Verified; all reported TEST-set quantities recomputed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Audit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29 September 2026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Source partition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197 transitions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Analytic cohort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168 frozen claim-bearing packets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Provider calls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 during verification</w:t>
            </w:r>
          </w:p>
        </w:tc>
      </w:tr>
    </w:tbl>
    <w:p/>
    <w:p>
      <w:pPr>
        <w:spacing w:before="120" w:after="160"/>
        <w:ind w:left="160" w:right="160"/>
        <w:shd w:fill="F4F6F9"/>
        <w:pBdr>
          <w:top w:val="single" w:sz="6" w:space="5" w:color="C8CDD3"/>
          <w:left w:val="single" w:sz="6" w:space="5" w:color="C8CDD3"/>
          <w:bottom w:val="single" w:sz="6" w:space="5" w:color="C8CDD3"/>
          <w:right w:val="single" w:sz="6" w:space="5" w:color="C8CDD3"/>
        </w:pBdr>
      </w:pPr>
      <w:r>
        <w:rPr>
          <w:rFonts w:ascii="Calibri" w:hAnsi="Calibri"/>
          <w:b/>
          <w:i w:val="0"/>
          <w:color w:val="2F6B45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B2545"/>
          <w:sz w:val="22"/>
        </w:rPr>
        <w:t>No false quantitative TEST-set result was detected. The model-specific paired effects are small and point in opposite directions; the supported conclusion is no consistent directional advantage, not statistical equivalence.</w:t>
      </w:r>
    </w:p>
    <w:p>
      <w:pPr>
        <w:pStyle w:val="Heading1"/>
        <w:keepNext/>
      </w:pPr>
      <w:r>
        <w:t>1. Cohort and provenance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report uses TEST-197 for the frozen source partition and TEST-168 for the final claim-bearing analytic cohort. Keeping these names distinct avoids implying that all 197 source transitions received human labels or model decisions.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100"/>
        <w:gridCol w:w="51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Count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Boundary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Source TEST partition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Frozen test transitions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Confirmed 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Nine objective language exclusions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Stage-A calls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 historical Batch 1 + 140 Batch 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Accepted hints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Twenty preserved Stage-A failures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analytic cohort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168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problems, 49 trajectories, 42 participants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Locked state replays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252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S_t and S_t+1 for 126 new packet cases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Source: frozen cohort profile, packet manifest, screening ledger, and integrity summary.</w:t>
      </w:r>
    </w:p>
    <w:p>
      <w:r>
        <w:br w:type="page"/>
      </w:r>
    </w:p>
    <w:p>
      <w:pPr>
        <w:pStyle w:val="Heading1"/>
        <w:keepNext/>
      </w:pPr>
      <w:r>
        <w:t>2. Human annotation reliability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900"/>
        <w:gridCol w:w="2200"/>
        <w:gridCol w:w="206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Field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Agreement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Raw agreement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Cohen kappa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Original validity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161/168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95.83%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0.2170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Target state at t+1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145/168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86.31%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0.7249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Lifecycle label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145/168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86.31%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0.7249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Instructional priority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144/168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85.71%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0.7117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Pre-adjudication A01/A02 agreement; kappa is unweighted.</w:t>
      </w:r>
    </w:p>
    <w:p>
      <w:r>
        <w:rPr>
          <w:rFonts w:ascii="Calibri" w:hAnsi="Calibri"/>
          <w:b w:val="0"/>
          <w:i w:val="0"/>
          <w:color w:val="000000"/>
          <w:sz w:val="22"/>
        </w:rPr>
        <w:t>All four core fields agreed jointly on 144/168 cases. The 24 unique disagreement cases comprise 23 lifecycle disagreements and one priority-only disagreement.</w:t>
      </w:r>
    </w:p>
    <w:p>
      <w:pPr>
        <w:pStyle w:val="Heading2"/>
        <w:keepNext/>
      </w:pPr>
      <w:r>
        <w:t>2.1 Final adjudicated gold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600"/>
        <w:gridCol w:w="49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Label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Count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Share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KEEP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59.52%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Claim remains active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RETIRE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38.69%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Supported claim resolved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RETRACT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1.79%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Original claim not supported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UNSURE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0.00%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Indeterminate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Among 165 hints supported at generation time, 65 were resolved by the next observed revision (39.39%).</w:t>
      </w:r>
    </w:p>
    <w:p>
      <w:pPr>
        <w:spacing w:before="120" w:after="160"/>
        <w:ind w:left="160" w:right="160"/>
        <w:shd w:fill="F4F6F9"/>
        <w:pBdr>
          <w:top w:val="single" w:sz="6" w:space="5" w:color="C8CDD3"/>
          <w:left w:val="single" w:sz="6" w:space="5" w:color="C8CDD3"/>
          <w:bottom w:val="single" w:sz="6" w:space="5" w:color="C8CDD3"/>
          <w:right w:val="single" w:sz="6" w:space="5" w:color="C8CDD3"/>
        </w:pBdr>
      </w:pPr>
      <w:r>
        <w:rPr>
          <w:rFonts w:ascii="Calibri" w:hAnsi="Calibri"/>
          <w:b/>
          <w:i w:val="0"/>
          <w:color w:val="2E74B5"/>
          <w:sz w:val="22"/>
        </w:rPr>
        <w:t xml:space="preserve">Adjudication freeze: </w:t>
      </w:r>
      <w:r>
        <w:rPr>
          <w:rFonts w:ascii="Calibri" w:hAnsi="Calibri"/>
          <w:b w:val="0"/>
          <w:i w:val="0"/>
          <w:color w:val="0B2545"/>
          <w:sz w:val="22"/>
        </w:rPr>
        <w:t>All 24 disagreement cases are present in the final JSON and JSONL exports, all required fields are populated, all evidence references are valid, and the blind packet remains unchanged.</w:t>
      </w:r>
    </w:p>
    <w:p>
      <w:r>
        <w:br w:type="page"/>
      </w:r>
    </w:p>
    <w:p>
      <w:pPr>
        <w:pStyle w:val="Heading1"/>
        <w:keepNext/>
      </w:pPr>
      <w:r>
        <w:t>3. Frozen primary matrix and predeclared recovery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primary matrix is complete: 4 frozen model-condition runs and 672 first attempts. Primary files were not overwritten by recovery.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850"/>
        <w:gridCol w:w="1500"/>
        <w:gridCol w:w="1700"/>
        <w:gridCol w:w="1350"/>
        <w:gridCol w:w="13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Model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429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Recovery calls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Accepted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Errors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 V4.1 Flash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 V4.1 Flash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Qwen3.8-27B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Qwen3.8-27B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Recovery policy: exactly one call per primary HTTP 429; 20 seconds between calls, 90 seconds after another 429; no retry or fallback; non-429 failures excluded.</w:t>
      </w:r>
    </w:p>
    <w:p>
      <w:pPr>
        <w:pStyle w:val="Heading1"/>
        <w:keepNext/>
      </w:pPr>
      <w:r>
        <w:t>4. Post-recovery model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20"/>
        <w:gridCol w:w="1100"/>
        <w:gridCol w:w="1100"/>
        <w:gridCol w:w="1300"/>
        <w:gridCol w:w="1600"/>
        <w:gridCol w:w="189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Model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Usable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Abstain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Correct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Accuracy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146/154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94.81%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127/132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96.21%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133/136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97.79%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132/137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96.35%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Decision accuracy is calculated on non-abstaining outputs under the frozen shared evaluator. Condition B is normalized as non-abstaining because it has no selective-decision field.</w:t>
      </w:r>
    </w:p>
    <w:p>
      <w:pPr>
        <w:pStyle w:val="Heading2"/>
        <w:keepNext/>
      </w:pPr>
      <w:r>
        <w:t>4.1 Safety-relevant lifecycle errors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0"/>
        <w:gridCol w:w="1450"/>
        <w:gridCol w:w="1450"/>
        <w:gridCol w:w="2200"/>
        <w:gridCol w:w="180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Model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Cond.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False KEEP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KEEP recall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Wrongful removal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RETRACT recall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1/68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87/100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6/100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3/3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DeepSeek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0/68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73/100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5/100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3/3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0/68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78/100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3/100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2/3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Qwen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1/68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76/100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4/100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2/3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Paired common-decision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200"/>
        <w:gridCol w:w="2100"/>
        <w:gridCol w:w="2100"/>
        <w:gridCol w:w="1610"/>
      </w:tblGrid>
      <w:tr>
        <w:trPr>
          <w:tblHeader w:val="true"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Model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Paired 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Condition 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Condition C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 - B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DeepSeek V4.1 Flash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117/124 (94.35%)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119/124 (95.97%)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+1.61 pp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Qwen3.8-27B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113/115 (98.26%)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111/115 (96.52%)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-1.74 pp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Descriptively aggregating the model-specific paired sets gives 239 model-case comparisons. B and C are each correct on 230/239 (96.23%). Both conditions are simultaneously correct on 228 comparisons.</w:t>
      </w:r>
    </w:p>
    <w:p>
      <w:r>
        <w:rPr>
          <w:rFonts w:ascii="Calibri" w:hAnsi="Calibri"/>
          <w:b w:val="0"/>
          <w:i w:val="0"/>
          <w:color w:val="000000"/>
          <w:sz w:val="22"/>
        </w:rPr>
        <w:t>Each condition produces one false KEEP and eight wrongful removals in the descriptive aggregate. Because model-specific paired subsets differ and cases are clustered, this is not a formal pooled estimator.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948214"/>
            <wp:docPr id="1" name="Picture 1" descr="Bar chart: Qwen Condition B accuracy 98.26 percent and Condition C accuracy 96.52 percent on 115 paired decis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paired_common_decision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5D6975"/>
          <w:sz w:val="18"/>
        </w:rPr>
        <w:t>Figure 1. Qwen paired common-decision accuracy. The paired subset contains 115 cases.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670735"/>
            <wp:docPr id="2" name="Picture 2" descr="Horizontal bar chart: DeepSeek C minus B accuracy is plus 1.61 percentage points; Qwen is minus 1.74 percentage poi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model_paired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5D6975"/>
          <w:sz w:val="18"/>
        </w:rPr>
        <w:t>Figure 2. Cross-model paired C-B effect. Positive values favor C; negative values favor B.</w:t>
      </w:r>
    </w:p>
    <w:p>
      <w:r>
        <w:br w:type="page"/>
      </w:r>
    </w:p>
    <w:p>
      <w:pPr>
        <w:pStyle w:val="Heading1"/>
        <w:keepNext/>
      </w:pPr>
      <w:r>
        <w:t>6. Interpretation and reporting boundary</w:t>
      </w:r>
    </w:p>
    <w:p>
      <w:pPr>
        <w:spacing w:before="120" w:after="160"/>
        <w:ind w:left="160" w:right="160"/>
        <w:shd w:fill="F4F6F9"/>
        <w:pBdr>
          <w:top w:val="single" w:sz="6" w:space="5" w:color="C8CDD3"/>
          <w:left w:val="single" w:sz="6" w:space="5" w:color="C8CDD3"/>
          <w:bottom w:val="single" w:sz="6" w:space="5" w:color="C8CDD3"/>
          <w:right w:val="single" w:sz="6" w:space="5" w:color="C8CDD3"/>
        </w:pBdr>
      </w:pPr>
      <w:r>
        <w:rPr>
          <w:rFonts w:ascii="Calibri" w:hAnsi="Calibri"/>
          <w:b/>
          <w:i w:val="0"/>
          <w:color w:val="2F6B45"/>
          <w:sz w:val="22"/>
        </w:rPr>
        <w:t xml:space="preserve">Supported conclusion: </w:t>
      </w:r>
      <w:r>
        <w:rPr>
          <w:rFonts w:ascii="Calibri" w:hAnsi="Calibri"/>
          <w:b w:val="0"/>
          <w:i w:val="0"/>
          <w:color w:val="0B2545"/>
          <w:sz w:val="22"/>
        </w:rPr>
        <w:t>On the natural held-out cohort, explicit lifecycle structuring does not yield a consistent accuracy advantage over the matched-evidence auditor. DeepSeek moves modestly toward C; Qwen moves modestly toward B.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paired point estimates are descriptive. No paired confidence interval, equivalence test, or null-hypothesis test is included, so the report does not claim statistical equivalence or proof of no effect.</w:t>
      </w:r>
    </w:p>
    <w:p>
      <w:r>
        <w:rPr>
          <w:rFonts w:ascii="Calibri" w:hAnsi="Calibri"/>
          <w:b w:val="0"/>
          <w:i w:val="0"/>
          <w:color w:val="000000"/>
          <w:sz w:val="22"/>
        </w:rPr>
        <w:t>Rare-label inference remains limited because the natural gold contains only three RETRACT and no UNSURE cases. Controlled Stress-20 results should remain in a separate diagnostic section and must not alter natural prevalence estimates.</w:t>
      </w:r>
    </w:p>
    <w:p>
      <w:r>
        <w:rPr>
          <w:rFonts w:ascii="Calibri" w:hAnsi="Calibri"/>
          <w:b w:val="0"/>
          <w:i w:val="0"/>
          <w:color w:val="000000"/>
          <w:sz w:val="22"/>
        </w:rPr>
        <w:t>Operational coverage and decision quality are distinct. Provider failures remain retained in the ledgers, while accepted explicit abstentions are excluded from decision-accuracy denominators under the frozen evaluator.</w:t>
      </w:r>
    </w:p>
    <w:p>
      <w:pPr>
        <w:pStyle w:val="Heading1"/>
        <w:keepNext/>
      </w:pPr>
      <w:r>
        <w:t>7. Reproducibility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Artifact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Repository path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Human exports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results/heldout_test_197/annotations_frozen_v1/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Blind adjudication packet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results/heldout_test_197/adjudication_24_blind_v1/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Final adjudication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results/heldout_test_197/adjudication_24_final_v1/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Primary and recovery ledgers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results/heldout_test_197/evaluations/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Machine-readable audit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results/heldout_test_197/analysis/verified_test_results.json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Recomputation script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scripts/audit_heldout_test197_results.py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D6975"/>
          <w:sz w:val="17"/>
        </w:rPr>
        <w:t>All reported values in this report are generated from the machine-readable audit output. No model predictions were exposed to the adjudicator packet.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975"/>
        <w:sz w:val="17"/>
      </w:rPr>
      <w:t xml:space="preserve">Page </w:t>
      <w:fldChar w:fldCharType="begin"/>
      <w:instrText xml:space="preserve"> PAGE </w:instrText>
      <w:fldChar w:fldCharType="end"/>
    </w:r>
    <w:r>
      <w:rPr>
        <w:rFonts w:ascii="Calibri" w:hAnsi="Calibri"/>
        <w:b w:val="0"/>
        <w:i w:val="0"/>
        <w:color w:val="5D697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D6975"/>
        <w:sz w:val="17"/>
      </w:rPr>
      <w:t>RevGround | Held-out TEST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