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五家公司跨行业财务对比分析结论</w:t>
      </w:r>
    </w:p>
    <w:p>
      <w:pPr>
        <w:jc w:val="center"/>
      </w:pPr>
      <w:r>
        <w:rPr>
          <w:rFonts w:ascii="楷体" w:hAnsi="楷体" w:eastAsia="楷体"/>
          <w:b w:val="0"/>
          <w:i/>
          <w:color w:val="808080"/>
          <w:sz w:val="24"/>
        </w:rPr>
        <w:t>——基于2024-2025年年度报告杜邦分析横向对比</w:t>
      </w:r>
    </w:p>
    <w:p/>
    <w:p>
      <w:pPr>
        <w:pStyle w:val="Heading1"/>
      </w:pPr>
      <w:r>
        <w:rPr>
          <w:rFonts w:ascii="黑体" w:hAnsi="黑体" w:eastAsia="黑体"/>
          <w:b/>
          <w:sz w:val="28"/>
        </w:rPr>
        <w:t>一、行业间财务结构差异分析</w:t>
      </w:r>
    </w:p>
    <w:p>
      <w:pPr>
        <w:pStyle w:val="Heading2"/>
      </w:pPr>
      <w:r>
        <w:rPr>
          <w:rFonts w:ascii="黑体" w:hAnsi="黑体" w:eastAsia="黑体"/>
          <w:b/>
          <w:sz w:val="24"/>
        </w:rPr>
        <w:t>1. 制造业（宁德时代）：ROE主要靠什么驱动？</w:t>
      </w:r>
    </w:p>
    <w:p>
      <w:pPr>
        <w:spacing w:line="360" w:lineRule="auto"/>
        <w:ind w:firstLine="432"/>
      </w:pPr>
      <w:r>
        <w:rPr>
          <w:rFonts w:ascii="宋体" w:hAnsi="宋体" w:eastAsia="宋体"/>
          <w:b w:val="0"/>
          <w:sz w:val="22"/>
        </w:rPr>
        <w:t>宁德时代2025年ROE为21.41%（杜邦计算），较上年提升0.85个百分点。杜邦拆解显示：净利率贡献+4.43 pct、总资产周转率贡献-1.39 pct、权益乘数贡献-2.18 pct。ROE主要靠净利率提升驱动（2025年净利率17.04%，同比提升3.02个百分点），而周转率（0.43次，同比下降）和杠杆（2.89倍，同比下降）均有拖累。</w:t>
        <w:br/>
        <w:br/>
        <w:t>制造业（尤其是新能源电池）的财务特征为：中等偏高的净利率（规模效应+技术壁垒）、较低的资产周转（重资产属性，产能建设周期长）、适度偏高的杠杆（前期资本开支大）。2025年营收增长17%、净利增长42%，呈现'量价齐升'的景气状态，但存货从598亿元飙升至945亿元（+58%），远超营收增速，需警惕产能扩张与下游需求匹配的失衡风险。</w:t>
      </w:r>
    </w:p>
    <w:p>
      <w:pPr>
        <w:pStyle w:val="Heading2"/>
      </w:pPr>
      <w:r>
        <w:rPr>
          <w:rFonts w:ascii="黑体" w:hAnsi="黑体" w:eastAsia="黑体"/>
          <w:b/>
          <w:sz w:val="24"/>
        </w:rPr>
        <w:t>2. 消费品（贵州茅台）：财务特征是什么？为什么ROE可以维持在较高水平？</w:t>
      </w:r>
    </w:p>
    <w:p>
      <w:pPr>
        <w:spacing w:line="360" w:lineRule="auto"/>
        <w:ind w:firstLine="432"/>
      </w:pPr>
      <w:r>
        <w:rPr>
          <w:rFonts w:ascii="宋体" w:hAnsi="宋体" w:eastAsia="宋体"/>
          <w:b w:val="0"/>
          <w:sz w:val="22"/>
        </w:rPr>
        <w:t>贵州茅台的财务特征极为鲜明：超高净利率（~50%）、低资产周转（~0.56次）、极低杠杆（~1.24倍，无有息负债）。</w:t>
        <w:br/>
        <w:br/>
        <w:t>ROE能够长期维持30%以上高位（2025年32.53%），核心驱动力是品牌溢价带来的超高净利率。即使资产周转速度较慢（白酒酿造周期长、存货以基酒为主）、财务杠杆极低（资产负债率仅16.42%，无有息负债），三者乘积仍远高于其他行业。这是典型的'高盈利质量、低财务风险'模式，盈利对规模扩张和债务融资的依赖度极低，ROE的稳定性主要来自定价权而非杠杆。</w:t>
        <w:br/>
        <w:br/>
        <w:t>但2025年三大因子全面走弱（净利率-1.25pct、周转率-1.00pct、杠杆-1.10pct），表明即使是顶级消费品龙头，在行业需求下行周期中也难以独善其身。</w:t>
      </w:r>
    </w:p>
    <w:p>
      <w:pPr>
        <w:pStyle w:val="Heading2"/>
      </w:pPr>
      <w:r>
        <w:rPr>
          <w:rFonts w:ascii="黑体" w:hAnsi="黑体" w:eastAsia="黑体"/>
          <w:b/>
          <w:sz w:val="24"/>
        </w:rPr>
        <w:t>3. 建筑业（中国建筑）：为什么毛利率低但ROE不一定低？</w:t>
      </w:r>
    </w:p>
    <w:p>
      <w:pPr>
        <w:spacing w:line="360" w:lineRule="auto"/>
        <w:ind w:firstLine="432"/>
      </w:pPr>
      <w:r>
        <w:rPr>
          <w:rFonts w:ascii="宋体" w:hAnsi="宋体" w:eastAsia="宋体"/>
          <w:b w:val="0"/>
          <w:sz w:val="22"/>
        </w:rPr>
        <w:t>中国建筑2025年毛利率仅约9.9%、净利率仅1.88%，但ROE仍达8.15%。核心原因在于极高的权益乘数（7.24倍）放大了低净利率的效应。</w:t>
        <w:br/>
        <w:br/>
        <w:t>建筑行业的财务逻辑是'低毛利、高杠杆驱动'：净利率仅~2%，但权益乘数高达7倍以上（资产负债率76.9%），高杠杆来源于大量应付账款、预收款等经营性负债及有息负债（有息负债总额9,302亿元）。这种'薄利多销+高杠杆'模式是建筑行业的典型特征，盈利对规模扩张和债务融资的依赖度极高。</w:t>
        <w:br/>
        <w:br/>
        <w:t>但2025年该模式面临挑战：应收账款激增31%远超营收降幅，Q4净利润同比暴跌86.3%，表明高杠杆模式的可持续性正在受到回款质量恶化的冲击。</w:t>
      </w:r>
    </w:p>
    <w:p>
      <w:pPr>
        <w:pStyle w:val="Heading2"/>
      </w:pPr>
      <w:r>
        <w:rPr>
          <w:rFonts w:ascii="黑体" w:hAnsi="黑体" w:eastAsia="黑体"/>
          <w:b/>
          <w:sz w:val="24"/>
        </w:rPr>
        <w:t>4. 科技业（中兴通讯）：研发投入如何影响利润结构？</w:t>
      </w:r>
    </w:p>
    <w:p>
      <w:pPr>
        <w:spacing w:line="360" w:lineRule="auto"/>
        <w:ind w:firstLine="432"/>
      </w:pPr>
      <w:r>
        <w:rPr>
          <w:rFonts w:ascii="宋体" w:hAnsi="宋体" w:eastAsia="宋体"/>
          <w:b w:val="0"/>
          <w:sz w:val="22"/>
        </w:rPr>
        <w:t>中兴通讯2025年研发投入占营收比重18.28%，费用化研发费用率16.99%，高额研发投入直接侵蚀利润。</w:t>
        <w:br/>
        <w:br/>
        <w:t>2025年营收增长10.39%，但归母净利润下降33.32%，呈现典型的'增收不增利'现象。杜邦拆解显示净利率从6.95%骤降至4.20%，是ROE下降4.12 pct的核心原因（贡献-4.58 pct）。净利率下滑的背后，是政企业务毛利率从15.33%骤降至10.97%（下降4.36个百分点），以及高额研发费用对利润的持续挤压。</w:t>
        <w:br/>
        <w:br/>
        <w:t>科技行业的财务特征是：高研发投入维持技术竞争力（5G、AI、芯片等），但短期利润承压。研发投入的资本化/费用化判断、技术迭代带来的存货跌价风险、以及市场竞争加剧导致的毛利率下滑，是科技业利润结构的三大核心变量。</w:t>
      </w:r>
    </w:p>
    <w:p>
      <w:pPr>
        <w:pStyle w:val="Heading2"/>
      </w:pPr>
      <w:r>
        <w:rPr>
          <w:rFonts w:ascii="黑体" w:hAnsi="黑体" w:eastAsia="黑体"/>
          <w:b/>
          <w:sz w:val="24"/>
        </w:rPr>
        <w:t>5. 房地产业（万科）：亏损企业的财务分析有什么特殊之处？</w:t>
      </w:r>
    </w:p>
    <w:p>
      <w:pPr>
        <w:spacing w:line="360" w:lineRule="auto"/>
        <w:ind w:firstLine="432"/>
      </w:pPr>
      <w:r>
        <w:rPr>
          <w:rFonts w:ascii="宋体" w:hAnsi="宋体" w:eastAsia="宋体"/>
          <w:b w:val="0"/>
          <w:sz w:val="22"/>
        </w:rPr>
        <w:t>万科2025年净利率为-37.94%，ROE为-75.75%（杜邦计算），连续两年巨亏。亏损企业的杜邦分析存在三个特殊之处：</w:t>
        <w:br/>
        <w:br/>
        <w:t>（1）因子贡献方向与盈利企业相反：周转率下降（0.27→0.23次）反而产生'正向'贡献（+9.17 pct），因为负的净利率乘以负的周转率变动等于正值；权益乘数上升（6.35→8.73）反而加大亏损幅度（-20.68 pct），因为负的净利率乘以正的杠杆变动等于负值。这种'反向逻辑'是亏损企业杜邦分析的核心特征。</w:t>
        <w:br/>
        <w:br/>
        <w:t>（2）权益乘数'被动飙升'：权益乘数从6.35飙升至8.73，并非主动加杠杆，而是归母净资产骤降42%（从2,027亿降至1,169亿）导致的被动结果。净资产侵蚀速度远快于资产缩水速度，是房企危机的典型财务表现。</w:t>
        <w:br/>
        <w:br/>
        <w:t>（3）净负债率比资产负债率更能反映真实偿债压力：资产负债率76.89%看似可控，但净负债率（有息负债-货币资金）/归母净资产已高达123.48%，突破100%警戒线，表明公司实际已处于'资不抵债'边缘。</w:t>
        <w:br/>
        <w:br/>
        <w:t>因此，对亏损企业的财务分析，首要关注点是持续经营假设是否仍然适用，其次是资产减值充分性和表外负债核查。</w:t>
      </w:r>
    </w:p>
    <w:p>
      <w:r>
        <w:br w:type="page"/>
      </w:r>
    </w:p>
    <w:p>
      <w:pPr>
        <w:pStyle w:val="Heading1"/>
      </w:pPr>
      <w:r>
        <w:rPr>
          <w:rFonts w:ascii="黑体" w:hAnsi="黑体" w:eastAsia="黑体"/>
          <w:b/>
          <w:sz w:val="28"/>
        </w:rPr>
        <w:t>二、共性风险与个性问题识别</w:t>
      </w:r>
    </w:p>
    <w:p>
      <w:pPr>
        <w:pStyle w:val="Heading2"/>
      </w:pPr>
      <w:r>
        <w:rPr>
          <w:rFonts w:ascii="黑体" w:hAnsi="黑体" w:eastAsia="黑体"/>
          <w:b/>
          <w:sz w:val="24"/>
        </w:rPr>
        <w:t>（一）共性风险：跨行业的普遍性挑战</w:t>
      </w:r>
    </w:p>
    <w:p>
      <w:pPr>
        <w:pStyle w:val="Heading3"/>
      </w:pPr>
      <w:r>
        <w:rPr>
          <w:rFonts w:ascii="黑体" w:hAnsi="黑体" w:eastAsia="黑体"/>
          <w:b/>
          <w:sz w:val="22"/>
        </w:rPr>
        <w:t>共性风险1：2025年营收增速普遍放缓</w:t>
      </w:r>
    </w:p>
    <w:p>
      <w:pPr>
        <w:spacing w:line="360" w:lineRule="auto"/>
        <w:ind w:firstLine="432"/>
      </w:pPr>
      <w:r>
        <w:rPr>
          <w:rFonts w:ascii="宋体" w:hAnsi="宋体" w:eastAsia="宋体"/>
          <w:b w:val="0"/>
          <w:sz w:val="22"/>
        </w:rPr>
        <w:t>5家公司中，仅宁德时代（+17.04%）和中兴通讯（+10.39%）实现营收增长，贵州茅台（-1.21%）、中国建筑（-4.81%）、万科（-31.98%）均出现下滑。这一分布清晰地反映了2025年宏观经济下行压力：</w:t>
        <w:br/>
        <w:br/>
        <w:t>• 消费、基建、地产等传统行业龙头均面临需求收缩，营收增长乏力甚至负增长；</w:t>
        <w:br/>
        <w:t>• 新能源（宁德时代）和科技（中兴通讯）赛道仍保持增长动能，但增速较前期已明显放缓；</w:t>
        <w:br/>
        <w:t>• 房地产行业下行幅度最大（-32%），对上下游产业链（建筑、建材、家电）的拖累效应显著。</w:t>
      </w:r>
    </w:p>
    <w:p>
      <w:pPr>
        <w:pStyle w:val="Heading3"/>
      </w:pPr>
      <w:r>
        <w:rPr>
          <w:rFonts w:ascii="黑体" w:hAnsi="黑体" w:eastAsia="黑体"/>
          <w:b/>
          <w:sz w:val="22"/>
        </w:rPr>
        <w:t>共性风险2：经营现金流与净利润背离，盈利质量普遍恶化</w:t>
      </w:r>
    </w:p>
    <w:p>
      <w:pPr>
        <w:spacing w:line="360" w:lineRule="auto"/>
        <w:ind w:firstLine="432"/>
      </w:pPr>
      <w:r>
        <w:rPr>
          <w:rFonts w:ascii="宋体" w:hAnsi="宋体" w:eastAsia="宋体"/>
          <w:b w:val="0"/>
          <w:sz w:val="22"/>
        </w:rPr>
        <w:t>4家披露经营现金流数据中，3家现金流/净利润比值下降：</w:t>
        <w:br/>
        <w:br/>
        <w:t>• 贵州茅台：1.07 → 0.75（下降29.9%），现金流降幅（-33.46%）远超利润降幅（-4.53%）；</w:t>
        <w:br/>
        <w:t>• 中兴通讯：1.36 → 0.70（下降48.5%），现金流骤降65.86%；</w:t>
        <w:br/>
        <w:t>• 万科：由正转负（38亿 → -9.88亿），销售回款能力崩溃；</w:t>
        <w:br/>
        <w:t>• 中国建筑：0.34 → 0.53（有所改善，但绝对值仍低于1）。</w:t>
        <w:br/>
        <w:br/>
        <w:t>这一共性表明：2025年各行业的利润含金量普遍下降，回款周期拉长、资金占用增加是跨行业共性问题。宏观经济下行周期中，企业为维持收入规模普遍放宽信用政策、垫资经营，导致'账面利润、现金失血'的困境。</w:t>
      </w:r>
    </w:p>
    <w:p>
      <w:pPr>
        <w:pStyle w:val="Heading3"/>
      </w:pPr>
      <w:r>
        <w:rPr>
          <w:rFonts w:ascii="黑体" w:hAnsi="黑体" w:eastAsia="黑体"/>
          <w:b/>
          <w:sz w:val="22"/>
        </w:rPr>
        <w:t>共性风险3：资产减值/信用风险凸显</w:t>
      </w:r>
    </w:p>
    <w:p>
      <w:pPr>
        <w:spacing w:line="360" w:lineRule="auto"/>
        <w:ind w:firstLine="432"/>
      </w:pPr>
      <w:r>
        <w:rPr>
          <w:rFonts w:ascii="宋体" w:hAnsi="宋体" w:eastAsia="宋体"/>
          <w:b w:val="0"/>
          <w:sz w:val="22"/>
        </w:rPr>
        <w:t>5家公司均出现资产端风险信号：</w:t>
        <w:br/>
        <w:br/>
        <w:t>• 万科：存货从5,190亿降至3,737亿（-28%），但主要是减值计提而非销售去化，存货跌价准备充分性存疑；</w:t>
        <w:br/>
        <w:t>• 中国建筑：应收账款激增31%（+984亿），坏账准备计提是否充分存疑；</w:t>
        <w:br/>
        <w:t>• 中兴通讯：存货增长13.96%超过营收增速，技术迭代淘汰风险加大；</w:t>
        <w:br/>
        <w:t>• 宁德时代：存货飙升58%（+347亿），碳酸锂价格波动带来减值压力；</w:t>
        <w:br/>
        <w:t>• 贵州茅台：存货增长13%（系列酒为主），系列酒毛利率下降3.76pct，滞销风险上升。</w:t>
        <w:br/>
        <w:br/>
        <w:t>经济下行周期中，资产质量恶化是跨行业共性挑战，审计需重点关注各类资产减值准备的计提依据和测算过程。</w:t>
      </w:r>
    </w:p>
    <w:p>
      <w:pPr>
        <w:pStyle w:val="Heading2"/>
      </w:pPr>
      <w:r>
        <w:rPr>
          <w:rFonts w:ascii="黑体" w:hAnsi="黑体" w:eastAsia="黑体"/>
          <w:b/>
          <w:sz w:val="24"/>
        </w:rPr>
        <w:t>（二）个性问题：行业特有的风险信号</w:t>
      </w:r>
    </w:p>
    <w:p>
      <w:pPr>
        <w:pStyle w:val="Heading3"/>
      </w:pPr>
      <w:r>
        <w:rPr>
          <w:rFonts w:ascii="黑体" w:hAnsi="黑体" w:eastAsia="黑体"/>
          <w:b/>
          <w:sz w:val="22"/>
        </w:rPr>
        <w:t>个性问题1：贵州茅台—渠道调整与系列酒去库存</w:t>
      </w:r>
    </w:p>
    <w:p>
      <w:pPr>
        <w:spacing w:line="360" w:lineRule="auto"/>
        <w:ind w:firstLine="432"/>
      </w:pPr>
      <w:r>
        <w:rPr>
          <w:rFonts w:ascii="宋体" w:hAnsi="宋体" w:eastAsia="宋体"/>
          <w:b w:val="0"/>
          <w:sz w:val="22"/>
        </w:rPr>
        <w:t>白酒行业2025年整体面临渠道库存高企、价格倒挂问题。茅台虽品牌力最强，但系列酒收入下降9.76%、毛利率降3.76pct，存货增长13%，反映系列酒渠道调整压力。这是白酒行业特有的'去库存'周期风险，与宏观经济消费疲软直接相关。</w:t>
      </w:r>
    </w:p>
    <w:p>
      <w:pPr>
        <w:pStyle w:val="Heading3"/>
      </w:pPr>
      <w:r>
        <w:rPr>
          <w:rFonts w:ascii="黑体" w:hAnsi="黑体" w:eastAsia="黑体"/>
          <w:b/>
          <w:sz w:val="22"/>
        </w:rPr>
        <w:t>个性问题2：中国建筑—Q4利润调节与垫资施工风险</w:t>
      </w:r>
    </w:p>
    <w:p>
      <w:pPr>
        <w:spacing w:line="360" w:lineRule="auto"/>
        <w:ind w:firstLine="432"/>
      </w:pPr>
      <w:r>
        <w:rPr>
          <w:rFonts w:ascii="宋体" w:hAnsi="宋体" w:eastAsia="宋体"/>
          <w:b w:val="0"/>
          <w:sz w:val="22"/>
        </w:rPr>
        <w:t>建筑行业特有的'竣工结算'季节性导致Q4利润波动大，但2025年Q4净利润同比暴跌86.3%（64.84亿→8.87亿），远超正常季节性波动，存在年末集中计提减值或费用跨期调节的审计风险。此外，建筑业特有的垫资施工模式导致经营现金流长期低于净利润，PPP项目回款周期长、地方政府财政压力大，是建筑业独有的系统性风险。</w:t>
      </w:r>
    </w:p>
    <w:p>
      <w:pPr>
        <w:pStyle w:val="Heading3"/>
      </w:pPr>
      <w:r>
        <w:rPr>
          <w:rFonts w:ascii="黑体" w:hAnsi="黑体" w:eastAsia="黑体"/>
          <w:b/>
          <w:sz w:val="22"/>
        </w:rPr>
        <w:t>个性问题3：万科—净负债率突破100%与持续经营假设</w:t>
      </w:r>
    </w:p>
    <w:p>
      <w:pPr>
        <w:spacing w:line="360" w:lineRule="auto"/>
        <w:ind w:firstLine="432"/>
      </w:pPr>
      <w:r>
        <w:rPr>
          <w:rFonts w:ascii="宋体" w:hAnsi="宋体" w:eastAsia="宋体"/>
          <w:b w:val="0"/>
          <w:sz w:val="22"/>
        </w:rPr>
        <w:t>房地产行业下行周期中，高杠杆+存货减值的双重压力是行业特有困境。万科净负债率123.48%突破警戒线，归母净资产骤降42%，持续经营假设面临挑战。房地产行业特有的表外负债（合作开发、明股实债、对外担保）和预售监管资金释放合规性，是审计独有的核查重点。</w:t>
      </w:r>
    </w:p>
    <w:p>
      <w:pPr>
        <w:pStyle w:val="Heading3"/>
      </w:pPr>
      <w:r>
        <w:rPr>
          <w:rFonts w:ascii="黑体" w:hAnsi="黑体" w:eastAsia="黑体"/>
          <w:b/>
          <w:sz w:val="22"/>
        </w:rPr>
        <w:t>个性问题4：中兴通讯—政企业务毛利率异常下滑与技术迭代</w:t>
      </w:r>
    </w:p>
    <w:p>
      <w:pPr>
        <w:spacing w:line="360" w:lineRule="auto"/>
        <w:ind w:firstLine="432"/>
      </w:pPr>
      <w:r>
        <w:rPr>
          <w:rFonts w:ascii="宋体" w:hAnsi="宋体" w:eastAsia="宋体"/>
          <w:b w:val="0"/>
          <w:sz w:val="22"/>
        </w:rPr>
        <w:t>通信设备行业特有的市场竞争与技术迭代风险：政企业务毛利率从15.33%骤降至10.97%，降幅远超运营商网络业务（50.90%→48.09%），反映ICT政企市场竞争白热化（低价竞标）、项目成本超支风险。5G建设高峰后需求放缓的行业周期特征，以及研发投入资本化/费用化的会计判断，是科技业独有的审计关注点。</w:t>
      </w:r>
    </w:p>
    <w:p>
      <w:pPr>
        <w:pStyle w:val="Heading3"/>
      </w:pPr>
      <w:r>
        <w:rPr>
          <w:rFonts w:ascii="黑体" w:hAnsi="黑体" w:eastAsia="黑体"/>
          <w:b/>
          <w:sz w:val="22"/>
        </w:rPr>
        <w:t>个性问题5：宁德时代—存货飙升与原材料价格波动</w:t>
      </w:r>
    </w:p>
    <w:p>
      <w:pPr>
        <w:spacing w:line="360" w:lineRule="auto"/>
        <w:ind w:firstLine="432"/>
      </w:pPr>
      <w:r>
        <w:rPr>
          <w:rFonts w:ascii="宋体" w:hAnsi="宋体" w:eastAsia="宋体"/>
          <w:b w:val="0"/>
          <w:sz w:val="22"/>
        </w:rPr>
        <w:t>新能源制造业特有的产能扩张与原材料价格波动：存货从598亿增至945亿（+58%），远超营收增速（+17%），表明库存去化压力加大。碳酸锂等原材料价格波动直接影响存货跌价准备和电池材料回收业务毛利率（从10.51%跃升至27.27%）。产能扩张与下游需求（电动车、储能）匹配的失衡风险，是新能源制造业独有的周期性挑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