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 w:eastAsia="黑体"/>
          <w:b/>
          <w:sz w:val="32"/>
        </w:rPr>
        <w:t>万科A（000002）财务分析结论</w:t>
      </w:r>
    </w:p>
    <w:p>
      <w:pPr>
        <w:jc w:val="center"/>
      </w:pPr>
      <w:r>
        <w:rPr>
          <w:rFonts w:ascii="楷体" w:hAnsi="楷体" w:eastAsia="楷体"/>
          <w:b w:val="0"/>
          <w:i/>
          <w:color w:val="808080"/>
          <w:sz w:val="24"/>
        </w:rPr>
        <w:t>——基于2024-2025年年度报告杜邦分析</w:t>
      </w:r>
    </w:p>
    <w:p/>
    <w:p>
      <w:pPr>
        <w:pStyle w:val="Heading1"/>
      </w:pPr>
      <w:r>
        <w:rPr>
          <w:rFonts w:ascii="黑体" w:hAnsi="黑体" w:eastAsia="黑体"/>
          <w:b/>
          <w:sz w:val="28"/>
        </w:rPr>
        <w:t>一、财务特征提炼</w:t>
      </w:r>
    </w:p>
    <w:p>
      <w:pPr>
        <w:spacing w:line="360" w:lineRule="auto"/>
        <w:ind w:firstLine="432"/>
      </w:pPr>
      <w:r>
        <w:rPr>
          <w:rFonts w:ascii="宋体" w:hAnsi="宋体" w:eastAsia="宋体"/>
          <w:b w:val="0"/>
          <w:sz w:val="22"/>
        </w:rPr>
        <w:t>万科A2025年ROE为-75.75%（杜邦计算），较上年下降51.34个百分点。杜邦拆解显示：净利率贡献-39.82 pct、总资产周转率贡献+9.17 pct、权益乘数贡献-20.68 pct，净利率深度恶化是ROE暴跌的核心原因。公司呈现'深度亏损、资产缩水、高杠杆'的危机财务特征，连续两年巨亏且2025年亏损扩大至885.56亿元，归母净资产较年初骤降42%，净负债率突破100%警戒线，需关注持续经营能力及资产减值充分性。</w:t>
      </w:r>
    </w:p>
    <w:p/>
    <w:p>
      <w:pPr>
        <w:pStyle w:val="Heading1"/>
      </w:pPr>
      <w:r>
        <w:rPr>
          <w:rFonts w:ascii="黑体" w:hAnsi="黑体" w:eastAsia="黑体"/>
          <w:b/>
          <w:sz w:val="28"/>
        </w:rPr>
        <w:t>二、审计关注点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1. 归母净利润连续巨亏且亏损幅度扩大，资产减值充分性存疑</w:t>
      </w:r>
    </w:p>
    <w:p>
      <w:pPr>
        <w:spacing w:line="360" w:lineRule="auto"/>
        <w:ind w:firstLine="432"/>
      </w:pPr>
      <w:r>
        <w:rPr>
          <w:rFonts w:ascii="宋体" w:hAnsi="宋体" w:eastAsia="宋体"/>
          <w:b w:val="0"/>
          <w:sz w:val="22"/>
        </w:rPr>
        <w:t>2024年归母净利润亏损494.78亿元，2025年亏损885.56亿元，亏损幅度扩大79.0%。2025年Q4单季亏损605.41亿元，占全年亏损额的68.4%，存在年末集中计提大额减值迹象。需重点核查存货跌价准备（存货从5,190亿元降至3,737亿元，降幅28%）、商誉减值、长期股权投资减值及信用减值损失的计提依据和测算过程，判断是否存在前期计提不充分、2025年集中'洗大澡'的情形。</w:t>
      </w:r>
    </w:p>
    <w:p/>
    <w:p>
      <w:pPr>
        <w:pStyle w:val="Heading2"/>
      </w:pPr>
      <w:r>
        <w:rPr>
          <w:rFonts w:ascii="黑体" w:hAnsi="黑体" w:eastAsia="黑体"/>
          <w:b/>
          <w:sz w:val="24"/>
        </w:rPr>
        <w:t>2. 经营现金流由正转负，销售回款能力急剧恶化</w:t>
      </w:r>
    </w:p>
    <w:p>
      <w:pPr>
        <w:spacing w:line="360" w:lineRule="auto"/>
        <w:ind w:firstLine="432"/>
      </w:pPr>
      <w:r>
        <w:rPr>
          <w:rFonts w:ascii="宋体" w:hAnsi="宋体" w:eastAsia="宋体"/>
          <w:b w:val="0"/>
          <w:sz w:val="22"/>
        </w:rPr>
        <w:t>2024年经营活动现金流净额38亿元，2025年转为-9.88亿元，由净流入转为净流出。在营业收入同比下降32.0%的背景下，现金流进一步恶化，表明销售回款能力急剧下滑。合同销售额从2,460亿元骤降至1,341亿元（-45.5%），去化压力巨大。需关注是否存在为维持现金流而进行的异常资产处置、关联方资金往来，以及预售监管资金释放是否合规。</w:t>
      </w:r>
    </w:p>
    <w:p/>
    <w:p>
      <w:pPr>
        <w:pStyle w:val="Heading2"/>
      </w:pPr>
      <w:r>
        <w:rPr>
          <w:rFonts w:ascii="黑体" w:hAnsi="黑体" w:eastAsia="黑体"/>
          <w:b/>
          <w:sz w:val="24"/>
        </w:rPr>
        <w:t>3. 净负债率突破100%警戒线，持续经营假设面临挑战</w:t>
      </w:r>
    </w:p>
    <w:p>
      <w:pPr>
        <w:spacing w:line="360" w:lineRule="auto"/>
        <w:ind w:firstLine="432"/>
      </w:pPr>
      <w:r>
        <w:rPr>
          <w:rFonts w:ascii="宋体" w:hAnsi="宋体" w:eastAsia="宋体"/>
          <w:b w:val="0"/>
          <w:sz w:val="22"/>
        </w:rPr>
        <w:t>资产负债率从73.66%升至76.89%，净负债率从80.6%飙升至123.48%，已突破100%警戒线。有息负债3,584.8亿元虽略有下降，但归母净资产从2,026.66亿元骤降至1,169.05亿元（降幅42.3%），净资产侵蚀严重。短期借款从159.73亿元增至263.31亿元（+64.8%），长期偿债压力向短期转移。需关注债务违约风险、持续经营假设是否仍然适用，以及是否存在表外负债、或有负债（如对外担保、未决诉讼）未充分披露的情形。</w:t>
      </w:r>
    </w:p>
    <w:p/>
    <w:p>
      <w:pPr>
        <w:pStyle w:val="Heading1"/>
      </w:pPr>
      <w:r>
        <w:rPr>
          <w:rFonts w:ascii="黑体" w:hAnsi="黑体" w:eastAsia="黑体"/>
          <w:b/>
          <w:sz w:val="28"/>
        </w:rPr>
        <w:t>三、关键数据速览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8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2160"/>
            <w:shd w:fill="1F4E78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2024年</w:t>
            </w:r>
          </w:p>
        </w:tc>
        <w:tc>
          <w:tcPr>
            <w:tcW w:type="dxa" w:w="2160"/>
            <w:shd w:fill="1F4E78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2025年</w:t>
            </w:r>
          </w:p>
        </w:tc>
        <w:tc>
          <w:tcPr>
            <w:tcW w:type="dxa" w:w="2160"/>
            <w:shd w:fill="1F4E78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变动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营业收入（亿元）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3,431.76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2,334.33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-31.98%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归母净利润（亿元）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-494.78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-885.56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-79.0%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ROE（杜邦计算）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-24.41%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-75.75%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-51.34 pct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经营现金流净额（亿元）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38.00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-9.88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由正转负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资产负债率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73.66%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76.89%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+3.23 pct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净负债率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80.60%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123.48%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+42.88 pct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归母净资产（亿元）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2,026.66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1,169.05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-42.32%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合同销售额（亿元）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2,460.20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1,340.60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-45.51%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