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中兴通讯（000063）财务分析结论</w:t>
      </w:r>
    </w:p>
    <w:p>
      <w:pPr>
        <w:jc w:val="center"/>
      </w:pPr>
      <w:r>
        <w:rPr>
          <w:rFonts w:ascii="楷体" w:hAnsi="楷体" w:eastAsia="楷体"/>
          <w:b w:val="0"/>
          <w:i/>
          <w:color w:val="808080"/>
          <w:sz w:val="24"/>
        </w:rPr>
        <w:t>——基于2024-2025年年度报告杜邦分析</w:t>
      </w:r>
    </w:p>
    <w:p/>
    <w:p>
      <w:pPr>
        <w:pStyle w:val="Heading1"/>
      </w:pPr>
      <w:r>
        <w:rPr>
          <w:rFonts w:ascii="黑体" w:hAnsi="黑体" w:eastAsia="黑体"/>
          <w:b/>
          <w:sz w:val="28"/>
        </w:rPr>
        <w:t>一、财务特征提炼</w:t>
      </w:r>
    </w:p>
    <w:p>
      <w:pPr>
        <w:spacing w:line="360" w:lineRule="auto"/>
        <w:ind w:firstLine="432"/>
      </w:pPr>
      <w:r>
        <w:rPr>
          <w:rFonts w:ascii="宋体" w:hAnsi="宋体" w:eastAsia="宋体"/>
          <w:b w:val="0"/>
          <w:sz w:val="22"/>
        </w:rPr>
        <w:t>中兴通讯2025年ROE为7.45%（杜邦计算），较上年下降4.12个百分点。杜邦拆解显示：净利率贡献-4.58 pct、总资产周转率贡献+0.36 pct、权益乘数贡献+0.10 pct，净利率大幅下滑是ROE走弱的核心原因。公司呈现'中等净利率、中等周转、适度杠杆'的通信设备行业财务特征，2025年营收增长10.4%但归母净利润下降33.3%，'增收不增利'现象突出，需关注政企业务毛利率骤降及经营现金流大幅萎缩对盈利质量的侵蚀。</w:t>
      </w:r>
    </w:p>
    <w:p/>
    <w:p>
      <w:pPr>
        <w:pStyle w:val="Heading1"/>
      </w:pPr>
      <w:r>
        <w:rPr>
          <w:rFonts w:ascii="黑体" w:hAnsi="黑体" w:eastAsia="黑体"/>
          <w:b/>
          <w:sz w:val="28"/>
        </w:rPr>
        <w:t>二、审计关注点</w:t>
      </w:r>
    </w:p>
    <w:p>
      <w:pPr>
        <w:pStyle w:val="Heading2"/>
      </w:pPr>
      <w:r>
        <w:rPr>
          <w:rFonts w:ascii="黑体" w:hAnsi="黑体" w:eastAsia="黑体"/>
          <w:b/>
          <w:sz w:val="24"/>
        </w:rPr>
        <w:t>1. 经营现金流与净利润大幅背离，盈利质量显著恶化</w:t>
      </w:r>
    </w:p>
    <w:p>
      <w:pPr>
        <w:spacing w:line="360" w:lineRule="auto"/>
        <w:ind w:firstLine="432"/>
      </w:pPr>
      <w:r>
        <w:rPr>
          <w:rFonts w:ascii="宋体" w:hAnsi="宋体" w:eastAsia="宋体"/>
          <w:b w:val="0"/>
          <w:sz w:val="22"/>
        </w:rPr>
        <w:t>2025年经营活动现金流净额39.19亿元，同比大幅下降65.86%，而归母净利润同比下降33.32%。现金流降幅（-65.86%）远超利润降幅（-33.32%），表明利润含金量急剧下降。需核查是否存在为维持收入增长而放宽信用政策、延长回款周期，或是否存在大额预付/存货占用资金的情形，以及经营现金流下降的真实原因（如客户回款延迟、供应商付款提前等）。</w:t>
      </w:r>
    </w:p>
    <w:p/>
    <w:p>
      <w:pPr>
        <w:pStyle w:val="Heading2"/>
      </w:pPr>
      <w:r>
        <w:rPr>
          <w:rFonts w:ascii="黑体" w:hAnsi="黑体" w:eastAsia="黑体"/>
          <w:b/>
          <w:sz w:val="24"/>
        </w:rPr>
        <w:t>2. 政企业务毛利率异常大幅下滑，盈利能力存疑</w:t>
      </w:r>
    </w:p>
    <w:p>
      <w:pPr>
        <w:spacing w:line="360" w:lineRule="auto"/>
        <w:ind w:firstLine="432"/>
      </w:pPr>
      <w:r>
        <w:rPr>
          <w:rFonts w:ascii="宋体" w:hAnsi="宋体" w:eastAsia="宋体"/>
          <w:b w:val="0"/>
          <w:sz w:val="22"/>
        </w:rPr>
        <w:t>2025年政企业务毛利率从15.33%骤降至10.97%，下降4.36个百分点，而同期运营商网络毛利率仅下降2.81个百分点（从50.90%降至48.09%），消费者业务毛利率下降4.35个百分点。政企业务毛利率降幅异常，需关注是否存在为抢占市场份额而进行低价竞标、项目成本超支、收入确认与成本匹配不当，或是否存在通过关联交易转移利润的情形。</w:t>
      </w:r>
    </w:p>
    <w:p/>
    <w:p>
      <w:pPr>
        <w:pStyle w:val="Heading2"/>
      </w:pPr>
      <w:r>
        <w:rPr>
          <w:rFonts w:ascii="黑体" w:hAnsi="黑体" w:eastAsia="黑体"/>
          <w:b/>
          <w:sz w:val="24"/>
        </w:rPr>
        <w:t>3. 存货增速超过营收增速，跌价准备计提充分性存疑</w:t>
      </w:r>
    </w:p>
    <w:p>
      <w:pPr>
        <w:spacing w:line="360" w:lineRule="auto"/>
        <w:ind w:firstLine="432"/>
      </w:pPr>
      <w:r>
        <w:rPr>
          <w:rFonts w:ascii="宋体" w:hAnsi="宋体" w:eastAsia="宋体"/>
          <w:b w:val="0"/>
          <w:sz w:val="22"/>
        </w:rPr>
        <w:t>2025年末存货470.17亿元，较年初增长13.96%（增加57.59亿元），而同期营业收入仅增长10.39%。存货增速超过营收增速，表明库存去化压力加大。在通信设备行业技术迭代较快的背景下，需关注存货是否存在技术淘汰风险、存货跌价准备计提是否充分，以及是否存在通过推迟确认成本或虚增存货来调节利润的情形。</w:t>
      </w:r>
    </w:p>
    <w:p/>
    <w:p>
      <w:pPr>
        <w:pStyle w:val="Heading1"/>
      </w:pPr>
      <w:r>
        <w:rPr>
          <w:rFonts w:ascii="黑体" w:hAnsi="黑体" w:eastAsia="黑体"/>
          <w:b/>
          <w:sz w:val="28"/>
        </w:rPr>
        <w:t>三、关键数据速览</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val="clear"/>
          </w:tcPr>
          <w:p>
            <w:pPr>
              <w:jc w:val="center"/>
            </w:pPr>
            <w:r>
              <w:rPr>
                <w:rFonts w:ascii="宋体" w:hAnsi="宋体" w:eastAsia="宋体"/>
                <w:b/>
                <w:color w:val="FFFFFF"/>
                <w:sz w:val="20"/>
              </w:rPr>
              <w:t>指标</w:t>
            </w:r>
          </w:p>
        </w:tc>
        <w:tc>
          <w:tcPr>
            <w:tcW w:type="dxa" w:w="2160"/>
            <w:shd w:fill="1F4E78" w:val="clear"/>
          </w:tcPr>
          <w:p>
            <w:pPr>
              <w:jc w:val="center"/>
            </w:pPr>
            <w:r>
              <w:rPr>
                <w:rFonts w:ascii="宋体" w:hAnsi="宋体" w:eastAsia="宋体"/>
                <w:b/>
                <w:color w:val="FFFFFF"/>
                <w:sz w:val="20"/>
              </w:rPr>
              <w:t>2024年</w:t>
            </w:r>
          </w:p>
        </w:tc>
        <w:tc>
          <w:tcPr>
            <w:tcW w:type="dxa" w:w="2160"/>
            <w:shd w:fill="1F4E78" w:val="clear"/>
          </w:tcPr>
          <w:p>
            <w:pPr>
              <w:jc w:val="center"/>
            </w:pPr>
            <w:r>
              <w:rPr>
                <w:rFonts w:ascii="宋体" w:hAnsi="宋体" w:eastAsia="宋体"/>
                <w:b/>
                <w:color w:val="FFFFFF"/>
                <w:sz w:val="20"/>
              </w:rPr>
              <w:t>2025年</w:t>
            </w:r>
          </w:p>
        </w:tc>
        <w:tc>
          <w:tcPr>
            <w:tcW w:type="dxa" w:w="2160"/>
            <w:shd w:fill="1F4E78" w:val="clear"/>
          </w:tcPr>
          <w:p>
            <w:pPr>
              <w:jc w:val="center"/>
            </w:pPr>
            <w:r>
              <w:rPr>
                <w:rFonts w:ascii="宋体" w:hAnsi="宋体" w:eastAsia="宋体"/>
                <w:b/>
                <w:color w:val="FFFFFF"/>
                <w:sz w:val="20"/>
              </w:rPr>
              <w:t>变动</w:t>
            </w:r>
          </w:p>
        </w:tc>
      </w:tr>
      <w:tr>
        <w:tc>
          <w:tcPr>
            <w:tcW w:type="dxa" w:w="2160"/>
          </w:tcPr>
          <w:p>
            <w:pPr>
              <w:jc w:val="center"/>
            </w:pPr>
            <w:r>
              <w:rPr>
                <w:rFonts w:ascii="宋体" w:hAnsi="宋体" w:eastAsia="宋体"/>
                <w:b w:val="0"/>
                <w:sz w:val="20"/>
              </w:rPr>
              <w:t>营业收入（百万元）</w:t>
            </w:r>
          </w:p>
        </w:tc>
        <w:tc>
          <w:tcPr>
            <w:tcW w:type="dxa" w:w="2160"/>
          </w:tcPr>
          <w:p>
            <w:pPr>
              <w:jc w:val="center"/>
            </w:pPr>
            <w:r>
              <w:rPr>
                <w:rFonts w:ascii="宋体" w:hAnsi="宋体" w:eastAsia="宋体"/>
                <w:b w:val="0"/>
                <w:sz w:val="20"/>
              </w:rPr>
              <w:t>121,298.80</w:t>
            </w:r>
          </w:p>
        </w:tc>
        <w:tc>
          <w:tcPr>
            <w:tcW w:type="dxa" w:w="2160"/>
          </w:tcPr>
          <w:p>
            <w:pPr>
              <w:jc w:val="center"/>
            </w:pPr>
            <w:r>
              <w:rPr>
                <w:rFonts w:ascii="宋体" w:hAnsi="宋体" w:eastAsia="宋体"/>
                <w:b w:val="0"/>
                <w:sz w:val="20"/>
              </w:rPr>
              <w:t>133,895.50</w:t>
            </w:r>
          </w:p>
        </w:tc>
        <w:tc>
          <w:tcPr>
            <w:tcW w:type="dxa" w:w="2160"/>
          </w:tcPr>
          <w:p>
            <w:pPr>
              <w:jc w:val="center"/>
            </w:pPr>
            <w:r>
              <w:rPr>
                <w:rFonts w:ascii="宋体" w:hAnsi="宋体" w:eastAsia="宋体"/>
                <w:b w:val="0"/>
                <w:sz w:val="20"/>
              </w:rPr>
              <w:t>+10.39%</w:t>
            </w:r>
          </w:p>
        </w:tc>
      </w:tr>
      <w:tr>
        <w:tc>
          <w:tcPr>
            <w:tcW w:type="dxa" w:w="2160"/>
          </w:tcPr>
          <w:p>
            <w:pPr>
              <w:jc w:val="center"/>
            </w:pPr>
            <w:r>
              <w:rPr>
                <w:rFonts w:ascii="宋体" w:hAnsi="宋体" w:eastAsia="宋体"/>
                <w:b w:val="0"/>
                <w:sz w:val="20"/>
              </w:rPr>
              <w:t>归母净利润（百万元）</w:t>
            </w:r>
          </w:p>
        </w:tc>
        <w:tc>
          <w:tcPr>
            <w:tcW w:type="dxa" w:w="2160"/>
          </w:tcPr>
          <w:p>
            <w:pPr>
              <w:jc w:val="center"/>
            </w:pPr>
            <w:r>
              <w:rPr>
                <w:rFonts w:ascii="宋体" w:hAnsi="宋体" w:eastAsia="宋体"/>
                <w:b w:val="0"/>
                <w:sz w:val="20"/>
              </w:rPr>
              <w:t>8,424.80</w:t>
            </w:r>
          </w:p>
        </w:tc>
        <w:tc>
          <w:tcPr>
            <w:tcW w:type="dxa" w:w="2160"/>
          </w:tcPr>
          <w:p>
            <w:pPr>
              <w:jc w:val="center"/>
            </w:pPr>
            <w:r>
              <w:rPr>
                <w:rFonts w:ascii="宋体" w:hAnsi="宋体" w:eastAsia="宋体"/>
                <w:b w:val="0"/>
                <w:sz w:val="20"/>
              </w:rPr>
              <w:t>5,617.70</w:t>
            </w:r>
          </w:p>
        </w:tc>
        <w:tc>
          <w:tcPr>
            <w:tcW w:type="dxa" w:w="2160"/>
          </w:tcPr>
          <w:p>
            <w:pPr>
              <w:jc w:val="center"/>
            </w:pPr>
            <w:r>
              <w:rPr>
                <w:rFonts w:ascii="宋体" w:hAnsi="宋体" w:eastAsia="宋体"/>
                <w:b w:val="0"/>
                <w:sz w:val="20"/>
              </w:rPr>
              <w:t>-33.32%</w:t>
            </w:r>
          </w:p>
        </w:tc>
      </w:tr>
      <w:tr>
        <w:tc>
          <w:tcPr>
            <w:tcW w:type="dxa" w:w="2160"/>
          </w:tcPr>
          <w:p>
            <w:pPr>
              <w:jc w:val="center"/>
            </w:pPr>
            <w:r>
              <w:rPr>
                <w:rFonts w:ascii="宋体" w:hAnsi="宋体" w:eastAsia="宋体"/>
                <w:b w:val="0"/>
                <w:sz w:val="20"/>
              </w:rPr>
              <w:t>ROE（杜邦计算）</w:t>
            </w:r>
          </w:p>
        </w:tc>
        <w:tc>
          <w:tcPr>
            <w:tcW w:type="dxa" w:w="2160"/>
          </w:tcPr>
          <w:p>
            <w:pPr>
              <w:jc w:val="center"/>
            </w:pPr>
            <w:r>
              <w:rPr>
                <w:rFonts w:ascii="宋体" w:hAnsi="宋体" w:eastAsia="宋体"/>
                <w:b w:val="0"/>
                <w:sz w:val="20"/>
              </w:rPr>
              <w:t>11.57%</w:t>
            </w:r>
          </w:p>
        </w:tc>
        <w:tc>
          <w:tcPr>
            <w:tcW w:type="dxa" w:w="2160"/>
          </w:tcPr>
          <w:p>
            <w:pPr>
              <w:jc w:val="center"/>
            </w:pPr>
            <w:r>
              <w:rPr>
                <w:rFonts w:ascii="宋体" w:hAnsi="宋体" w:eastAsia="宋体"/>
                <w:b w:val="0"/>
                <w:sz w:val="20"/>
              </w:rPr>
              <w:t>7.45%</w:t>
            </w:r>
          </w:p>
        </w:tc>
        <w:tc>
          <w:tcPr>
            <w:tcW w:type="dxa" w:w="2160"/>
          </w:tcPr>
          <w:p>
            <w:pPr>
              <w:jc w:val="center"/>
            </w:pPr>
            <w:r>
              <w:rPr>
                <w:rFonts w:ascii="宋体" w:hAnsi="宋体" w:eastAsia="宋体"/>
                <w:b w:val="0"/>
                <w:sz w:val="20"/>
              </w:rPr>
              <w:t>-4.12 pct</w:t>
            </w:r>
          </w:p>
        </w:tc>
      </w:tr>
      <w:tr>
        <w:tc>
          <w:tcPr>
            <w:tcW w:type="dxa" w:w="2160"/>
          </w:tcPr>
          <w:p>
            <w:pPr>
              <w:jc w:val="center"/>
            </w:pPr>
            <w:r>
              <w:rPr>
                <w:rFonts w:ascii="宋体" w:hAnsi="宋体" w:eastAsia="宋体"/>
                <w:b w:val="0"/>
                <w:sz w:val="20"/>
              </w:rPr>
              <w:t>经营现金流净额（百万元）</w:t>
            </w:r>
          </w:p>
        </w:tc>
        <w:tc>
          <w:tcPr>
            <w:tcW w:type="dxa" w:w="2160"/>
          </w:tcPr>
          <w:p>
            <w:pPr>
              <w:jc w:val="center"/>
            </w:pPr>
            <w:r>
              <w:rPr>
                <w:rFonts w:ascii="宋体" w:hAnsi="宋体" w:eastAsia="宋体"/>
                <w:b w:val="0"/>
                <w:sz w:val="20"/>
              </w:rPr>
              <w:t>11,479.80</w:t>
            </w:r>
          </w:p>
        </w:tc>
        <w:tc>
          <w:tcPr>
            <w:tcW w:type="dxa" w:w="2160"/>
          </w:tcPr>
          <w:p>
            <w:pPr>
              <w:jc w:val="center"/>
            </w:pPr>
            <w:r>
              <w:rPr>
                <w:rFonts w:ascii="宋体" w:hAnsi="宋体" w:eastAsia="宋体"/>
                <w:b w:val="0"/>
                <w:sz w:val="20"/>
              </w:rPr>
              <w:t>3,918.70</w:t>
            </w:r>
          </w:p>
        </w:tc>
        <w:tc>
          <w:tcPr>
            <w:tcW w:type="dxa" w:w="2160"/>
          </w:tcPr>
          <w:p>
            <w:pPr>
              <w:jc w:val="center"/>
            </w:pPr>
            <w:r>
              <w:rPr>
                <w:rFonts w:ascii="宋体" w:hAnsi="宋体" w:eastAsia="宋体"/>
                <w:b w:val="0"/>
                <w:sz w:val="20"/>
              </w:rPr>
              <w:t>-65.86%</w:t>
            </w:r>
          </w:p>
        </w:tc>
      </w:tr>
      <w:tr>
        <w:tc>
          <w:tcPr>
            <w:tcW w:type="dxa" w:w="2160"/>
          </w:tcPr>
          <w:p>
            <w:pPr>
              <w:jc w:val="center"/>
            </w:pPr>
            <w:r>
              <w:rPr>
                <w:rFonts w:ascii="宋体" w:hAnsi="宋体" w:eastAsia="宋体"/>
                <w:b w:val="0"/>
                <w:sz w:val="20"/>
              </w:rPr>
              <w:t>资产负债率</w:t>
            </w:r>
          </w:p>
        </w:tc>
        <w:tc>
          <w:tcPr>
            <w:tcW w:type="dxa" w:w="2160"/>
          </w:tcPr>
          <w:p>
            <w:pPr>
              <w:jc w:val="center"/>
            </w:pPr>
            <w:r>
              <w:rPr>
                <w:rFonts w:ascii="宋体" w:hAnsi="宋体" w:eastAsia="宋体"/>
                <w:b w:val="0"/>
                <w:sz w:val="20"/>
              </w:rPr>
              <w:t>64.74%</w:t>
            </w:r>
          </w:p>
        </w:tc>
        <w:tc>
          <w:tcPr>
            <w:tcW w:type="dxa" w:w="2160"/>
          </w:tcPr>
          <w:p>
            <w:pPr>
              <w:jc w:val="center"/>
            </w:pPr>
            <w:r>
              <w:rPr>
                <w:rFonts w:ascii="宋体" w:hAnsi="宋体" w:eastAsia="宋体"/>
                <w:b w:val="0"/>
                <w:sz w:val="20"/>
              </w:rPr>
              <w:t>65.26%</w:t>
            </w:r>
          </w:p>
        </w:tc>
        <w:tc>
          <w:tcPr>
            <w:tcW w:type="dxa" w:w="2160"/>
          </w:tcPr>
          <w:p>
            <w:pPr>
              <w:jc w:val="center"/>
            </w:pPr>
            <w:r>
              <w:rPr>
                <w:rFonts w:ascii="宋体" w:hAnsi="宋体" w:eastAsia="宋体"/>
                <w:b w:val="0"/>
                <w:sz w:val="20"/>
              </w:rPr>
              <w:t>+0.52 pct</w:t>
            </w:r>
          </w:p>
        </w:tc>
      </w:tr>
      <w:tr>
        <w:tc>
          <w:tcPr>
            <w:tcW w:type="dxa" w:w="2160"/>
          </w:tcPr>
          <w:p>
            <w:pPr>
              <w:jc w:val="center"/>
            </w:pPr>
            <w:r>
              <w:rPr>
                <w:rFonts w:ascii="宋体" w:hAnsi="宋体" w:eastAsia="宋体"/>
                <w:b w:val="0"/>
                <w:sz w:val="20"/>
              </w:rPr>
              <w:t>政企业务毛利率</w:t>
            </w:r>
          </w:p>
        </w:tc>
        <w:tc>
          <w:tcPr>
            <w:tcW w:type="dxa" w:w="2160"/>
          </w:tcPr>
          <w:p>
            <w:pPr>
              <w:jc w:val="center"/>
            </w:pPr>
            <w:r>
              <w:rPr>
                <w:rFonts w:ascii="宋体" w:hAnsi="宋体" w:eastAsia="宋体"/>
                <w:b w:val="0"/>
                <w:sz w:val="20"/>
              </w:rPr>
              <w:t>15.33%</w:t>
            </w:r>
          </w:p>
        </w:tc>
        <w:tc>
          <w:tcPr>
            <w:tcW w:type="dxa" w:w="2160"/>
          </w:tcPr>
          <w:p>
            <w:pPr>
              <w:jc w:val="center"/>
            </w:pPr>
            <w:r>
              <w:rPr>
                <w:rFonts w:ascii="宋体" w:hAnsi="宋体" w:eastAsia="宋体"/>
                <w:b w:val="0"/>
                <w:sz w:val="20"/>
              </w:rPr>
              <w:t>10.97%</w:t>
            </w:r>
          </w:p>
        </w:tc>
        <w:tc>
          <w:tcPr>
            <w:tcW w:type="dxa" w:w="2160"/>
          </w:tcPr>
          <w:p>
            <w:pPr>
              <w:jc w:val="center"/>
            </w:pPr>
            <w:r>
              <w:rPr>
                <w:rFonts w:ascii="宋体" w:hAnsi="宋体" w:eastAsia="宋体"/>
                <w:b w:val="0"/>
                <w:sz w:val="20"/>
              </w:rPr>
              <w:t>-4.36 pct</w:t>
            </w:r>
          </w:p>
        </w:tc>
      </w:tr>
      <w:tr>
        <w:tc>
          <w:tcPr>
            <w:tcW w:type="dxa" w:w="2160"/>
          </w:tcPr>
          <w:p>
            <w:pPr>
              <w:jc w:val="center"/>
            </w:pPr>
            <w:r>
              <w:rPr>
                <w:rFonts w:ascii="宋体" w:hAnsi="宋体" w:eastAsia="宋体"/>
                <w:b w:val="0"/>
                <w:sz w:val="20"/>
              </w:rPr>
              <w:t>存货（百万元）</w:t>
            </w:r>
          </w:p>
        </w:tc>
        <w:tc>
          <w:tcPr>
            <w:tcW w:type="dxa" w:w="2160"/>
          </w:tcPr>
          <w:p>
            <w:pPr>
              <w:jc w:val="center"/>
            </w:pPr>
            <w:r>
              <w:rPr>
                <w:rFonts w:ascii="宋体" w:hAnsi="宋体" w:eastAsia="宋体"/>
                <w:b w:val="0"/>
                <w:sz w:val="20"/>
              </w:rPr>
              <w:t>41,257.70</w:t>
            </w:r>
          </w:p>
        </w:tc>
        <w:tc>
          <w:tcPr>
            <w:tcW w:type="dxa" w:w="2160"/>
          </w:tcPr>
          <w:p>
            <w:pPr>
              <w:jc w:val="center"/>
            </w:pPr>
            <w:r>
              <w:rPr>
                <w:rFonts w:ascii="宋体" w:hAnsi="宋体" w:eastAsia="宋体"/>
                <w:b w:val="0"/>
                <w:sz w:val="20"/>
              </w:rPr>
              <w:t>47,017.10</w:t>
            </w:r>
          </w:p>
        </w:tc>
        <w:tc>
          <w:tcPr>
            <w:tcW w:type="dxa" w:w="2160"/>
          </w:tcPr>
          <w:p>
            <w:pPr>
              <w:jc w:val="center"/>
            </w:pPr>
            <w:r>
              <w:rPr>
                <w:rFonts w:ascii="宋体" w:hAnsi="宋体" w:eastAsia="宋体"/>
                <w:b w:val="0"/>
                <w:sz w:val="20"/>
              </w:rPr>
              <w:t>+13.96%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