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2"/>
        </w:rPr>
        <w:t>中国建筑（601668）财务分析结论</w:t>
      </w:r>
    </w:p>
    <w:p>
      <w:pPr>
        <w:jc w:val="center"/>
      </w:pPr>
      <w:r>
        <w:rPr>
          <w:rFonts w:ascii="楷体" w:hAnsi="楷体" w:eastAsia="楷体"/>
          <w:b w:val="0"/>
          <w:i/>
          <w:color w:val="808080"/>
          <w:sz w:val="24"/>
        </w:rPr>
        <w:t>——基于2024-2025年年度报告杜邦分析（2024年为经重述数据）</w:t>
      </w:r>
    </w:p>
    <w:p/>
    <w:p>
      <w:pPr>
        <w:pStyle w:val="Heading1"/>
      </w:pPr>
      <w:r>
        <w:rPr>
          <w:rFonts w:ascii="黑体" w:hAnsi="黑体" w:eastAsia="黑体"/>
          <w:b/>
          <w:sz w:val="28"/>
        </w:rPr>
        <w:t>一、财务特征提炼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  <w:sz w:val="22"/>
        </w:rPr>
        <w:t>中国建筑2025年ROE为8.15%，较上年下降2.21个百分点。杜邦拆解显示：净利率贡献-1.11 pct、总资产周转率贡献-1.31 pct、权益乘数贡献+0.38 pct，净利率与周转率双降是ROE下滑的主因，杠杆提升部分对冲了负面影响。公司呈现'低净利率、低资产周转、高财务杠杆'的典型建筑行业财务特征，盈利对规模扩张和债务融资依赖度极高，2025年应收账款激增31%且Q4净利润同比暴跌86%，需关注回款质量恶化及四季度利润调节风险。</w:t>
      </w:r>
    </w:p>
    <w:p/>
    <w:p>
      <w:pPr>
        <w:pStyle w:val="Heading1"/>
      </w:pPr>
      <w:r>
        <w:rPr>
          <w:rFonts w:ascii="黑体" w:hAnsi="黑体" w:eastAsia="黑体"/>
          <w:b/>
          <w:sz w:val="28"/>
        </w:rPr>
        <w:t>二、审计关注点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 应收账款增速远超营收增速，回款质量显著恶化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  <w:sz w:val="22"/>
        </w:rPr>
        <w:t>2025年末应收账款4,155.59亿元，较年初增加984亿元（同比+31.0%），而同期营业收入同比下降4.8%。应收账款增速与营收变动方向背离且差距巨大，表明公司回款压力显著加大、信用政策可能放宽或存在收入确认时点提前的情形。需重点核查应收账款账龄结构变化、坏账准备计提是否充分，以及是否存在通过关联交易虚增收入。</w:t>
      </w:r>
    </w:p>
    <w:p/>
    <w:p>
      <w:pPr>
        <w:pStyle w:val="Heading2"/>
      </w:pPr>
      <w:r>
        <w:rPr>
          <w:rFonts w:ascii="黑体" w:hAnsi="黑体" w:eastAsia="黑体"/>
          <w:b/>
          <w:sz w:val="24"/>
        </w:rPr>
        <w:t>2. 经营现金流与净利润长期背离，盈利质量存疑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  <w:sz w:val="22"/>
        </w:rPr>
        <w:t>2025年经营活动现金流净额205.37亿元，而归母净利润390.69亿元，现金流仅为净利润的52.6%；2024年该比例更低，仅为34.1%。连续两年经营现金流远低于净利润，表明公司利润大量沉淀为应收账款和存货，盈利质量较差。需关注是否存在通过垫资施工维持收入规模、以及项目回款周期拉长的系统性风险。</w:t>
      </w:r>
    </w:p>
    <w:p/>
    <w:p>
      <w:pPr>
        <w:pStyle w:val="Heading2"/>
      </w:pPr>
      <w:r>
        <w:rPr>
          <w:rFonts w:ascii="黑体" w:hAnsi="黑体" w:eastAsia="黑体"/>
          <w:b/>
          <w:sz w:val="24"/>
        </w:rPr>
        <w:t>3. 资产负债率持续攀升且Q4业绩异常大幅下滑</w:t>
      </w:r>
    </w:p>
    <w:p>
      <w:pPr>
        <w:spacing w:line="360" w:lineRule="auto"/>
        <w:ind w:firstLine="432"/>
      </w:pPr>
      <w:r>
        <w:rPr>
          <w:rFonts w:ascii="宋体" w:hAnsi="宋体" w:eastAsia="宋体"/>
          <w:b w:val="0"/>
          <w:sz w:val="22"/>
        </w:rPr>
        <w:t>资产负债率从2023年的74.8%攀升至2024年的75.8%，再升至2025年的76.9%，有息负债总额从8,513亿元增至9,302亿元（+9.3%），财务杠杆持续加大。同时2025年Q4单季归母净利润仅8.87亿元，同比暴跌86.3%（2024年Q4为64.84亿元），四季度业绩与前三季严重不匹配。需核查是否存在年末集中计提资产减值、费用跨期调节或收入确认时点操纵，以及高杠杆下的偿债压力和流动性风险。</w:t>
      </w:r>
    </w:p>
    <w:p/>
    <w:p>
      <w:pPr>
        <w:pStyle w:val="Heading1"/>
      </w:pPr>
      <w:r>
        <w:rPr>
          <w:rFonts w:ascii="黑体" w:hAnsi="黑体" w:eastAsia="黑体"/>
          <w:b/>
          <w:sz w:val="28"/>
        </w:rPr>
        <w:t>三、关键数据速览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160"/>
            <w:shd w:fill="1F4E78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2024年（经重述）</w:t>
            </w:r>
          </w:p>
        </w:tc>
        <w:tc>
          <w:tcPr>
            <w:tcW w:type="dxa" w:w="2160"/>
            <w:shd w:fill="1F4E78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2025年</w:t>
            </w:r>
          </w:p>
        </w:tc>
        <w:tc>
          <w:tcPr>
            <w:tcW w:type="dxa" w:w="2160"/>
            <w:shd w:fill="1F4E78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变动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营业收入（亿元）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21,873.34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20,821.42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-4.81%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归母净利润（亿元）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461.94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390.69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-15.42%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ROE（年报披露）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10.36%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8.15%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-2.21 pct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经营现金流净额（亿元）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157.74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205.37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+30.20%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资产负债率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75.80%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76.90%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+1.10 pct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应收账款（亿元）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3,171.44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4,155.59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+31.03%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Q4归母净利润（亿元）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64.84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8.87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-86.32%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