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贵州茅台（600519）财务分析结论</w:t>
      </w:r>
    </w:p>
    <w:p>
      <w:pPr>
        <w:jc w:val="center"/>
      </w:pPr>
      <w:r>
        <w:rPr>
          <w:rFonts w:ascii="楷体" w:hAnsi="楷体" w:eastAsia="楷体"/>
          <w:b w:val="0"/>
          <w:i/>
          <w:color w:val="808080"/>
          <w:sz w:val="24"/>
        </w:rPr>
        <w:t>——基于2024-2025年年度报告杜邦分析</w:t>
      </w:r>
    </w:p>
    <w:p/>
    <w:p>
      <w:pPr>
        <w:pStyle w:val="Heading1"/>
      </w:pPr>
      <w:r>
        <w:rPr>
          <w:rFonts w:ascii="黑体" w:hAnsi="黑体" w:eastAsia="黑体"/>
          <w:b/>
          <w:sz w:val="28"/>
        </w:rPr>
        <w:t>一、财务特征提炼</w:t>
      </w:r>
    </w:p>
    <w:p>
      <w:pPr>
        <w:spacing w:line="360" w:lineRule="auto"/>
        <w:ind w:firstLine="432"/>
      </w:pPr>
      <w:r>
        <w:rPr>
          <w:rFonts w:ascii="宋体" w:hAnsi="宋体" w:eastAsia="宋体"/>
          <w:b w:val="0"/>
          <w:sz w:val="22"/>
        </w:rPr>
        <w:t>贵州茅台2025年ROE为32.53%，较上年下降3.49个百分点。杜邦拆解显示：净利率贡献-1.25 pct、总资产周转率贡献-1.00 pct、权益乘数贡献-1.10 pct，三大因子全面走弱。公司呈现'超高净利率、低资产周转、极低杠杆'的核心财务特征，盈利质量顶尖且财务结构极度稳健（无有息负债），但2025年出现营收利润双降及经营现金流大幅萎缩，需关注白酒行业需求变化对公司高盈利模式的持续性影响。</w:t>
      </w:r>
    </w:p>
    <w:p/>
    <w:p>
      <w:pPr>
        <w:pStyle w:val="Heading1"/>
      </w:pPr>
      <w:r>
        <w:rPr>
          <w:rFonts w:ascii="黑体" w:hAnsi="黑体" w:eastAsia="黑体"/>
          <w:b/>
          <w:sz w:val="28"/>
        </w:rPr>
        <w:t>二、审计关注点</w:t>
      </w:r>
    </w:p>
    <w:p>
      <w:pPr>
        <w:pStyle w:val="Heading2"/>
      </w:pPr>
      <w:r>
        <w:rPr>
          <w:rFonts w:ascii="黑体" w:hAnsi="黑体" w:eastAsia="黑体"/>
          <w:b/>
          <w:sz w:val="24"/>
        </w:rPr>
        <w:t>1. 经营现金流与净利润大幅背离</w:t>
      </w:r>
    </w:p>
    <w:p>
      <w:pPr>
        <w:spacing w:line="360" w:lineRule="auto"/>
        <w:ind w:firstLine="432"/>
      </w:pPr>
      <w:r>
        <w:rPr>
          <w:rFonts w:ascii="宋体" w:hAnsi="宋体" w:eastAsia="宋体"/>
          <w:b w:val="0"/>
          <w:sz w:val="22"/>
        </w:rPr>
        <w:t>2025年经营活动现金流净额615.22亿元，同比大幅下降33.46%，而同期归母净利润仅下降4.53%。现金流与净利润出现显著背离，且年报解释主要系财务公司吸收存款减少及同业存款增加所致，需进一步核实现金流下降的真实原因及是否存在资金占用或流动性风险。</w:t>
      </w:r>
    </w:p>
    <w:p/>
    <w:p>
      <w:pPr>
        <w:pStyle w:val="Heading2"/>
      </w:pPr>
      <w:r>
        <w:rPr>
          <w:rFonts w:ascii="黑体" w:hAnsi="黑体" w:eastAsia="黑体"/>
          <w:b/>
          <w:sz w:val="24"/>
        </w:rPr>
        <w:t>2. Q4业绩异常大幅下滑</w:t>
      </w:r>
    </w:p>
    <w:p>
      <w:pPr>
        <w:spacing w:line="360" w:lineRule="auto"/>
        <w:ind w:firstLine="432"/>
      </w:pPr>
      <w:r>
        <w:rPr>
          <w:rFonts w:ascii="宋体" w:hAnsi="宋体" w:eastAsia="宋体"/>
          <w:b w:val="0"/>
          <w:sz w:val="22"/>
        </w:rPr>
        <w:t>2025年Q4营业收入403.84亿元，同比下降19.43%；归母净利润176.93亿元，同比下降30.34%。四季度业绩显著弱于前三季，需关注是否存在收入确认时点调节、渠道压货减少或终端需求急剧恶化的情形，以及是否存在提前确认收入或跨期调节利润的审计风险。</w:t>
      </w:r>
    </w:p>
    <w:p/>
    <w:p>
      <w:pPr>
        <w:pStyle w:val="Heading2"/>
      </w:pPr>
      <w:r>
        <w:rPr>
          <w:rFonts w:ascii="黑体" w:hAnsi="黑体" w:eastAsia="黑体"/>
          <w:b/>
          <w:sz w:val="24"/>
        </w:rPr>
        <w:t>3. 系列酒收入与毛利率双降及存货增长</w:t>
      </w:r>
    </w:p>
    <w:p>
      <w:pPr>
        <w:spacing w:line="360" w:lineRule="auto"/>
        <w:ind w:firstLine="432"/>
      </w:pPr>
      <w:r>
        <w:rPr>
          <w:rFonts w:ascii="宋体" w:hAnsi="宋体" w:eastAsia="宋体"/>
          <w:b w:val="0"/>
          <w:sz w:val="22"/>
        </w:rPr>
        <w:t>其他系列酒收入222.75亿元，同比下降9.76%，毛利率从79.87%降至76.11%（下降3.76个百分点）。同时存货从543.43亿元增至614.27亿元，同比增长13.04%。需关注系列酒是否存在滞销风险、存货跌价准备计提是否充分，以及毛利率下滑是否预示产品竞争力下降。</w:t>
      </w:r>
    </w:p>
    <w:p/>
    <w:p>
      <w:pPr>
        <w:pStyle w:val="Heading1"/>
      </w:pPr>
      <w:r>
        <w:rPr>
          <w:rFonts w:ascii="黑体" w:hAnsi="黑体" w:eastAsia="黑体"/>
          <w:b/>
          <w:sz w:val="28"/>
        </w:rPr>
        <w:t>三、关键数据速览</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val="clear"/>
          </w:tcPr>
          <w:p>
            <w:pPr>
              <w:jc w:val="center"/>
            </w:pPr>
            <w:r>
              <w:rPr>
                <w:rFonts w:ascii="宋体" w:hAnsi="宋体" w:eastAsia="宋体"/>
                <w:b/>
                <w:color w:val="FFFFFF"/>
                <w:sz w:val="20"/>
              </w:rPr>
              <w:t>指标</w:t>
            </w:r>
          </w:p>
        </w:tc>
        <w:tc>
          <w:tcPr>
            <w:tcW w:type="dxa" w:w="2160"/>
            <w:shd w:fill="1F4E78" w:val="clear"/>
          </w:tcPr>
          <w:p>
            <w:pPr>
              <w:jc w:val="center"/>
            </w:pPr>
            <w:r>
              <w:rPr>
                <w:rFonts w:ascii="宋体" w:hAnsi="宋体" w:eastAsia="宋体"/>
                <w:b/>
                <w:color w:val="FFFFFF"/>
                <w:sz w:val="20"/>
              </w:rPr>
              <w:t>2024年</w:t>
            </w:r>
          </w:p>
        </w:tc>
        <w:tc>
          <w:tcPr>
            <w:tcW w:type="dxa" w:w="2160"/>
            <w:shd w:fill="1F4E78" w:val="clear"/>
          </w:tcPr>
          <w:p>
            <w:pPr>
              <w:jc w:val="center"/>
            </w:pPr>
            <w:r>
              <w:rPr>
                <w:rFonts w:ascii="宋体" w:hAnsi="宋体" w:eastAsia="宋体"/>
                <w:b/>
                <w:color w:val="FFFFFF"/>
                <w:sz w:val="20"/>
              </w:rPr>
              <w:t>2025年</w:t>
            </w:r>
          </w:p>
        </w:tc>
        <w:tc>
          <w:tcPr>
            <w:tcW w:type="dxa" w:w="2160"/>
            <w:shd w:fill="1F4E78" w:val="clear"/>
          </w:tcPr>
          <w:p>
            <w:pPr>
              <w:jc w:val="center"/>
            </w:pPr>
            <w:r>
              <w:rPr>
                <w:rFonts w:ascii="宋体" w:hAnsi="宋体" w:eastAsia="宋体"/>
                <w:b/>
                <w:color w:val="FFFFFF"/>
                <w:sz w:val="20"/>
              </w:rPr>
              <w:t>变动</w:t>
            </w:r>
          </w:p>
        </w:tc>
      </w:tr>
      <w:tr>
        <w:tc>
          <w:tcPr>
            <w:tcW w:type="dxa" w:w="2160"/>
          </w:tcPr>
          <w:p>
            <w:pPr>
              <w:jc w:val="center"/>
            </w:pPr>
            <w:r>
              <w:rPr>
                <w:rFonts w:ascii="宋体" w:hAnsi="宋体" w:eastAsia="宋体"/>
                <w:b w:val="0"/>
                <w:sz w:val="20"/>
              </w:rPr>
              <w:t>营业收入（亿元）</w:t>
            </w:r>
          </w:p>
        </w:tc>
        <w:tc>
          <w:tcPr>
            <w:tcW w:type="dxa" w:w="2160"/>
          </w:tcPr>
          <w:p>
            <w:pPr>
              <w:jc w:val="center"/>
            </w:pPr>
            <w:r>
              <w:rPr>
                <w:rFonts w:ascii="宋体" w:hAnsi="宋体" w:eastAsia="宋体"/>
                <w:b w:val="0"/>
                <w:sz w:val="20"/>
              </w:rPr>
              <w:t>1,708.99</w:t>
            </w:r>
          </w:p>
        </w:tc>
        <w:tc>
          <w:tcPr>
            <w:tcW w:type="dxa" w:w="2160"/>
          </w:tcPr>
          <w:p>
            <w:pPr>
              <w:jc w:val="center"/>
            </w:pPr>
            <w:r>
              <w:rPr>
                <w:rFonts w:ascii="宋体" w:hAnsi="宋体" w:eastAsia="宋体"/>
                <w:b w:val="0"/>
                <w:sz w:val="20"/>
              </w:rPr>
              <w:t>1,688.38</w:t>
            </w:r>
          </w:p>
        </w:tc>
        <w:tc>
          <w:tcPr>
            <w:tcW w:type="dxa" w:w="2160"/>
          </w:tcPr>
          <w:p>
            <w:pPr>
              <w:jc w:val="center"/>
            </w:pPr>
            <w:r>
              <w:rPr>
                <w:rFonts w:ascii="宋体" w:hAnsi="宋体" w:eastAsia="宋体"/>
                <w:b w:val="0"/>
                <w:sz w:val="20"/>
              </w:rPr>
              <w:t>-1.21%</w:t>
            </w:r>
          </w:p>
        </w:tc>
      </w:tr>
      <w:tr>
        <w:tc>
          <w:tcPr>
            <w:tcW w:type="dxa" w:w="2160"/>
          </w:tcPr>
          <w:p>
            <w:pPr>
              <w:jc w:val="center"/>
            </w:pPr>
            <w:r>
              <w:rPr>
                <w:rFonts w:ascii="宋体" w:hAnsi="宋体" w:eastAsia="宋体"/>
                <w:b w:val="0"/>
                <w:sz w:val="20"/>
              </w:rPr>
              <w:t>归母净利润（亿元）</w:t>
            </w:r>
          </w:p>
        </w:tc>
        <w:tc>
          <w:tcPr>
            <w:tcW w:type="dxa" w:w="2160"/>
          </w:tcPr>
          <w:p>
            <w:pPr>
              <w:jc w:val="center"/>
            </w:pPr>
            <w:r>
              <w:rPr>
                <w:rFonts w:ascii="宋体" w:hAnsi="宋体" w:eastAsia="宋体"/>
                <w:b w:val="0"/>
                <w:sz w:val="20"/>
              </w:rPr>
              <w:t>862.28</w:t>
            </w:r>
          </w:p>
        </w:tc>
        <w:tc>
          <w:tcPr>
            <w:tcW w:type="dxa" w:w="2160"/>
          </w:tcPr>
          <w:p>
            <w:pPr>
              <w:jc w:val="center"/>
            </w:pPr>
            <w:r>
              <w:rPr>
                <w:rFonts w:ascii="宋体" w:hAnsi="宋体" w:eastAsia="宋体"/>
                <w:b w:val="0"/>
                <w:sz w:val="20"/>
              </w:rPr>
              <w:t>823.20</w:t>
            </w:r>
          </w:p>
        </w:tc>
        <w:tc>
          <w:tcPr>
            <w:tcW w:type="dxa" w:w="2160"/>
          </w:tcPr>
          <w:p>
            <w:pPr>
              <w:jc w:val="center"/>
            </w:pPr>
            <w:r>
              <w:rPr>
                <w:rFonts w:ascii="宋体" w:hAnsi="宋体" w:eastAsia="宋体"/>
                <w:b w:val="0"/>
                <w:sz w:val="20"/>
              </w:rPr>
              <w:t>-4.53%</w:t>
            </w:r>
          </w:p>
        </w:tc>
      </w:tr>
      <w:tr>
        <w:tc>
          <w:tcPr>
            <w:tcW w:type="dxa" w:w="2160"/>
          </w:tcPr>
          <w:p>
            <w:pPr>
              <w:jc w:val="center"/>
            </w:pPr>
            <w:r>
              <w:rPr>
                <w:rFonts w:ascii="宋体" w:hAnsi="宋体" w:eastAsia="宋体"/>
                <w:b w:val="0"/>
                <w:sz w:val="20"/>
              </w:rPr>
              <w:t>ROE（年报披露）</w:t>
            </w:r>
          </w:p>
        </w:tc>
        <w:tc>
          <w:tcPr>
            <w:tcW w:type="dxa" w:w="2160"/>
          </w:tcPr>
          <w:p>
            <w:pPr>
              <w:jc w:val="center"/>
            </w:pPr>
            <w:r>
              <w:rPr>
                <w:rFonts w:ascii="宋体" w:hAnsi="宋体" w:eastAsia="宋体"/>
                <w:b w:val="0"/>
                <w:sz w:val="20"/>
              </w:rPr>
              <w:t>36.02%</w:t>
            </w:r>
          </w:p>
        </w:tc>
        <w:tc>
          <w:tcPr>
            <w:tcW w:type="dxa" w:w="2160"/>
          </w:tcPr>
          <w:p>
            <w:pPr>
              <w:jc w:val="center"/>
            </w:pPr>
            <w:r>
              <w:rPr>
                <w:rFonts w:ascii="宋体" w:hAnsi="宋体" w:eastAsia="宋体"/>
                <w:b w:val="0"/>
                <w:sz w:val="20"/>
              </w:rPr>
              <w:t>32.53%</w:t>
            </w:r>
          </w:p>
        </w:tc>
        <w:tc>
          <w:tcPr>
            <w:tcW w:type="dxa" w:w="2160"/>
          </w:tcPr>
          <w:p>
            <w:pPr>
              <w:jc w:val="center"/>
            </w:pPr>
            <w:r>
              <w:rPr>
                <w:rFonts w:ascii="宋体" w:hAnsi="宋体" w:eastAsia="宋体"/>
                <w:b w:val="0"/>
                <w:sz w:val="20"/>
              </w:rPr>
              <w:t>-3.49 pct</w:t>
            </w:r>
          </w:p>
        </w:tc>
      </w:tr>
      <w:tr>
        <w:tc>
          <w:tcPr>
            <w:tcW w:type="dxa" w:w="2160"/>
          </w:tcPr>
          <w:p>
            <w:pPr>
              <w:jc w:val="center"/>
            </w:pPr>
            <w:r>
              <w:rPr>
                <w:rFonts w:ascii="宋体" w:hAnsi="宋体" w:eastAsia="宋体"/>
                <w:b w:val="0"/>
                <w:sz w:val="20"/>
              </w:rPr>
              <w:t>经营现金流净额（亿元）</w:t>
            </w:r>
          </w:p>
        </w:tc>
        <w:tc>
          <w:tcPr>
            <w:tcW w:type="dxa" w:w="2160"/>
          </w:tcPr>
          <w:p>
            <w:pPr>
              <w:jc w:val="center"/>
            </w:pPr>
            <w:r>
              <w:rPr>
                <w:rFonts w:ascii="宋体" w:hAnsi="宋体" w:eastAsia="宋体"/>
                <w:b w:val="0"/>
                <w:sz w:val="20"/>
              </w:rPr>
              <w:t>924.64</w:t>
            </w:r>
          </w:p>
        </w:tc>
        <w:tc>
          <w:tcPr>
            <w:tcW w:type="dxa" w:w="2160"/>
          </w:tcPr>
          <w:p>
            <w:pPr>
              <w:jc w:val="center"/>
            </w:pPr>
            <w:r>
              <w:rPr>
                <w:rFonts w:ascii="宋体" w:hAnsi="宋体" w:eastAsia="宋体"/>
                <w:b w:val="0"/>
                <w:sz w:val="20"/>
              </w:rPr>
              <w:t>615.22</w:t>
            </w:r>
          </w:p>
        </w:tc>
        <w:tc>
          <w:tcPr>
            <w:tcW w:type="dxa" w:w="2160"/>
          </w:tcPr>
          <w:p>
            <w:pPr>
              <w:jc w:val="center"/>
            </w:pPr>
            <w:r>
              <w:rPr>
                <w:rFonts w:ascii="宋体" w:hAnsi="宋体" w:eastAsia="宋体"/>
                <w:b w:val="0"/>
                <w:sz w:val="20"/>
              </w:rPr>
              <w:t>-33.46%</w:t>
            </w:r>
          </w:p>
        </w:tc>
      </w:tr>
      <w:tr>
        <w:tc>
          <w:tcPr>
            <w:tcW w:type="dxa" w:w="2160"/>
          </w:tcPr>
          <w:p>
            <w:pPr>
              <w:jc w:val="center"/>
            </w:pPr>
            <w:r>
              <w:rPr>
                <w:rFonts w:ascii="宋体" w:hAnsi="宋体" w:eastAsia="宋体"/>
                <w:b w:val="0"/>
                <w:sz w:val="20"/>
              </w:rPr>
              <w:t>资产负债率</w:t>
            </w:r>
          </w:p>
        </w:tc>
        <w:tc>
          <w:tcPr>
            <w:tcW w:type="dxa" w:w="2160"/>
          </w:tcPr>
          <w:p>
            <w:pPr>
              <w:jc w:val="center"/>
            </w:pPr>
            <w:r>
              <w:rPr>
                <w:rFonts w:ascii="宋体" w:hAnsi="宋体" w:eastAsia="宋体"/>
                <w:b w:val="0"/>
                <w:sz w:val="20"/>
              </w:rPr>
              <w:t>19.04%</w:t>
            </w:r>
          </w:p>
        </w:tc>
        <w:tc>
          <w:tcPr>
            <w:tcW w:type="dxa" w:w="2160"/>
          </w:tcPr>
          <w:p>
            <w:pPr>
              <w:jc w:val="center"/>
            </w:pPr>
            <w:r>
              <w:rPr>
                <w:rFonts w:ascii="宋体" w:hAnsi="宋体" w:eastAsia="宋体"/>
                <w:b w:val="0"/>
                <w:sz w:val="20"/>
              </w:rPr>
              <w:t>16.42%</w:t>
            </w:r>
          </w:p>
        </w:tc>
        <w:tc>
          <w:tcPr>
            <w:tcW w:type="dxa" w:w="2160"/>
          </w:tcPr>
          <w:p>
            <w:pPr>
              <w:jc w:val="center"/>
            </w:pPr>
            <w:r>
              <w:rPr>
                <w:rFonts w:ascii="宋体" w:hAnsi="宋体" w:eastAsia="宋体"/>
                <w:b w:val="0"/>
                <w:sz w:val="20"/>
              </w:rPr>
              <w:t>-2.62 pct</w:t>
            </w:r>
          </w:p>
        </w:tc>
      </w:tr>
      <w:tr>
        <w:tc>
          <w:tcPr>
            <w:tcW w:type="dxa" w:w="2160"/>
          </w:tcPr>
          <w:p>
            <w:pPr>
              <w:jc w:val="center"/>
            </w:pPr>
            <w:r>
              <w:rPr>
                <w:rFonts w:ascii="宋体" w:hAnsi="宋体" w:eastAsia="宋体"/>
                <w:b w:val="0"/>
                <w:sz w:val="20"/>
              </w:rPr>
              <w:t>无有息负债</w:t>
            </w:r>
          </w:p>
        </w:tc>
        <w:tc>
          <w:tcPr>
            <w:tcW w:type="dxa" w:w="2160"/>
          </w:tcPr>
          <w:p>
            <w:pPr>
              <w:jc w:val="center"/>
            </w:pPr>
            <w:r>
              <w:rPr>
                <w:rFonts w:ascii="宋体" w:hAnsi="宋体" w:eastAsia="宋体"/>
                <w:b w:val="0"/>
                <w:sz w:val="20"/>
              </w:rPr>
              <w:t>是</w:t>
            </w:r>
          </w:p>
        </w:tc>
        <w:tc>
          <w:tcPr>
            <w:tcW w:type="dxa" w:w="2160"/>
          </w:tcPr>
          <w:p>
            <w:pPr>
              <w:jc w:val="center"/>
            </w:pPr>
            <w:r>
              <w:rPr>
                <w:rFonts w:ascii="宋体" w:hAnsi="宋体" w:eastAsia="宋体"/>
                <w:b w:val="0"/>
                <w:sz w:val="20"/>
              </w:rPr>
              <w:t>是</w:t>
            </w:r>
          </w:p>
        </w:tc>
        <w:tc>
          <w:tcPr>
            <w:tcW w:type="dxa" w:w="2160"/>
          </w:tcPr>
          <w:p>
            <w:pPr>
              <w:jc w:val="center"/>
            </w:pPr>
            <w:r>
              <w:rPr>
                <w:rFonts w:ascii="宋体" w:hAnsi="宋体" w:eastAsia="宋体"/>
                <w:b w:val="0"/>
                <w:sz w:val="2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