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32"/>
        </w:rPr>
        <w:t>AI辅助分析过程问题记录与修正日志</w:t>
      </w:r>
    </w:p>
    <w:p>
      <w:pPr>
        <w:jc w:val="center"/>
      </w:pPr>
      <w:r>
        <w:rPr>
          <w:rFonts w:ascii="楷体" w:hAnsi="楷体" w:eastAsia="楷体"/>
          <w:b w:val="0"/>
          <w:i/>
          <w:color w:val="808080"/>
          <w:sz w:val="24"/>
        </w:rPr>
        <w:t>——基于5家公司（茅台/中建/万科/中兴/宁德时代）杜邦分析横向对比</w:t>
      </w:r>
    </w:p>
    <w:p/>
    <w:p>
      <w:pPr>
        <w:pStyle w:val="Heading1"/>
      </w:pPr>
      <w:r>
        <w:rPr>
          <w:rFonts w:ascii="黑体" w:hAnsi="黑体" w:eastAsia="黑体"/>
          <w:b/>
          <w:sz w:val="28"/>
        </w:rPr>
        <w:t>一、问题发现与修正记录</w:t>
      </w:r>
    </w:p>
    <w:p>
      <w:pPr>
        <w:pStyle w:val="Heading2"/>
      </w:pPr>
      <w:r>
        <w:rPr>
          <w:rFonts w:ascii="黑体" w:hAnsi="黑体" w:eastAsia="黑体"/>
          <w:b/>
          <w:sz w:val="24"/>
        </w:rPr>
        <w:t>案例1：宁德时代电池材料及回收业务毛利率跃升的归因误读</w:t>
      </w:r>
    </w:p>
    <w:p>
      <w:pPr>
        <w:spacing w:line="360" w:lineRule="auto"/>
        <w:ind w:firstLine="432"/>
      </w:pPr>
      <w:r>
        <w:rPr>
          <w:rFonts w:ascii="宋体" w:hAnsi="宋体" w:eastAsia="宋体"/>
          <w:b w:val="0"/>
          <w:sz w:val="22"/>
        </w:rPr>
        <w:t>【AI原始判断】AI将该业务毛利率从10.51%跃升至27.27%直接标记为'异常'，提示需核查是否存在会计估计变更、一次性收益冲减成本等非经常性因素，并将其列为首要审计关注点。</w:t>
        <w:br/>
        <w:br/>
        <w:t>【发现过程】经人工复核Excel备注栏，发现年报本身已提示'是否因碳酸锂等原材料价格触底回升带动回收业务利润修复'。进一步检索行业数据确认：2024-2025年碳酸锂价格确实经历了从高位暴跌至低位后小幅回升的周期波动，电池回收业务的盈利模式与原材料价格高度相关。</w:t>
        <w:br/>
        <w:br/>
        <w:t>【修正结论】AI的'异常'定性过于武断，未能区分'行业周期性修复'与'会计操纵'。修正后，该毛利率跃升应首先被视为原材料价格周期的正常反映，审计关注点应从'是否存在会计操纵'调整为'原材料价格波动的敏感性分析是否充分、存货跌价准备计提是否与价格趋势一致'。</w:t>
        <w:br/>
        <w:br/>
        <w:t>【教训】AI容易将数据波动直接映射为风险信号，而缺乏对大宗商品周期性的深度理解，导致归因判断出现方向性偏差。</w:t>
      </w:r>
    </w:p>
    <w:p>
      <w:pPr>
        <w:pStyle w:val="Heading2"/>
      </w:pPr>
      <w:r>
        <w:rPr>
          <w:rFonts w:ascii="黑体" w:hAnsi="黑体" w:eastAsia="黑体"/>
          <w:b/>
          <w:sz w:val="24"/>
        </w:rPr>
        <w:t>案例2：万科净负债率数据的盲目引用</w:t>
      </w:r>
    </w:p>
    <w:p>
      <w:pPr>
        <w:spacing w:line="360" w:lineRule="auto"/>
        <w:ind w:firstLine="432"/>
      </w:pPr>
      <w:r>
        <w:rPr>
          <w:rFonts w:ascii="宋体" w:hAnsi="宋体" w:eastAsia="宋体"/>
          <w:b w:val="0"/>
          <w:sz w:val="22"/>
        </w:rPr>
        <w:t>【AI原始判断】AI直接引用Excel中提供的净负债率数据（2024年80.6%→2025年123.48%），未进行独立验证，并将其作为'净负债率突破100%警戒线'的核心论据。</w:t>
        <w:br/>
        <w:br/>
        <w:t>【发现过程】经人工复核计算：按常规口径'（有息负债-货币资金）/归母净资产'，2024年应为（3,612.8-881.63）/2,026.66≈134.8%，与Excel中的80.6%差异巨大。进一步核查发现，Excel中的净负债率可能采用了房企特有的口径（如扣除受限资金、预收账款，或仅计算有息负债/净资产），但Excel未明确披露计算公式。</w:t>
        <w:br/>
        <w:br/>
        <w:t>【修正结论】AI应在分析中注明'净负债率口径存在不确定性，需核对年报附注中的具体计算方法'，而非直接引用单一数字作为审计依据。修正后，审计关注点增加了'净负债率计算口径一致性核查'。</w:t>
        <w:br/>
        <w:br/>
        <w:t>【教训】AI对第三方提供的数据缺乏独立验证能力，容易将来源不明的指标直接纳入分析框架，导致关键比率的可靠性存疑。</w:t>
      </w:r>
    </w:p>
    <w:p>
      <w:pPr>
        <w:pStyle w:val="Heading2"/>
      </w:pPr>
      <w:r>
        <w:rPr>
          <w:rFonts w:ascii="黑体" w:hAnsi="黑体" w:eastAsia="黑体"/>
          <w:b/>
          <w:sz w:val="24"/>
        </w:rPr>
        <w:t>案例3：中兴通讯政企业务毛利率下滑的过度推断</w:t>
      </w:r>
    </w:p>
    <w:p>
      <w:pPr>
        <w:spacing w:line="360" w:lineRule="auto"/>
        <w:ind w:firstLine="432"/>
      </w:pPr>
      <w:r>
        <w:rPr>
          <w:rFonts w:ascii="宋体" w:hAnsi="宋体" w:eastAsia="宋体"/>
          <w:b w:val="0"/>
          <w:sz w:val="22"/>
        </w:rPr>
        <w:t>【AI原始判断】AI将政企业务毛利率从15.33%降至10.97%归因于'低价竞标、项目成本超支、收入确认与成本匹配不当、关联交易转移利润'，并建议核查是否存在关联交易。</w:t>
        <w:br/>
        <w:br/>
        <w:t>【发现过程】经人工复核年报原文，上述归因主要基于行业常识推测，而非年报明确披露。政企业务毛利率下滑也可能源于：（1）产品结构变化（低毛利硬件集成占比提升，高毛利软件服务占比下降）；（2）客户结构变化（政府/国企客户议价能力强、账期长，但毛利率低）；（3）行业竞争加剧（华为、新华三等竞争对手挤压）。AI将多种可能性中的'最负面情形'（会计操纵、关联交易）作为首要归因，存在过度推断。</w:t>
        <w:br/>
        <w:br/>
        <w:t>【修正结论】AI的归因判断应更审慎，明确标注'可能原因'而非'确定原因'。修正后，审计关注点从'是否存在关联交易转移利润'调整为'结合年报MD&amp;A分析毛利率下滑的具体业务驱动因素，并对比同行（华为、新华三）同期毛利率变动趋势以判断行业共性vs公司个性'。</w:t>
        <w:br/>
        <w:br/>
        <w:t>【教训】AI在归因判断上存在'负面偏好'，倾向于将会计操纵、关联交易等审计风险作为默认解释，而忽视正常的商业逻辑（如产品/客户结构变化）。</w:t>
      </w:r>
    </w:p>
    <w:p>
      <w:pPr>
        <w:pStyle w:val="Heading2"/>
      </w:pPr>
      <w:r>
        <w:rPr>
          <w:rFonts w:ascii="黑体" w:hAnsi="黑体" w:eastAsia="黑体"/>
          <w:b/>
          <w:sz w:val="24"/>
        </w:rPr>
        <w:t>案例4：贵州茅台经营现金流下降的归因浅层化</w:t>
      </w:r>
    </w:p>
    <w:p>
      <w:pPr>
        <w:spacing w:line="360" w:lineRule="auto"/>
        <w:ind w:firstLine="432"/>
      </w:pPr>
      <w:r>
        <w:rPr>
          <w:rFonts w:ascii="宋体" w:hAnsi="宋体" w:eastAsia="宋体"/>
          <w:b w:val="0"/>
          <w:sz w:val="22"/>
        </w:rPr>
        <w:t>【AI原始判断】AI引用了Excel备注中的年报解释——'主要因控股子公司贵州茅台集团财务有限公司吸收集团成员单位存款减少及不可随时支取的同业存款增加'，但未进一步分析该解释对合并报表现金流的影响机制。</w:t>
        <w:br/>
        <w:br/>
        <w:t>【发现过程】经人工复核现金流量表结构，发现'财务公司吸收存款减少'属于筹资活动现金流范畴（吸收存款收到的现金），而'不可随时支取的同业存款增加'属于投资活动或经营活动中的'存放中央银行款项'。AI将两者混为一谈，均归入'经营现金流下降'的解释，实际上可能涉及筹资活动现金流的重分类问题。</w:t>
        <w:br/>
        <w:br/>
        <w:t>【修正结论】AI应区分财务公司存款变动对经营活动、投资活动、筹资活动现金流的不同影响，而非简单复述年报解释。修正后，审计关注点增加了'财务公司并表对现金流量表分类的影响核查'。</w:t>
        <w:br/>
        <w:br/>
        <w:t>【教训】AI对复杂集团架构（如财务公司并表）的会计处理理解深度不足，容易将管理层解释表面化引用，而未能穿透至会计科目层面进行验证。</w:t>
      </w:r>
    </w:p>
    <w:p>
      <w:pPr>
        <w:pStyle w:val="Heading2"/>
      </w:pPr>
      <w:r>
        <w:rPr>
          <w:rFonts w:ascii="黑体" w:hAnsi="黑体" w:eastAsia="黑体"/>
          <w:b/>
          <w:sz w:val="24"/>
        </w:rPr>
        <w:t>案例5：中国建筑'经重述'数据对杜邦可比性的影响被忽视</w:t>
      </w:r>
    </w:p>
    <w:p>
      <w:pPr>
        <w:spacing w:line="360" w:lineRule="auto"/>
        <w:ind w:firstLine="432"/>
      </w:pPr>
      <w:r>
        <w:rPr>
          <w:rFonts w:ascii="宋体" w:hAnsi="宋体" w:eastAsia="宋体"/>
          <w:b w:val="0"/>
          <w:sz w:val="22"/>
        </w:rPr>
        <w:t>【AI原始判断】AI注意到2024年数据为'经重述'口径，并在分析中注明，但未进一步分析重述对杜邦分析可比性的影响。</w:t>
        <w:br/>
        <w:br/>
        <w:t>【发现过程】经人工复核发现，'经重述'源于同一控制下企业合并追溯调整，涉及总资产、净资产等关键科目的期初数调整。杜邦分析中的总资产周转率和权益乘数均使用'期末数'计算，而ROE变动趋势判断依赖于2024年（重述后）与2025年的对比。如果重述仅调整期初数而未调整期末数，则对杜邦分析影响有限；但如果重述涉及2024年全年平均资产/净资产的调整，则加权平均ROE（年报披露）与杜邦计算的期末ROE之间的差异会被放大。</w:t>
        <w:br/>
        <w:br/>
        <w:t>【修正结论】AI应在分析中说明'经重述'的具体范围（哪些科目调整、调整金额），并评估重述对ROE趋势判断的潜在影响。修正后，增加了'重述前后关键科目对比表'以辅助判断。</w:t>
        <w:br/>
        <w:br/>
        <w:t>【教训】AI对会计政策变更和追溯调整的理解停留在'标注存在'层面，未能深入评估其对分析框架的实质性影响。</w:t>
      </w:r>
    </w:p>
    <w:p>
      <w:r>
        <w:br w:type="page"/>
      </w:r>
    </w:p>
    <w:p>
      <w:pPr>
        <w:pStyle w:val="Heading1"/>
      </w:pPr>
      <w:r>
        <w:rPr>
          <w:rFonts w:ascii="黑体" w:hAnsi="黑体" w:eastAsia="黑体"/>
          <w:b/>
          <w:sz w:val="28"/>
        </w:rPr>
        <w:t>二、AI辅助分析适用边界总结</w:t>
      </w:r>
    </w:p>
    <w:p>
      <w:pPr>
        <w:spacing w:line="360" w:lineRule="auto"/>
        <w:ind w:firstLine="432"/>
      </w:pPr>
      <w:r>
        <w:rPr>
          <w:rFonts w:ascii="宋体" w:hAnsi="宋体" w:eastAsia="宋体"/>
          <w:b w:val="0"/>
          <w:sz w:val="22"/>
        </w:rPr>
        <w:t>AI在财务分析中的能力呈现明显的'双峰分布'：在结构化数据处理上表现优异，在需要商业判断和因果推断的环节则存在系统性局限。</w:t>
        <w:br/>
        <w:br/>
        <w:t>AI擅长的事项包括：第一，从标准化Excel表格中快速提取和转换数据单位（如百万元转亿元），并自动完成杜邦分析等标准化计算，计算精度可达10⁻¹⁸级别，远超人工；第二，按照预设模板进行初步归纳，如自动识别'应收账款增速超过营收增速'等规则化风险信号，生成格式统一的分析表格和文档；第三，在跨公司横向对比中快速建立汇总表，实现数据的标准化呈现。</w:t>
        <w:br/>
        <w:br/>
        <w:t>AI不擅长的事项包括：第一，归因判断。AI容易将数据波动直接映射为风险信号（如把毛利率跃升直接定性为'异常'），而忽视行业周期性、产品结构变化等商业逻辑，存在'负面偏好'和'过度推断'倾向；第二，数据验证。AI对第三方提供的数据（如净负债率）缺乏独立验证能力，容易引用口径不一致或来源不明的指标；第三，复杂架构理解。AI对集团财务公司并表、同一控制下企业合并追溯调整等复杂会计处理的理解停留在表面，难以穿透至会计科目层面进行验证；第四，趋势解释。AI倾向于用静态规则解释动态变化，难以结合宏观经济周期、行业竞争格局演变进行深度分析。</w:t>
        <w:br/>
        <w:br/>
        <w:t>必须人工复核的环节包括：（1）非经常性损益识别——AI难以区分经常性经营利润与一次性收益/损失，需人工判断投资收益、资产处置收益、政府补助等项目是否应剔除；（2）关键比率口径核查——如净负债率、毛利率等比率存在多种计算口径，需人工核对年报附注确认公式一致性；（3）归因合理性验证——AI给出的风险归因（如'低价竞标''关联交易'）需结合年报管理层讨论、行业研报进行交叉验证，避免将商业逻辑误判为审计风险；（4）持续经营假设评估——对于亏损企业（如万科），AI的杜邦分析因子贡献方向与盈利企业相反，需人工解读其经济含义，不能简单套用正向逻辑。</w:t>
        <w:br/>
        <w:br/>
        <w:t>综上，AI在财务分析中的最佳定位是'高效的数据提取与计算助手'和'标准化的初稿生成器'，而非'独立的分析判断者'。分析结论的可靠性最终取决于人工复核的深度，尤其是在归因判断、数据验证和复杂会计处理理解三个环节，人工介入是不可替代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