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pPr>
        <w:pStyle w:val="Title"/>
        <w:spacing w:before="280" w:after="280"/>
      </w:pPr>
      <w:r>
        <w:rPr>
          <w:rFonts w:ascii="Helvetica Neue" w:hAnsi="Helvetica Neue" w:eastAsia="Helvetica Neue"/>
          <w:b/>
          <w:i w:val="0"/>
          <w:color w:val="111111"/>
          <w:sz w:val="60"/>
        </w:rPr>
        <w:t>Documentation standardization</w:t>
      </w:r>
    </w:p>
    <w:tbl>
      <w:tblPr>
        <w:tblW w:type="auto" w:w="0"/>
        <w:tblLayout w:type="autofit"/>
        <w:tblLook w:firstColumn="1" w:firstRow="1" w:lastColumn="0" w:lastRow="0" w:noHBand="0" w:noVBand="1" w:val="04A0"/>
      </w:tblPr>
      <w:tblGrid>
        <w:gridCol w:w="3120"/>
        <w:gridCol w:w="3120"/>
        <w:gridCol w:w="3120"/>
      </w:tblGrid>
      <w:tr>
        <w:tc>
          <w:tcPr>
            <w:tcW w:type="dxa" w:w="3120"/>
          </w:tcPr>
          <w:p>
            <w:r/>
            <w:r>
              <w:rPr>
                <w:rFonts w:ascii="Helvetica Neue" w:hAnsi="Helvetica Neue" w:eastAsia="Helvetica Neue"/>
                <w:b w:val="0"/>
                <w:i w:val="0"/>
                <w:color w:val="777777"/>
                <w:sz w:val="22"/>
              </w:rPr>
              <w:t>Current-state runtime and documentation review</w:t>
            </w:r>
          </w:p>
        </w:tc>
        <w:tc>
          <w:tcPr>
            <w:tcW w:type="dxa" w:w="3120"/>
          </w:tcPr>
          <w:p>
            <w:r/>
          </w:p>
        </w:tc>
        <w:tc>
          <w:tcPr>
            <w:tcW w:type="dxa" w:w="3120"/>
          </w:tcPr>
          <w:p>
            <w:r>
              <w:rPr>
                <w:rFonts w:ascii="Helvetica Neue" w:hAnsi="Helvetica Neue" w:eastAsia="Helvetica Neue"/>
                <w:b w:val="0"/>
                <w:i w:val="0"/>
                <w:color w:val="777777"/>
                <w:sz w:val="22"/>
              </w:rPr>
              <w:t>Prepared by Codex</w:t>
              <w:br/>
              <w:t>August 2026</w:t>
            </w:r>
          </w:p>
        </w:tc>
      </w:tr>
    </w:tbl>
    <w:p>
      <w:r>
        <w:br w:type="page"/>
      </w:r>
    </w:p>
    <w:p>
      <w:pPr>
        <w:spacing w:after="480"/>
      </w:pPr>
      <w:r>
        <w:rPr>
          <w:rFonts w:ascii="Helvetica Neue" w:hAnsi="Helvetica Neue" w:eastAsia="Helvetica Neue"/>
          <w:b w:val="0"/>
          <w:i w:val="0"/>
          <w:color w:val="111111"/>
          <w:sz w:val="64"/>
        </w:rPr>
        <w:t>Contents</w:t>
      </w:r>
    </w:p>
    <w:p>
      <w:pPr>
        <w:tabs>
          <w:tab w:pos="9288" w:val="right" w:leader="dot"/>
        </w:tabs>
        <w:spacing w:after="140"/>
      </w:pPr>
      <w:r>
        <w:rPr>
          <w:rFonts w:ascii="Helvetica Neue" w:hAnsi="Helvetica Neue" w:eastAsia="Helvetica Neue"/>
          <w:b w:val="0"/>
          <w:i w:val="0"/>
          <w:color w:val="111111"/>
          <w:sz w:val="22"/>
        </w:rPr>
        <w:t>Executive summary</w:t>
      </w:r>
      <w:r>
        <w:rPr>
          <w:rFonts w:ascii="Helvetica Neue" w:hAnsi="Helvetica Neue" w:eastAsia="Helvetica Neue"/>
          <w:b w:val="0"/>
          <w:i w:val="0"/>
          <w:color w:val="111111"/>
          <w:sz w:val="22"/>
        </w:rPr>
        <w:tab/>
        <w:t>3</w:t>
      </w:r>
    </w:p>
    <w:p>
      <w:pPr>
        <w:tabs>
          <w:tab w:pos="9288" w:val="right" w:leader="dot"/>
        </w:tabs>
        <w:spacing w:after="140"/>
      </w:pPr>
      <w:r>
        <w:rPr>
          <w:rFonts w:ascii="Helvetica Neue" w:hAnsi="Helvetica Neue" w:eastAsia="Helvetica Neue"/>
          <w:b w:val="0"/>
          <w:i w:val="0"/>
          <w:color w:val="111111"/>
          <w:sz w:val="22"/>
        </w:rPr>
        <w:t xml:space="preserve">  At a glance</w:t>
      </w:r>
      <w:r>
        <w:rPr>
          <w:rFonts w:ascii="Helvetica Neue" w:hAnsi="Helvetica Neue" w:eastAsia="Helvetica Neue"/>
          <w:b w:val="0"/>
          <w:i w:val="0"/>
          <w:color w:val="111111"/>
          <w:sz w:val="22"/>
        </w:rPr>
        <w:tab/>
        <w:t>3</w:t>
      </w:r>
    </w:p>
    <w:p>
      <w:pPr>
        <w:tabs>
          <w:tab w:pos="9288" w:val="right" w:leader="dot"/>
        </w:tabs>
        <w:spacing w:after="140"/>
      </w:pPr>
      <w:r>
        <w:rPr>
          <w:rFonts w:ascii="Helvetica Neue" w:hAnsi="Helvetica Neue" w:eastAsia="Helvetica Neue"/>
          <w:b w:val="0"/>
          <w:i w:val="0"/>
          <w:color w:val="111111"/>
          <w:sz w:val="22"/>
        </w:rPr>
        <w:t xml:space="preserve">  Introduction</w:t>
      </w:r>
      <w:r>
        <w:rPr>
          <w:rFonts w:ascii="Helvetica Neue" w:hAnsi="Helvetica Neue" w:eastAsia="Helvetica Neue"/>
          <w:b w:val="0"/>
          <w:i w:val="0"/>
          <w:color w:val="111111"/>
          <w:sz w:val="22"/>
        </w:rPr>
        <w:tab/>
        <w:t>3</w:t>
      </w:r>
    </w:p>
    <w:p>
      <w:pPr>
        <w:tabs>
          <w:tab w:pos="9288" w:val="right" w:leader="dot"/>
        </w:tabs>
        <w:spacing w:after="140"/>
      </w:pPr>
      <w:r>
        <w:rPr>
          <w:rFonts w:ascii="Helvetica Neue" w:hAnsi="Helvetica Neue" w:eastAsia="Helvetica Neue"/>
          <w:b w:val="0"/>
          <w:i w:val="0"/>
          <w:color w:val="111111"/>
          <w:sz w:val="22"/>
        </w:rPr>
        <w:t>Key findings</w:t>
      </w:r>
      <w:r>
        <w:rPr>
          <w:rFonts w:ascii="Helvetica Neue" w:hAnsi="Helvetica Neue" w:eastAsia="Helvetica Neue"/>
          <w:b w:val="0"/>
          <w:i w:val="0"/>
          <w:color w:val="111111"/>
          <w:sz w:val="22"/>
        </w:rPr>
        <w:tab/>
        <w:t>4</w:t>
      </w:r>
    </w:p>
    <w:p>
      <w:pPr>
        <w:tabs>
          <w:tab w:pos="9288" w:val="right" w:leader="dot"/>
        </w:tabs>
        <w:spacing w:after="140"/>
      </w:pPr>
      <w:r>
        <w:rPr>
          <w:rFonts w:ascii="Helvetica Neue" w:hAnsi="Helvetica Neue" w:eastAsia="Helvetica Neue"/>
          <w:b w:val="0"/>
          <w:i w:val="0"/>
          <w:color w:val="111111"/>
          <w:sz w:val="22"/>
        </w:rPr>
        <w:t xml:space="preserve">  Context and conditions</w:t>
      </w:r>
      <w:r>
        <w:rPr>
          <w:rFonts w:ascii="Helvetica Neue" w:hAnsi="Helvetica Neue" w:eastAsia="Helvetica Neue"/>
          <w:b w:val="0"/>
          <w:i w:val="0"/>
          <w:color w:val="111111"/>
          <w:sz w:val="22"/>
        </w:rPr>
        <w:tab/>
        <w:t>4</w:t>
      </w:r>
    </w:p>
    <w:p>
      <w:pPr>
        <w:tabs>
          <w:tab w:pos="9288" w:val="right" w:leader="dot"/>
        </w:tabs>
        <w:spacing w:after="140"/>
      </w:pPr>
      <w:r>
        <w:rPr>
          <w:rFonts w:ascii="Helvetica Neue" w:hAnsi="Helvetica Neue" w:eastAsia="Helvetica Neue"/>
          <w:b w:val="0"/>
          <w:i w:val="0"/>
          <w:color w:val="111111"/>
          <w:sz w:val="22"/>
        </w:rPr>
        <w:t xml:space="preserve">  Patterns in the evidence</w:t>
      </w:r>
      <w:r>
        <w:rPr>
          <w:rFonts w:ascii="Helvetica Neue" w:hAnsi="Helvetica Neue" w:eastAsia="Helvetica Neue"/>
          <w:b w:val="0"/>
          <w:i w:val="0"/>
          <w:color w:val="111111"/>
          <w:sz w:val="22"/>
        </w:rPr>
        <w:tab/>
        <w:t>4</w:t>
      </w:r>
    </w:p>
    <w:p>
      <w:pPr>
        <w:tabs>
          <w:tab w:pos="9288" w:val="right" w:leader="dot"/>
        </w:tabs>
        <w:spacing w:after="140"/>
      </w:pPr>
      <w:r>
        <w:rPr>
          <w:rFonts w:ascii="Helvetica Neue" w:hAnsi="Helvetica Neue" w:eastAsia="Helvetica Neue"/>
          <w:b w:val="0"/>
          <w:i w:val="0"/>
          <w:color w:val="111111"/>
          <w:sz w:val="22"/>
        </w:rPr>
        <w:t xml:space="preserve">  Implications</w:t>
      </w:r>
      <w:r>
        <w:rPr>
          <w:rFonts w:ascii="Helvetica Neue" w:hAnsi="Helvetica Neue" w:eastAsia="Helvetica Neue"/>
          <w:b w:val="0"/>
          <w:i w:val="0"/>
          <w:color w:val="111111"/>
          <w:sz w:val="22"/>
        </w:rPr>
        <w:tab/>
        <w:t>5</w:t>
      </w:r>
    </w:p>
    <w:p>
      <w:pPr>
        <w:tabs>
          <w:tab w:pos="9288" w:val="right" w:leader="dot"/>
        </w:tabs>
        <w:spacing w:after="140"/>
      </w:pPr>
      <w:r>
        <w:rPr>
          <w:rFonts w:ascii="Helvetica Neue" w:hAnsi="Helvetica Neue" w:eastAsia="Helvetica Neue"/>
          <w:b w:val="0"/>
          <w:i w:val="0"/>
          <w:color w:val="111111"/>
          <w:sz w:val="22"/>
        </w:rPr>
        <w:t>Recommendations</w:t>
      </w:r>
      <w:r>
        <w:rPr>
          <w:rFonts w:ascii="Helvetica Neue" w:hAnsi="Helvetica Neue" w:eastAsia="Helvetica Neue"/>
          <w:b w:val="0"/>
          <w:i w:val="0"/>
          <w:color w:val="111111"/>
          <w:sz w:val="22"/>
        </w:rPr>
        <w:tab/>
        <w:t>6</w:t>
      </w:r>
    </w:p>
    <w:p>
      <w:pPr>
        <w:tabs>
          <w:tab w:pos="9288" w:val="right" w:leader="dot"/>
        </w:tabs>
        <w:spacing w:after="140"/>
      </w:pPr>
      <w:r>
        <w:rPr>
          <w:rFonts w:ascii="Helvetica Neue" w:hAnsi="Helvetica Neue" w:eastAsia="Helvetica Neue"/>
          <w:b w:val="0"/>
          <w:i w:val="0"/>
          <w:color w:val="111111"/>
          <w:sz w:val="22"/>
        </w:rPr>
        <w:t xml:space="preserve">  Conclusion</w:t>
      </w:r>
      <w:r>
        <w:rPr>
          <w:rFonts w:ascii="Helvetica Neue" w:hAnsi="Helvetica Neue" w:eastAsia="Helvetica Neue"/>
          <w:b w:val="0"/>
          <w:i w:val="0"/>
          <w:color w:val="111111"/>
          <w:sz w:val="22"/>
        </w:rPr>
        <w:tab/>
        <w:t>6</w:t>
      </w:r>
    </w:p>
    <w:p>
      <w:pPr>
        <w:tabs>
          <w:tab w:pos="9288" w:val="right" w:leader="dot"/>
        </w:tabs>
        <w:spacing w:after="140"/>
      </w:pPr>
      <w:r>
        <w:rPr>
          <w:rFonts w:ascii="Helvetica Neue" w:hAnsi="Helvetica Neue" w:eastAsia="Helvetica Neue"/>
          <w:b w:val="0"/>
          <w:i w:val="0"/>
          <w:color w:val="111111"/>
          <w:sz w:val="22"/>
        </w:rPr>
        <w:t>Appendix</w:t>
      </w:r>
      <w:r>
        <w:rPr>
          <w:rFonts w:ascii="Helvetica Neue" w:hAnsi="Helvetica Neue" w:eastAsia="Helvetica Neue"/>
          <w:b w:val="0"/>
          <w:i w:val="0"/>
          <w:color w:val="111111"/>
          <w:sz w:val="22"/>
        </w:rPr>
        <w:tab/>
        <w:t>7</w:t>
      </w:r>
    </w:p>
    <w:p>
      <w:pPr>
        <w:tabs>
          <w:tab w:pos="9288" w:val="right" w:leader="dot"/>
        </w:tabs>
        <w:spacing w:after="140"/>
      </w:pPr>
      <w:r>
        <w:rPr>
          <w:rFonts w:ascii="Helvetica Neue" w:hAnsi="Helvetica Neue" w:eastAsia="Helvetica Neue"/>
          <w:b w:val="0"/>
          <w:i w:val="0"/>
          <w:color w:val="111111"/>
          <w:sz w:val="22"/>
        </w:rPr>
        <w:t xml:space="preserve">  Notes</w:t>
      </w:r>
      <w:r>
        <w:rPr>
          <w:rFonts w:ascii="Helvetica Neue" w:hAnsi="Helvetica Neue" w:eastAsia="Helvetica Neue"/>
          <w:b w:val="0"/>
          <w:i w:val="0"/>
          <w:color w:val="111111"/>
          <w:sz w:val="22"/>
        </w:rPr>
        <w:tab/>
        <w:t>7</w:t>
      </w:r>
    </w:p>
    <w:p>
      <w:pPr>
        <w:tabs>
          <w:tab w:pos="9288" w:val="right" w:leader="dot"/>
        </w:tabs>
        <w:spacing w:after="140"/>
      </w:pPr>
      <w:r>
        <w:rPr>
          <w:rFonts w:ascii="Helvetica Neue" w:hAnsi="Helvetica Neue" w:eastAsia="Helvetica Neue"/>
          <w:b w:val="0"/>
          <w:i w:val="0"/>
          <w:color w:val="111111"/>
          <w:sz w:val="22"/>
        </w:rPr>
        <w:t xml:space="preserve">  Current contract</w:t>
      </w:r>
      <w:r>
        <w:rPr>
          <w:rFonts w:ascii="Helvetica Neue" w:hAnsi="Helvetica Neue" w:eastAsia="Helvetica Neue"/>
          <w:b w:val="0"/>
          <w:i w:val="0"/>
          <w:color w:val="111111"/>
          <w:sz w:val="22"/>
        </w:rPr>
        <w:tab/>
        <w:t>7</w:t>
      </w:r>
    </w:p>
    <w:p>
      <w:r>
        <w:br w:type="page"/>
      </w:r>
    </w:p>
    <w:p>
      <w:pPr>
        <w:pStyle w:val="Heading1"/>
        <w:spacing w:after="200"/>
      </w:pPr>
      <w:r>
        <w:rPr>
          <w:rFonts w:ascii="Helvetica Neue" w:hAnsi="Helvetica Neue" w:eastAsia="Helvetica Neue"/>
          <w:b w:val="0"/>
          <w:i w:val="0"/>
          <w:color w:val="111111"/>
          <w:sz w:val="48"/>
        </w:rPr>
        <w:t>Executive summary</w:t>
      </w:r>
    </w:p>
    <w:p>
      <w:pPr>
        <w:spacing w:after="160"/>
      </w:pPr>
      <w:r>
        <w:rPr>
          <w:rFonts w:ascii="Helvetica Neue" w:hAnsi="Helvetica Neue" w:eastAsia="Helvetica Neue"/>
          <w:b w:val="0"/>
          <w:i w:val="0"/>
          <w:color w:val="111111"/>
          <w:sz w:val="22"/>
        </w:rPr>
        <w:t>The repository documentation has been aligned with the code that actually runs today. The central correction is architectural: the product path is one `super_navigation_node` process that owns ROG-Map and SUPER, not the previously documented snapshot/controller split.</w:t>
      </w:r>
    </w:p>
    <w:p>
      <w:pPr>
        <w:spacing w:after="240"/>
      </w:pPr>
      <w:r>
        <w:rPr>
          <w:rFonts w:ascii="Helvetica Neue" w:hAnsi="Helvetica Neue" w:eastAsia="Helvetica Neue"/>
          <w:b w:val="0"/>
          <w:i w:val="0"/>
          <w:color w:val="111111"/>
          <w:sz w:val="22"/>
        </w:rPr>
        <w:t>The cleanup also establishes one documentation source of truth for runtime validation, one RViz profile for live topics, and one public report tool. Historical benchmark evidence is retained but explicitly marked as historical, while the unimplemented snapshot architecture document is removed.</w:t>
      </w:r>
    </w:p>
    <w:p>
      <w:pPr>
        <w:pStyle w:val="Heading2"/>
        <w:spacing w:after="140"/>
      </w:pPr>
      <w:r>
        <w:rPr>
          <w:rFonts w:ascii="Helvetica Neue" w:hAnsi="Helvetica Neue" w:eastAsia="Helvetica Neue"/>
          <w:b w:val="0"/>
          <w:i w:val="0"/>
          <w:color w:val="111111"/>
          <w:sz w:val="34"/>
        </w:rPr>
        <w:t>At a glance</w:t>
      </w:r>
    </w:p>
    <w:p>
      <w:pPr>
        <w:spacing w:after="120"/>
        <w:ind w:left="317" w:hanging="259"/>
      </w:pPr>
      <w:r>
        <w:rPr>
          <w:rFonts w:ascii="Helvetica Neue" w:hAnsi="Helvetica Neue" w:eastAsia="Helvetica Neue"/>
          <w:b w:val="0"/>
          <w:i w:val="0"/>
          <w:color w:val="111111"/>
          <w:sz w:val="22"/>
        </w:rPr>
        <w:t>• Current path: FAST-LIO -&gt; registered cloud and propagated odometry -&gt; super_navigation_node -&gt; /navigation/super_command -&gt; PX4 External Mode.</w:t>
      </w:r>
    </w:p>
    <w:p>
      <w:pPr>
        <w:spacing w:after="120"/>
        <w:ind w:left="317" w:hanging="259"/>
      </w:pPr>
      <w:r>
        <w:rPr>
          <w:rFonts w:ascii="Helvetica Neue" w:hAnsi="Helvetica Neue" w:eastAsia="Helvetica Neue"/>
          <w:b w:val="0"/>
          <w:i w:val="0"/>
          <w:color w:val="111111"/>
          <w:sz w:val="22"/>
        </w:rPr>
        <w:t>• Current RViz: lio_odom fixed frame, TF/grid, /lio/registered_points, and /lio/odometry_propagated; corrected odometry is optional and disabled by default.</w:t>
      </w:r>
    </w:p>
    <w:p>
      <w:pPr>
        <w:spacing w:after="120"/>
        <w:ind w:left="317" w:hanging="259"/>
      </w:pPr>
      <w:r>
        <w:rPr>
          <w:rFonts w:ascii="Helvetica Neue" w:hAnsi="Helvetica Neue" w:eastAsia="Helvetica Neue"/>
          <w:b w:val="0"/>
          <w:i w:val="0"/>
          <w:color w:val="111111"/>
          <w:sz w:val="22"/>
        </w:rPr>
        <w:t>• Current report artifacts: report.json and REPORT.html only; timing values are emitted when measured and otherwise remain unavailable.</w:t>
      </w:r>
    </w:p>
    <w:p>
      <w:pPr>
        <w:pStyle w:val="Heading2"/>
        <w:spacing w:after="140"/>
      </w:pPr>
      <w:r>
        <w:rPr>
          <w:rFonts w:ascii="Helvetica Neue" w:hAnsi="Helvetica Neue" w:eastAsia="Helvetica Neue"/>
          <w:b w:val="0"/>
          <w:i w:val="0"/>
          <w:color w:val="111111"/>
          <w:sz w:val="34"/>
        </w:rPr>
        <w:t>Introduction</w:t>
      </w:r>
    </w:p>
    <w:p>
      <w:pPr>
        <w:spacing w:after="160"/>
      </w:pPr>
      <w:r>
        <w:rPr>
          <w:rFonts w:ascii="Helvetica Neue" w:hAnsi="Helvetica Neue" w:eastAsia="Helvetica Neue"/>
          <w:b w:val="0"/>
          <w:i w:val="0"/>
          <w:color w:val="111111"/>
          <w:sz w:val="22"/>
        </w:rPr>
        <w:t>This review used the live launch files, runtime node, YAML configuration, report implementation, RViz profile, and existing Markdown set. The acceptance rule is simple: documentation names, topics, ownership, and artifact claims must be traceable to current source or clearly labeled as historical evidence.</w:t>
      </w:r>
    </w:p>
    <w:p>
      <w:pPr>
        <w:spacing w:after="160"/>
      </w:pPr>
      <w:r>
        <w:rPr>
          <w:rFonts w:ascii="Helvetica Neue" w:hAnsi="Helvetica Neue" w:eastAsia="Helvetica Neue"/>
          <w:b w:val="0"/>
          <w:i/>
          <w:color w:val="555555"/>
          <w:sz w:val="22"/>
        </w:rPr>
        <w:t>The review is a documentation and artifact cleanup. It does not claim a new end-to-end SITL flight result.</w:t>
      </w:r>
    </w:p>
    <w:p>
      <w:r>
        <w:br w:type="page"/>
      </w:r>
    </w:p>
    <w:p>
      <w:pPr>
        <w:pStyle w:val="Heading1"/>
        <w:spacing w:after="200"/>
      </w:pPr>
      <w:r>
        <w:rPr>
          <w:rFonts w:ascii="Helvetica Neue" w:hAnsi="Helvetica Neue" w:eastAsia="Helvetica Neue"/>
          <w:b w:val="0"/>
          <w:i w:val="0"/>
          <w:color w:val="111111"/>
          <w:sz w:val="48"/>
        </w:rPr>
        <w:t>Key findings</w:t>
      </w:r>
    </w:p>
    <w:p>
      <w:pPr>
        <w:spacing w:after="200"/>
      </w:pPr>
      <w:r>
        <w:rPr>
          <w:rFonts w:ascii="Helvetica Neue" w:hAnsi="Helvetica Neue" w:eastAsia="Helvetica Neue"/>
          <w:b w:val="0"/>
          <w:i w:val="0"/>
          <w:color w:val="111111"/>
          <w:sz w:val="22"/>
        </w:rPr>
        <w:t>The stale documents were not merely verbose; several described symbols and topics that do not exist in the current runtime. Keeping them would cause operators to inspect the wrong graph and would make a clean mission appear to fail because the report was evaluated against an obsolete contract.</w:t>
      </w:r>
    </w:p>
    <w:p>
      <w:pPr>
        <w:pStyle w:val="Heading2"/>
        <w:spacing w:after="140"/>
      </w:pPr>
      <w:r>
        <w:rPr>
          <w:rFonts w:ascii="Helvetica Neue" w:hAnsi="Helvetica Neue" w:eastAsia="Helvetica Neue"/>
          <w:b w:val="0"/>
          <w:i w:val="0"/>
          <w:color w:val="111111"/>
          <w:sz w:val="34"/>
        </w:rPr>
        <w:t>Context and conditions</w:t>
      </w:r>
    </w:p>
    <w:p>
      <w:pPr>
        <w:spacing w:after="160"/>
      </w:pPr>
      <w:r>
        <w:rPr>
          <w:rFonts w:ascii="Helvetica Neue" w:hAnsi="Helvetica Neue" w:eastAsia="Helvetica Neue"/>
          <w:b w:val="0"/>
          <w:i w:val="0"/>
          <w:color w:val="111111"/>
          <w:sz w:val="22"/>
        </w:rPr>
        <w:t>`super_navigation_node` subscribes to `/lio/registered_points`, `/lio/odometry_propagated`, `/navigation/goal`, and `/navigation/mode_status`. It publishes `/navigation/super_command` and `/navigation/diagnostics`. The configured planner and command loops are 10 Hz and 50 Hz, with 0.1 s input skew, 0.5 s input age, and a 1.0 s solve timeout.</w:t>
      </w:r>
    </w:p>
    <w:p>
      <w:pPr>
        <w:spacing w:after="160"/>
      </w:pPr>
      <w:r>
        <w:rPr>
          <w:rFonts w:ascii="Helvetica Neue" w:hAnsi="Helvetica Neue" w:eastAsia="Helvetica Neue"/>
          <w:b w:val="0"/>
          <w:i w:val="0"/>
          <w:color w:val="111111"/>
          <w:sz w:val="22"/>
        </w:rPr>
        <w:t>The current RViz configuration matches those live boundaries. ROG-Map visualization, debug visualization, and the old map/planned-path topics are not part of the active profile.</w:t>
      </w:r>
    </w:p>
    <w:p>
      <w:pPr>
        <w:pStyle w:val="Heading2"/>
        <w:spacing w:after="140"/>
      </w:pPr>
      <w:r>
        <w:rPr>
          <w:rFonts w:ascii="Helvetica Neue" w:hAnsi="Helvetica Neue" w:eastAsia="Helvetica Neue"/>
          <w:b w:val="0"/>
          <w:i w:val="0"/>
          <w:color w:val="111111"/>
          <w:sz w:val="34"/>
        </w:rPr>
        <w:t>Patterns in the evidence</w:t>
      </w:r>
    </w:p>
    <w:p>
      <w:pPr>
        <w:spacing w:after="160"/>
      </w:pPr>
      <w:r>
        <w:rPr>
          <w:rFonts w:ascii="Helvetica Neue" w:hAnsi="Helvetica Neue" w:eastAsia="Helvetica Neue"/>
          <w:b w:val="0"/>
          <w:i w:val="0"/>
          <w:color w:val="111111"/>
          <w:sz w:val="22"/>
        </w:rPr>
        <w:t>The stale architecture documents formed a parallel vocabulary: `MappingWorldNode`, `WorldSnapshot`, `PlanningControllerNode`, `TrajectoryBundle`, `navigation_mapping`, and `navigation_planning`. Source inspection shows the current code instead constructs ROG-Map and SUPER directly in the runtime node.</w:t>
      </w:r>
    </w:p>
    <w:tbl>
      <w:tblPr>
        <w:tblW w:type="auto" w:w="0"/>
        <w:tblLayout w:type="autofit"/>
        <w:tblLook w:firstColumn="1" w:firstRow="1" w:lastColumn="0" w:lastRow="0" w:noHBand="0" w:noVBand="1" w:val="04A0"/>
      </w:tblPr>
      <w:tblGrid>
        <w:gridCol w:w="9360"/>
      </w:tblGrid>
      <w:tr>
        <w:tc>
          <w:tcPr>
            <w:tcW w:type="dxa" w:w="9360"/>
            <w:vAlign w:val="center"/>
            <w:shd w:fill="F1F1F1"/>
            <w:tcBorders>
              <w:left w:val="single" w:sz="18" w:color="666666"/>
            </w:tcBorders>
          </w:tcPr>
          <w:p>
            <w:pPr>
              <w:spacing w:after="40"/>
            </w:pPr>
            <w:r>
              <w:rPr>
                <w:rFonts w:ascii="Helvetica Neue" w:hAnsi="Helvetica Neue" w:eastAsia="Helvetica Neue"/>
                <w:b/>
                <w:i w:val="0"/>
                <w:color w:val="111111"/>
                <w:sz w:val="22"/>
              </w:rPr>
              <w:t xml:space="preserve">Key takeaway. </w:t>
            </w:r>
            <w:r>
              <w:rPr>
                <w:rFonts w:ascii="Helvetica Neue" w:hAnsi="Helvetica Neue" w:eastAsia="Helvetica Neue"/>
                <w:b w:val="0"/>
                <w:i w:val="0"/>
                <w:color w:val="111111"/>
                <w:sz w:val="22"/>
              </w:rPr>
              <w:t>A report outcome such as COMPLETE is not sufficient by itself. The current quality contract must also verify mission-complete evidence, waypoint acceptance, fresh/valid streams, tracking quality, collision/failsafe state, and cleanup.</w:t>
            </w:r>
          </w:p>
        </w:tc>
      </w:tr>
    </w:tbl>
    <w:p>
      <w:pPr>
        <w:spacing w:after="40"/>
      </w:pPr>
    </w:p>
    <w:p>
      <w:r>
        <w:br w:type="page"/>
      </w:r>
    </w:p>
    <w:p>
      <w:pPr>
        <w:pStyle w:val="Heading2"/>
        <w:spacing w:after="140"/>
      </w:pPr>
      <w:r>
        <w:rPr>
          <w:rFonts w:ascii="Helvetica Neue" w:hAnsi="Helvetica Neue" w:eastAsia="Helvetica Neue"/>
          <w:b w:val="0"/>
          <w:i w:val="0"/>
          <w:color w:val="111111"/>
          <w:sz w:val="34"/>
        </w:rPr>
        <w:t>Implications</w:t>
      </w:r>
    </w:p>
    <w:p>
      <w:pPr>
        <w:spacing w:after="160"/>
      </w:pPr>
      <w:r>
        <w:rPr>
          <w:rFonts w:ascii="Helvetica Neue" w:hAnsi="Helvetica Neue" w:eastAsia="Helvetica Neue"/>
          <w:b w:val="0"/>
          <w:i w:val="0"/>
          <w:color w:val="111111"/>
          <w:sz w:val="22"/>
        </w:rPr>
        <w:t>The documentation set should be small enough that an operator can identify the live graph, run the right workflow, inspect the right topics, and open the right artifact without cross-reading speculative designs.</w:t>
      </w:r>
    </w:p>
    <w:tbl>
      <w:tblPr>
        <w:tblW w:type="auto" w:w="0"/>
        <w:tblLook w:firstColumn="1" w:firstRow="1" w:lastColumn="0" w:lastRow="0" w:noHBand="0" w:noVBand="1" w:val="04A0"/>
      </w:tblPr>
      <w:tblGrid>
        <w:gridCol w:w="3120"/>
        <w:gridCol w:w="3120"/>
        <w:gridCol w:w="3120"/>
      </w:tblGrid>
      <w:tr>
        <w:tc>
          <w:tcPr>
            <w:tcW w:type="dxa" w:w="3120"/>
            <w:shd w:fill="F1F1F1"/>
            <w:tcBorders>
              <w:top w:val="single" w:sz="4" w:color="D9D9D9"/>
              <w:left w:val="single" w:sz="4" w:color="D9D9D9"/>
              <w:bottom w:val="single" w:sz="4" w:color="D9D9D9"/>
              <w:right w:val="single" w:sz="4" w:color="D9D9D9"/>
            </w:tcBorders>
          </w:tcPr>
          <w:p>
            <w:r>
              <w:rPr>
                <w:rFonts w:ascii="Helvetica Neue" w:hAnsi="Helvetica Neue" w:eastAsia="Helvetica Neue"/>
                <w:b/>
                <w:i w:val="0"/>
                <w:color w:val="111111"/>
                <w:sz w:val="20"/>
              </w:rPr>
              <w:t>Theme</w:t>
            </w:r>
          </w:p>
        </w:tc>
        <w:tc>
          <w:tcPr>
            <w:tcW w:type="dxa" w:w="3120"/>
            <w:shd w:fill="F1F1F1"/>
            <w:tcBorders>
              <w:top w:val="single" w:sz="4" w:color="D9D9D9"/>
              <w:left w:val="single" w:sz="4" w:color="D9D9D9"/>
              <w:bottom w:val="single" w:sz="4" w:color="D9D9D9"/>
              <w:right w:val="single" w:sz="4" w:color="D9D9D9"/>
            </w:tcBorders>
          </w:tcPr>
          <w:p>
            <w:r>
              <w:rPr>
                <w:rFonts w:ascii="Helvetica Neue" w:hAnsi="Helvetica Neue" w:eastAsia="Helvetica Neue"/>
                <w:b/>
                <w:i w:val="0"/>
                <w:color w:val="111111"/>
                <w:sz w:val="20"/>
              </w:rPr>
              <w:t>Evidence in current repo</w:t>
            </w:r>
          </w:p>
        </w:tc>
        <w:tc>
          <w:tcPr>
            <w:tcW w:type="dxa" w:w="3120"/>
            <w:shd w:fill="F1F1F1"/>
            <w:tcBorders>
              <w:top w:val="single" w:sz="4" w:color="D9D9D9"/>
              <w:left w:val="single" w:sz="4" w:color="D9D9D9"/>
              <w:bottom w:val="single" w:sz="4" w:color="D9D9D9"/>
              <w:right w:val="single" w:sz="4" w:color="D9D9D9"/>
            </w:tcBorders>
          </w:tcPr>
          <w:p>
            <w:r>
              <w:rPr>
                <w:rFonts w:ascii="Helvetica Neue" w:hAnsi="Helvetica Neue" w:eastAsia="Helvetica Neue"/>
                <w:b/>
                <w:i w:val="0"/>
                <w:color w:val="111111"/>
                <w:sz w:val="20"/>
              </w:rPr>
              <w:t>Documentation implication</w:t>
            </w:r>
          </w:p>
        </w:tc>
      </w:tr>
      <w:tr>
        <w:tc>
          <w:tcPr>
            <w:tcW w:type="dxa" w:w="312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Runtime ownership</w:t>
            </w:r>
          </w:p>
        </w:tc>
        <w:tc>
          <w:tcPr>
            <w:tcW w:type="dxa" w:w="312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`super_navigation_node` directly owns ROG-Map and SUPER.</w:t>
            </w:r>
          </w:p>
        </w:tc>
        <w:tc>
          <w:tcPr>
            <w:tcW w:type="dxa" w:w="312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Document one in-process composition boundary.</w:t>
            </w:r>
          </w:p>
        </w:tc>
      </w:tr>
      <w:tr>
        <w:tc>
          <w:tcPr>
            <w:tcW w:type="dxa" w:w="312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Observability</w:t>
            </w:r>
          </w:p>
        </w:tc>
        <w:tc>
          <w:tcPr>
            <w:tcW w:type="dxa" w:w="312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The report emits `report.json` and `REPORT.html`; timing is conditional.</w:t>
            </w:r>
          </w:p>
        </w:tc>
        <w:tc>
          <w:tcPr>
            <w:tcW w:type="dxa" w:w="312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Keep one public report tool and label unavailable measurements.</w:t>
            </w:r>
          </w:p>
        </w:tc>
      </w:tr>
      <w:tr>
        <w:tc>
          <w:tcPr>
            <w:tcW w:type="dxa" w:w="312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Visualization</w:t>
            </w:r>
          </w:p>
        </w:tc>
        <w:tc>
          <w:tcPr>
            <w:tcW w:type="dxa" w:w="312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RViz shows live LIO topics; planner/map visualizers are disabled.</w:t>
            </w:r>
          </w:p>
        </w:tc>
        <w:tc>
          <w:tcPr>
            <w:tcW w:type="dxa" w:w="312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Remove stale map/path displays and topic claims.</w:t>
            </w:r>
          </w:p>
        </w:tc>
      </w:tr>
    </w:tbl>
    <w:p>
      <w:r>
        <w:br w:type="page"/>
      </w:r>
    </w:p>
    <w:p>
      <w:pPr>
        <w:pStyle w:val="Heading1"/>
        <w:spacing w:after="200"/>
      </w:pPr>
      <w:r>
        <w:rPr>
          <w:rFonts w:ascii="Helvetica Neue" w:hAnsi="Helvetica Neue" w:eastAsia="Helvetica Neue"/>
          <w:b w:val="0"/>
          <w:i w:val="0"/>
          <w:color w:val="111111"/>
          <w:sz w:val="48"/>
        </w:rPr>
        <w:t>Recommendations</w:t>
      </w:r>
    </w:p>
    <w:p>
      <w:pPr>
        <w:spacing w:after="200"/>
      </w:pPr>
      <w:r>
        <w:rPr>
          <w:rFonts w:ascii="Helvetica Neue" w:hAnsi="Helvetica Neue" w:eastAsia="Helvetica Neue"/>
          <w:b w:val="0"/>
          <w:i w:val="0"/>
          <w:color w:val="111111"/>
          <w:sz w:val="22"/>
        </w:rPr>
        <w:t>The cleanup is intended to be durable. New documents should be added only when they name a current owner, a current interface, or a historical result with a date and scope.</w:t>
      </w:r>
    </w:p>
    <w:p>
      <w:pPr>
        <w:spacing w:after="160"/>
        <w:ind w:left="403" w:hanging="317"/>
      </w:pPr>
      <w:r>
        <w:rPr>
          <w:rFonts w:ascii="Helvetica Neue" w:hAnsi="Helvetica Neue" w:eastAsia="Helvetica Neue"/>
          <w:b w:val="0"/>
          <w:i w:val="0"/>
          <w:color w:val="111111"/>
          <w:sz w:val="22"/>
        </w:rPr>
        <w:t xml:space="preserve">1. </w:t>
      </w:r>
      <w:r>
        <w:rPr>
          <w:rFonts w:ascii="Helvetica Neue" w:hAnsi="Helvetica Neue" w:eastAsia="Helvetica Neue"/>
          <w:b/>
          <w:i w:val="0"/>
          <w:color w:val="111111"/>
          <w:sz w:val="22"/>
        </w:rPr>
        <w:t xml:space="preserve">Keep one canonical runtime guide. </w:t>
      </w:r>
      <w:r>
        <w:rPr>
          <w:rFonts w:ascii="Helvetica Neue" w:hAnsi="Helvetica Neue" w:eastAsia="Helvetica Neue"/>
          <w:b w:val="0"/>
          <w:i w:val="0"/>
          <w:color w:val="111111"/>
          <w:sz w:val="22"/>
        </w:rPr>
        <w:t>Use `docs/runtime_validation.md` for commands, topics, verdicts, artifact paths, RViz, and cleanup. Avoid copying command matrices into package READMEs.</w:t>
      </w:r>
    </w:p>
    <w:p>
      <w:pPr>
        <w:spacing w:after="160"/>
        <w:ind w:left="403" w:hanging="317"/>
      </w:pPr>
      <w:r>
        <w:rPr>
          <w:rFonts w:ascii="Helvetica Neue" w:hAnsi="Helvetica Neue" w:eastAsia="Helvetica Neue"/>
          <w:b w:val="0"/>
          <w:i w:val="0"/>
          <w:color w:val="111111"/>
          <w:sz w:val="22"/>
        </w:rPr>
        <w:t xml:space="preserve">2. </w:t>
      </w:r>
      <w:r>
        <w:rPr>
          <w:rFonts w:ascii="Helvetica Neue" w:hAnsi="Helvetica Neue" w:eastAsia="Helvetica Neue"/>
          <w:b/>
          <w:i w:val="0"/>
          <w:color w:val="111111"/>
          <w:sz w:val="22"/>
        </w:rPr>
        <w:t xml:space="preserve">Document actual ownership. </w:t>
      </w:r>
      <w:r>
        <w:rPr>
          <w:rFonts w:ascii="Helvetica Neue" w:hAnsi="Helvetica Neue" w:eastAsia="Helvetica Neue"/>
          <w:b w:val="0"/>
          <w:i w:val="0"/>
          <w:color w:val="111111"/>
          <w:sz w:val="22"/>
        </w:rPr>
        <w:t>Use `docs/architecture/navigation_layers.md`, `repository_layout.md`, and ADR-010 to describe the in-process ROG-Map/SUPER boundary. Do not reintroduce snapshot/controller names without code and message contracts.</w:t>
      </w:r>
    </w:p>
    <w:p>
      <w:pPr>
        <w:spacing w:after="160"/>
        <w:ind w:left="403" w:hanging="317"/>
      </w:pPr>
      <w:r>
        <w:rPr>
          <w:rFonts w:ascii="Helvetica Neue" w:hAnsi="Helvetica Neue" w:eastAsia="Helvetica Neue"/>
          <w:b w:val="0"/>
          <w:i w:val="0"/>
          <w:color w:val="111111"/>
          <w:sz w:val="22"/>
        </w:rPr>
        <w:t xml:space="preserve">3. </w:t>
      </w:r>
      <w:r>
        <w:rPr>
          <w:rFonts w:ascii="Helvetica Neue" w:hAnsi="Helvetica Neue" w:eastAsia="Helvetica Neue"/>
          <w:b/>
          <w:i w:val="0"/>
          <w:color w:val="111111"/>
          <w:sz w:val="22"/>
        </w:rPr>
        <w:t xml:space="preserve">Keep the report contract minimal. </w:t>
      </w:r>
      <w:r>
        <w:rPr>
          <w:rFonts w:ascii="Helvetica Neue" w:hAnsi="Helvetica Neue" w:eastAsia="Helvetica Neue"/>
          <w:b w:val="0"/>
          <w:i w:val="0"/>
          <w:color w:val="111111"/>
          <w:sz w:val="22"/>
        </w:rPr>
        <w:t>Expose `tools/runtime/report.py` as the only public entrypoint. Preserve `report.json` for machine checks and `REPORT.html` for human review; keep internal parser/renderer modules private.</w:t>
      </w:r>
    </w:p>
    <w:p>
      <w:pPr>
        <w:spacing w:after="160"/>
        <w:ind w:left="403" w:hanging="317"/>
      </w:pPr>
      <w:r>
        <w:rPr>
          <w:rFonts w:ascii="Helvetica Neue" w:hAnsi="Helvetica Neue" w:eastAsia="Helvetica Neue"/>
          <w:b w:val="0"/>
          <w:i w:val="0"/>
          <w:color w:val="111111"/>
          <w:sz w:val="22"/>
        </w:rPr>
        <w:t xml:space="preserve">4. </w:t>
      </w:r>
      <w:r>
        <w:rPr>
          <w:rFonts w:ascii="Helvetica Neue" w:hAnsi="Helvetica Neue" w:eastAsia="Helvetica Neue"/>
          <w:b/>
          <w:i w:val="0"/>
          <w:color w:val="111111"/>
          <w:sz w:val="22"/>
        </w:rPr>
        <w:t xml:space="preserve">Treat timing as evidence, not decoration. </w:t>
      </w:r>
      <w:r>
        <w:rPr>
          <w:rFonts w:ascii="Helvetica Neue" w:hAnsi="Helvetica Neue" w:eastAsia="Helvetica Neue"/>
          <w:b w:val="0"/>
          <w:i w:val="0"/>
          <w:color w:val="111111"/>
          <w:sz w:val="22"/>
        </w:rPr>
        <w:t>When diagnostics provide input conversion, map update, planner solve, publish, lock, cycle, or end-to-end timing, report their distributions. When they do not, render `NOT_AVAILABLE` rather than a fabricated zero.</w:t>
      </w:r>
    </w:p>
    <w:p>
      <w:pPr>
        <w:spacing w:after="160"/>
        <w:ind w:left="403" w:hanging="317"/>
      </w:pPr>
      <w:r>
        <w:rPr>
          <w:rFonts w:ascii="Helvetica Neue" w:hAnsi="Helvetica Neue" w:eastAsia="Helvetica Neue"/>
          <w:b w:val="0"/>
          <w:i w:val="0"/>
          <w:color w:val="111111"/>
          <w:sz w:val="22"/>
        </w:rPr>
        <w:t xml:space="preserve">5. </w:t>
      </w:r>
      <w:r>
        <w:rPr>
          <w:rFonts w:ascii="Helvetica Neue" w:hAnsi="Helvetica Neue" w:eastAsia="Helvetica Neue"/>
          <w:b/>
          <w:i w:val="0"/>
          <w:color w:val="111111"/>
          <w:sz w:val="22"/>
        </w:rPr>
        <w:t xml:space="preserve">Verify documentation after interface changes. </w:t>
      </w:r>
      <w:r>
        <w:rPr>
          <w:rFonts w:ascii="Helvetica Neue" w:hAnsi="Helvetica Neue" w:eastAsia="Helvetica Neue"/>
          <w:b w:val="0"/>
          <w:i w:val="0"/>
          <w:color w:val="111111"/>
          <w:sz w:val="22"/>
        </w:rPr>
        <w:t>Search for old topic/node names, run the focused runtime contract tests, and render the report artifact before merging documentation changes.</w:t>
      </w:r>
    </w:p>
    <w:p>
      <w:pPr>
        <w:pStyle w:val="Heading2"/>
        <w:spacing w:after="140"/>
      </w:pPr>
      <w:r>
        <w:rPr>
          <w:rFonts w:ascii="Helvetica Neue" w:hAnsi="Helvetica Neue" w:eastAsia="Helvetica Neue"/>
          <w:b w:val="0"/>
          <w:i w:val="0"/>
          <w:color w:val="111111"/>
          <w:sz w:val="34"/>
        </w:rPr>
        <w:t>Conclusion</w:t>
      </w:r>
    </w:p>
    <w:p>
      <w:pPr>
        <w:spacing w:after="160"/>
      </w:pPr>
      <w:r>
        <w:rPr>
          <w:rFonts w:ascii="Helvetica Neue" w:hAnsi="Helvetica Neue" w:eastAsia="Helvetica Neue"/>
          <w:b w:val="0"/>
          <w:i w:val="0"/>
          <w:color w:val="111111"/>
          <w:sz w:val="22"/>
        </w:rPr>
        <w:t>The repository now has a coherent current-state narrative: FAST-LIO supplies the LIO boundary, one runtime node owns ROG-Map and SUPER, PX4 External Mode owns the control boundary, RViz shows live LIO data, and the report has two explicit output artifacts.</w:t>
      </w:r>
    </w:p>
    <w:p>
      <w:pPr>
        <w:spacing w:after="160"/>
      </w:pPr>
      <w:r>
        <w:rPr>
          <w:rFonts w:ascii="Helvetica Neue" w:hAnsi="Helvetica Neue" w:eastAsia="Helvetica Neue"/>
          <w:b w:val="0"/>
          <w:i w:val="0"/>
          <w:color w:val="111111"/>
          <w:sz w:val="22"/>
        </w:rPr>
        <w:t>The remaining architecture documents are either current contracts, ADRs, or clearly labeled historical evidence. The deleted snapshot document was not a supported rollback path because its nodes and messages are absent from the source tree.</w:t>
      </w:r>
    </w:p>
    <w:p>
      <w:r>
        <w:br w:type="page"/>
      </w:r>
    </w:p>
    <w:p>
      <w:pPr>
        <w:pStyle w:val="Heading1"/>
        <w:spacing w:after="200"/>
      </w:pPr>
      <w:r>
        <w:rPr>
          <w:rFonts w:ascii="Helvetica Neue" w:hAnsi="Helvetica Neue" w:eastAsia="Helvetica Neue"/>
          <w:b w:val="0"/>
          <w:i w:val="0"/>
          <w:color w:val="111111"/>
          <w:sz w:val="48"/>
        </w:rPr>
        <w:t>Appendix</w:t>
      </w:r>
    </w:p>
    <w:p>
      <w:pPr>
        <w:pStyle w:val="Heading2"/>
        <w:spacing w:after="140"/>
      </w:pPr>
      <w:r>
        <w:rPr>
          <w:rFonts w:ascii="Helvetica Neue" w:hAnsi="Helvetica Neue" w:eastAsia="Helvetica Neue"/>
          <w:b w:val="0"/>
          <w:i w:val="0"/>
          <w:color w:val="111111"/>
          <w:sz w:val="34"/>
        </w:rPr>
        <w:t>Notes</w:t>
      </w:r>
    </w:p>
    <w:p>
      <w:pPr>
        <w:spacing w:after="160"/>
      </w:pPr>
      <w:r>
        <w:rPr>
          <w:rFonts w:ascii="Helvetica Neue" w:hAnsi="Helvetica Neue" w:eastAsia="Helvetica Neue"/>
          <w:b w:val="0"/>
          <w:i w:val="0"/>
          <w:color w:val="111111"/>
          <w:sz w:val="22"/>
        </w:rPr>
        <w:t>Files rewritten include the root README, runtime validation guide, navigation layers, repository layout, unknown-space status, receding-horizon contract, ADR-010, and the bringup/interfaces READMEs. The historical External Mode benchmark remains in place with an explicit historical-status header.</w:t>
      </w:r>
    </w:p>
    <w:p>
      <w:pPr>
        <w:spacing w:after="240"/>
      </w:pPr>
      <w:r>
        <w:rPr>
          <w:rFonts w:ascii="Helvetica Neue" w:hAnsi="Helvetica Neue" w:eastAsia="Helvetica Neue"/>
          <w:b w:val="0"/>
          <w:i w:val="0"/>
          <w:color w:val="111111"/>
          <w:sz w:val="22"/>
        </w:rPr>
        <w:t>The removed file is `docs/architecture/navigation_snapshot_architecture.md`. It described a future split architecture and named types absent from the current code. No generated build, install, log, runtime session, or vendor provenance file was removed.</w:t>
      </w:r>
    </w:p>
    <w:p>
      <w:pPr>
        <w:pStyle w:val="Heading2"/>
        <w:spacing w:after="140"/>
      </w:pPr>
      <w:r>
        <w:rPr>
          <w:rFonts w:ascii="Helvetica Neue" w:hAnsi="Helvetica Neue" w:eastAsia="Helvetica Neue"/>
          <w:b w:val="0"/>
          <w:i w:val="0"/>
          <w:color w:val="111111"/>
          <w:sz w:val="34"/>
        </w:rPr>
        <w:t>Current contract</w:t>
      </w:r>
    </w:p>
    <w:tbl>
      <w:tblPr>
        <w:tblW w:type="auto" w:w="0"/>
        <w:tblLook w:firstColumn="1" w:firstRow="1" w:lastColumn="0" w:lastRow="0" w:noHBand="0" w:noVBand="1" w:val="04A0"/>
      </w:tblPr>
      <w:tblGrid>
        <w:gridCol w:w="4680"/>
        <w:gridCol w:w="4680"/>
      </w:tblGrid>
      <w:tr>
        <w:tc>
          <w:tcPr>
            <w:tcW w:type="dxa" w:w="4680"/>
            <w:shd w:fill="F1F1F1"/>
            <w:tcBorders>
              <w:top w:val="single" w:sz="4" w:color="D9D9D9"/>
              <w:left w:val="single" w:sz="4" w:color="D9D9D9"/>
              <w:bottom w:val="single" w:sz="4" w:color="D9D9D9"/>
              <w:right w:val="single" w:sz="4" w:color="D9D9D9"/>
            </w:tcBorders>
          </w:tcPr>
          <w:p>
            <w:r>
              <w:rPr>
                <w:rFonts w:ascii="Helvetica Neue" w:hAnsi="Helvetica Neue" w:eastAsia="Helvetica Neue"/>
                <w:b/>
                <w:i w:val="0"/>
                <w:color w:val="111111"/>
                <w:sz w:val="20"/>
              </w:rPr>
              <w:t>Area</w:t>
            </w:r>
          </w:p>
        </w:tc>
        <w:tc>
          <w:tcPr>
            <w:tcW w:type="dxa" w:w="4680"/>
            <w:shd w:fill="F1F1F1"/>
            <w:tcBorders>
              <w:top w:val="single" w:sz="4" w:color="D9D9D9"/>
              <w:left w:val="single" w:sz="4" w:color="D9D9D9"/>
              <w:bottom w:val="single" w:sz="4" w:color="D9D9D9"/>
              <w:right w:val="single" w:sz="4" w:color="D9D9D9"/>
            </w:tcBorders>
          </w:tcPr>
          <w:p>
            <w:r>
              <w:rPr>
                <w:rFonts w:ascii="Helvetica Neue" w:hAnsi="Helvetica Neue" w:eastAsia="Helvetica Neue"/>
                <w:b/>
                <w:i w:val="0"/>
                <w:color w:val="111111"/>
                <w:sz w:val="20"/>
              </w:rPr>
              <w:t>Canonical current value</w:t>
            </w:r>
          </w:p>
        </w:tc>
      </w:tr>
      <w:tr>
        <w:tc>
          <w:tcPr>
            <w:tcW w:type="dxa" w:w="468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Planner node</w:t>
            </w:r>
          </w:p>
        </w:tc>
        <w:tc>
          <w:tcPr>
            <w:tcW w:type="dxa" w:w="468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`super_navigation_node`</w:t>
            </w:r>
          </w:p>
        </w:tc>
      </w:tr>
      <w:tr>
        <w:tc>
          <w:tcPr>
            <w:tcW w:type="dxa" w:w="468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Planner input</w:t>
            </w:r>
          </w:p>
        </w:tc>
        <w:tc>
          <w:tcPr>
            <w:tcW w:type="dxa" w:w="468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`/lio/registered_points` + `/lio/odometry_propagated`</w:t>
            </w:r>
          </w:p>
        </w:tc>
      </w:tr>
      <w:tr>
        <w:tc>
          <w:tcPr>
            <w:tcW w:type="dxa" w:w="468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Planner output</w:t>
            </w:r>
          </w:p>
        </w:tc>
        <w:tc>
          <w:tcPr>
            <w:tcW w:type="dxa" w:w="468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`/navigation/super_command`</w:t>
            </w:r>
          </w:p>
        </w:tc>
      </w:tr>
      <w:tr>
        <w:tc>
          <w:tcPr>
            <w:tcW w:type="dxa" w:w="468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Planner diagnostics</w:t>
            </w:r>
          </w:p>
        </w:tc>
        <w:tc>
          <w:tcPr>
            <w:tcW w:type="dxa" w:w="468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`/navigation/diagnostics`</w:t>
            </w:r>
          </w:p>
        </w:tc>
      </w:tr>
      <w:tr>
        <w:tc>
          <w:tcPr>
            <w:tcW w:type="dxa" w:w="468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Planning frame</w:t>
            </w:r>
          </w:p>
        </w:tc>
        <w:tc>
          <w:tcPr>
            <w:tcW w:type="dxa" w:w="468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`lio_odom`</w:t>
            </w:r>
          </w:p>
        </w:tc>
      </w:tr>
      <w:tr>
        <w:tc>
          <w:tcPr>
            <w:tcW w:type="dxa" w:w="468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RViz profile</w:t>
            </w:r>
          </w:p>
        </w:tc>
        <w:tc>
          <w:tcPr>
            <w:tcW w:type="dxa" w:w="468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`src/navigation_bringup/rviz/fast_lio.rviz`</w:t>
            </w:r>
          </w:p>
        </w:tc>
      </w:tr>
      <w:tr>
        <w:tc>
          <w:tcPr>
            <w:tcW w:type="dxa" w:w="468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Public report outputs</w:t>
            </w:r>
          </w:p>
        </w:tc>
        <w:tc>
          <w:tcPr>
            <w:tcW w:type="dxa" w:w="4680"/>
            <w:tcBorders>
              <w:top w:val="single" w:sz="4" w:color="D9D9D9"/>
              <w:left w:val="single" w:sz="4" w:color="D9D9D9"/>
              <w:bottom w:val="single" w:sz="4" w:color="D9D9D9"/>
              <w:right w:val="single" w:sz="4" w:color="D9D9D9"/>
            </w:tcBorders>
          </w:tcPr>
          <w:p>
            <w:r>
              <w:rPr>
                <w:rFonts w:ascii="Helvetica Neue" w:hAnsi="Helvetica Neue" w:eastAsia="Helvetica Neue"/>
                <w:b w:val="0"/>
                <w:i w:val="0"/>
                <w:color w:val="111111"/>
                <w:sz w:val="20"/>
              </w:rPr>
              <w:t>`report.json` and `REPORT.html`</w:t>
            </w:r>
          </w:p>
        </w:tc>
      </w:tr>
    </w:tbl>
    <w:p>
      <w:pPr>
        <w:pStyle w:val="Heading2"/>
        <w:spacing w:after="140"/>
      </w:pPr>
      <w:r>
        <w:rPr>
          <w:rFonts w:ascii="Helvetica Neue" w:hAnsi="Helvetica Neue" w:eastAsia="Helvetica Neue"/>
          <w:b w:val="0"/>
          <w:i w:val="0"/>
          <w:color w:val="111111"/>
          <w:sz w:val="34"/>
        </w:rPr>
        <w:t>Source placeholders</w:t>
      </w:r>
    </w:p>
    <w:p>
      <w:pPr>
        <w:spacing w:after="120"/>
        <w:ind w:left="317" w:hanging="259"/>
      </w:pPr>
      <w:r>
        <w:rPr>
          <w:rFonts w:ascii="Helvetica Neue" w:hAnsi="Helvetica Neue" w:eastAsia="Helvetica Neue"/>
          <w:b w:val="0"/>
          <w:i w:val="0"/>
          <w:color w:val="111111"/>
          <w:sz w:val="22"/>
        </w:rPr>
        <w:t>• Runtime source: src/runtime/navigation_runtime/src/super_navigation_node.cpp and config/runtime/mapping.yaml.</w:t>
      </w:r>
    </w:p>
    <w:p>
      <w:pPr>
        <w:spacing w:after="120"/>
        <w:ind w:left="317" w:hanging="259"/>
      </w:pPr>
      <w:r>
        <w:rPr>
          <w:rFonts w:ascii="Helvetica Neue" w:hAnsi="Helvetica Neue" w:eastAsia="Helvetica Neue"/>
          <w:b w:val="0"/>
          <w:i w:val="0"/>
          <w:color w:val="111111"/>
          <w:sz w:val="22"/>
        </w:rPr>
        <w:t>• Launch source: src/navigation_bringup/launch/avoidance_mission.launch.py and its included launch files.</w:t>
      </w:r>
    </w:p>
    <w:p>
      <w:pPr>
        <w:spacing w:after="120"/>
        <w:ind w:left="317" w:hanging="259"/>
      </w:pPr>
      <w:r>
        <w:rPr>
          <w:rFonts w:ascii="Helvetica Neue" w:hAnsi="Helvetica Neue" w:eastAsia="Helvetica Neue"/>
          <w:b w:val="0"/>
          <w:i w:val="0"/>
          <w:color w:val="111111"/>
          <w:sz w:val="22"/>
        </w:rPr>
        <w:t>• Report source: tools/runtime/report.py, html_report.py, and flight_review_report.py.</w:t>
      </w:r>
    </w:p>
    <w:p>
      <w:pPr>
        <w:spacing w:after="120"/>
        <w:ind w:left="317" w:hanging="259"/>
      </w:pPr>
      <w:r>
        <w:rPr>
          <w:rFonts w:ascii="Helvetica Neue" w:hAnsi="Helvetica Neue" w:eastAsia="Helvetica Neue"/>
          <w:b w:val="0"/>
          <w:i w:val="0"/>
          <w:color w:val="111111"/>
          <w:sz w:val="22"/>
        </w:rPr>
        <w:t>• Visual source: src/navigation_bringup/rviz/fast_lio.rviz.</w:t>
      </w:r>
    </w:p>
    <w:sectPr>
      <w:headerReference r:id="rId9" w:type="default"/>
      <w:footerReference r:id="rId10" w:type="default"/>
      <w:headerReference w:type="first" r:id="rId6"/>
      <w:headerReference w:type="even" r:id="rId11"/>
      <w:footerReference w:type="first" r:id="rId12"/>
      <w:footerReference w:type="even" r:id="rId13"/>
      <w:type w:val="nextPage"/>
      <w:pgSz w:h="15840" w:w="12240" w:orient="portrait"/>
      <w:pgMar w:bottom="1440" w:top="1440" w:left="1440" w:right="1440"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
      <w:rPr>
        <w:rFonts w:ascii="Helvetica Neue" w:hAnsi="Helvetica Neue" w:eastAsia="Helvetica Neue"/>
        <w:b w:val="0"/>
        <w:i w:val="0"/>
        <w:color w:val="777777"/>
        <w:sz w:val="18"/>
      </w:rPr>
      <w:t xml:space="preserve">Page </w:t>
      <w:fldChar w:fldCharType="begin"/>
      <w:instrText xml:space="preserve"> PAGE </w:instrText>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tabs>
        <w:tab w:pos="9360" w:val="right"/>
      </w:tabs>
    </w:pPr>
    <w:r>
      <w:rPr>
        <w:rFonts w:ascii="Helvetica Neue" w:hAnsi="Helvetica Neue" w:eastAsia="Helvetica Neue"/>
        <w:b w:val="0"/>
        <w:i w:val="0"/>
        <w:color w:val="777777"/>
        <w:sz w:val="18"/>
      </w:rPr>
      <w:t>Repository documentation standardization</w:t>
    </w:r>
    <w:r>
      <w:tab/>
    </w:r>
    <w:r>
      <w:rPr>
        <w:rFonts w:ascii="Helvetica Neue" w:hAnsi="Helvetica Neue" w:eastAsia="Helvetica Neue"/>
        <w:b w:val="0"/>
        <w:i w:val="0"/>
        <w:color w:val="777777"/>
        <w:sz w:val="18"/>
      </w:rPr>
      <w:t>August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Helvetica Neue" w:hAnsi="Helvetica Neue" w:eastAsia="Helvetica Neue"/>
      <w:sz w:val="22"/>
    </w:rPr>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111111"/>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111111"/>
      <w:sz w:val="34"/>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rFonts w:ascii="Helvetica Neue" w:hAnsi="Helvetica Neue" w:eastAsia="Helvetica Neue"/>
      <w:b/>
      <w:bCs w:val="1"/>
      <w:color w:val="111111"/>
      <w:sz w:val="68"/>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