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Pr>
        <w:pStyle w:val="Title"/>
        <w:spacing w:after="160"/>
      </w:pPr>
      <w:r>
        <w:rPr>
          <w:rFonts w:ascii="Helvetica Neue" w:hAnsi="Helvetica Neue"/>
          <w:b w:val="0"/>
          <w:i w:val="0"/>
          <w:color w:val="61778B"/>
          <w:sz w:val="68"/>
        </w:rPr>
        <w:t>Inebura</w:t>
      </w:r>
    </w:p>
    <w:p>
      <w:pPr>
        <w:pStyle w:val="Title"/>
        <w:spacing w:line="240" w:lineRule="auto" w:after="1040"/>
      </w:pPr>
      <w:r>
        <w:rPr>
          <w:rFonts w:ascii="Helvetica Neue" w:hAnsi="Helvetica Neue"/>
          <w:b/>
          <w:i w:val="0"/>
          <w:color w:val="0B2F4F"/>
          <w:sz w:val="60"/>
        </w:rPr>
        <w:t>Credit Limit Prediction Model</w:t>
        <w:br/>
        <w:t>Feature Requirement Document</w:t>
      </w:r>
    </w:p>
    <w:p>
      <w:pPr>
        <w:spacing w:after="1400"/>
      </w:pPr>
      <w:r>
        <w:rPr>
          <w:rFonts w:ascii="Helvetica Neue" w:hAnsi="Helvetica Neue"/>
          <w:b w:val="0"/>
          <w:i w:val="0"/>
          <w:color w:val="61778B"/>
          <w:sz w:val="26"/>
        </w:rPr>
        <w:t>Requirements for the external model development and handover team</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168"/>
            <w:tcMar>
              <w:top w:w="60" w:type="dxa"/>
              <w:start w:w="0" w:type="dxa"/>
              <w:bottom w:w="80" w:type="dxa"/>
              <w:end w:w="80" w:type="dxa"/>
            </w:tcMar>
          </w:tcPr>
          <w:p>
            <w:r/>
            <w:r>
              <w:rPr>
                <w:rFonts w:ascii="Helvetica Neue" w:hAnsi="Helvetica Neue"/>
                <w:b/>
                <w:i w:val="0"/>
                <w:color w:val="61778B"/>
                <w:sz w:val="17"/>
              </w:rPr>
              <w:t>STATUS</w:t>
              <w:br/>
            </w:r>
            <w:r>
              <w:rPr>
                <w:rFonts w:ascii="Helvetica Neue" w:hAnsi="Helvetica Neue"/>
                <w:b w:val="0"/>
                <w:i w:val="0"/>
                <w:color w:val="26384A"/>
                <w:sz w:val="21"/>
              </w:rPr>
              <w:t>Proposed</w:t>
            </w:r>
          </w:p>
        </w:tc>
        <w:tc>
          <w:tcPr>
            <w:tcW w:type="dxa" w:w="3168"/>
            <w:tcMar>
              <w:top w:w="60" w:type="dxa"/>
              <w:start w:w="0" w:type="dxa"/>
              <w:bottom w:w="80" w:type="dxa"/>
              <w:end w:w="80" w:type="dxa"/>
            </w:tcMar>
          </w:tcPr>
          <w:p>
            <w:r/>
            <w:r>
              <w:rPr>
                <w:rFonts w:ascii="Helvetica Neue" w:hAnsi="Helvetica Neue"/>
                <w:b/>
                <w:i w:val="0"/>
                <w:color w:val="61778B"/>
                <w:sz w:val="17"/>
              </w:rPr>
              <w:t>OWNER</w:t>
              <w:br/>
            </w:r>
            <w:r>
              <w:rPr>
                <w:rFonts w:ascii="Helvetica Neue" w:hAnsi="Helvetica Neue"/>
                <w:b w:val="0"/>
                <w:i w:val="0"/>
                <w:color w:val="26384A"/>
                <w:sz w:val="21"/>
              </w:rPr>
              <w:t>Tanserv Product</w:t>
            </w:r>
          </w:p>
        </w:tc>
        <w:tc>
          <w:tcPr>
            <w:tcW w:type="dxa" w:w="3744"/>
            <w:tcMar>
              <w:top w:w="60" w:type="dxa"/>
              <w:start w:w="0" w:type="dxa"/>
              <w:bottom w:w="80" w:type="dxa"/>
              <w:end w:w="80" w:type="dxa"/>
            </w:tcMar>
          </w:tcPr>
          <w:p>
            <w:r/>
            <w:r>
              <w:rPr>
                <w:rFonts w:ascii="Helvetica Neue" w:hAnsi="Helvetica Neue"/>
                <w:b/>
                <w:i w:val="0"/>
                <w:color w:val="61778B"/>
                <w:sz w:val="17"/>
              </w:rPr>
              <w:t>LAST UPDATED</w:t>
              <w:br/>
            </w:r>
            <w:r>
              <w:rPr>
                <w:rFonts w:ascii="Helvetica Neue" w:hAnsi="Helvetica Neue"/>
                <w:b w:val="0"/>
                <w:i w:val="0"/>
                <w:color w:val="26384A"/>
                <w:sz w:val="21"/>
              </w:rPr>
              <w:t>10 September 2026</w:t>
            </w:r>
          </w:p>
        </w:tc>
      </w:tr>
    </w:tbl>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CFE2F3"/>
          </w:tcPr>
          <w:p>
            <w:pPr>
              <w:spacing w:after="0" w:before="0" w:line="259" w:lineRule="auto"/>
              <w:jc w:val="left"/>
            </w:pPr>
            <w:r/>
            <w:r>
              <w:rPr>
                <w:rFonts w:ascii="Helvetica Neue" w:hAnsi="Helvetica Neue"/>
                <w:b/>
                <w:i w:val="0"/>
                <w:color w:val="000000"/>
                <w:sz w:val="18"/>
              </w:rPr>
              <w:t>Authors</w:t>
            </w:r>
          </w:p>
        </w:tc>
        <w:tc>
          <w:tcPr>
            <w:tcW w:type="dxa" w:w="81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EF5FA"/>
          </w:tcPr>
          <w:p>
            <w:pPr>
              <w:spacing w:after="0" w:before="0" w:line="259" w:lineRule="auto"/>
              <w:jc w:val="left"/>
            </w:pPr>
            <w:r/>
            <w:r>
              <w:rPr>
                <w:rFonts w:ascii="Helvetica Neue" w:hAnsi="Helvetica Neue"/>
                <w:b w:val="0"/>
                <w:i w:val="0"/>
                <w:color w:val="26384A"/>
                <w:sz w:val="18"/>
              </w:rPr>
              <w:t>Tanserv Product Team</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CFE2F3"/>
          </w:tcPr>
          <w:p>
            <w:pPr>
              <w:spacing w:after="0" w:before="0" w:line="259" w:lineRule="auto"/>
              <w:jc w:val="left"/>
            </w:pPr>
            <w:r/>
            <w:r>
              <w:rPr>
                <w:rFonts w:ascii="Helvetica Neue" w:hAnsi="Helvetica Neue"/>
                <w:b/>
                <w:i w:val="0"/>
                <w:color w:val="000000"/>
                <w:sz w:val="18"/>
              </w:rPr>
              <w:t>Reviewers</w:t>
            </w:r>
          </w:p>
        </w:tc>
        <w:tc>
          <w:tcPr>
            <w:tcW w:type="dxa" w:w="81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Tanserv Product, Risk, Data Engineering, Platform Engineering and the external model team</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CFE2F3"/>
          </w:tcPr>
          <w:p>
            <w:pPr>
              <w:spacing w:after="0" w:before="0" w:line="259" w:lineRule="auto"/>
              <w:jc w:val="left"/>
            </w:pPr>
            <w:r/>
            <w:r>
              <w:rPr>
                <w:rFonts w:ascii="Helvetica Neue" w:hAnsi="Helvetica Neue"/>
                <w:b/>
                <w:i w:val="0"/>
                <w:color w:val="000000"/>
                <w:sz w:val="18"/>
              </w:rPr>
              <w:t>Related reference</w:t>
            </w:r>
          </w:p>
        </w:tc>
        <w:tc>
          <w:tcPr>
            <w:tcW w:type="dxa" w:w="81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EF5FA"/>
          </w:tcPr>
          <w:p>
            <w:pPr>
              <w:spacing w:after="0" w:before="0" w:line="259" w:lineRule="auto"/>
              <w:jc w:val="left"/>
            </w:pPr>
            <w:r/>
            <w:r>
              <w:rPr>
                <w:rFonts w:ascii="Helvetica Neue" w:hAnsi="Helvetica Neue"/>
                <w:b w:val="0"/>
                <w:i w:val="0"/>
                <w:color w:val="26384A"/>
                <w:sz w:val="18"/>
              </w:rPr>
              <w:t>Inebura Credit Limit Management design interface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CFE2F3"/>
          </w:tcPr>
          <w:p>
            <w:pPr>
              <w:spacing w:after="0" w:before="0" w:line="259" w:lineRule="auto"/>
              <w:jc w:val="left"/>
            </w:pPr>
            <w:r/>
            <w:r>
              <w:rPr>
                <w:rFonts w:ascii="Helvetica Neue" w:hAnsi="Helvetica Neue"/>
                <w:b/>
                <w:i w:val="0"/>
                <w:color w:val="000000"/>
                <w:sz w:val="18"/>
              </w:rPr>
              <w:t>Scope</w:t>
            </w:r>
          </w:p>
        </w:tc>
        <w:tc>
          <w:tcPr>
            <w:tcW w:type="dxa" w:w="81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Prediction model, real-time inference contract, validation, handover and controlled pilot requirements</w:t>
            </w:r>
          </w:p>
        </w:tc>
      </w:tr>
    </w:tbl>
    <w:p>
      <w:r>
        <w:br w:type="page"/>
      </w:r>
    </w:p>
    <w:p>
      <w:pPr>
        <w:pStyle w:val="Heading1"/>
        <w:keepNext/>
      </w:pPr>
      <w:r>
        <w:t>1. Executive Summary</w:t>
      </w:r>
    </w:p>
    <w:p>
      <w:pPr>
        <w:keepLines w:val="0"/>
      </w:pPr>
      <w:r>
        <w:rPr>
          <w:rFonts w:ascii="Helvetica Neue" w:hAnsi="Helvetica Neue"/>
          <w:b w:val="0"/>
          <w:i w:val="0"/>
          <w:color w:val="26384A"/>
          <w:sz w:val="21"/>
        </w:rPr>
        <w:t>Inebura requires a model that converts payment behavior into a defensible recommended credit limit and a dynamic credit score for each ERP customer account. The model will use the account's payment history with the current client together with matched history for the same customer across other participating clients. It will also simulate how a higher or lower limit changes the score and the sixteen impact metrics used in the Credit Limit Management design.</w:t>
      </w:r>
    </w:p>
    <w:p>
      <w:pPr>
        <w:keepLines w:val="0"/>
      </w:pPr>
      <w:r>
        <w:rPr>
          <w:rFonts w:ascii="Helvetica Neue" w:hAnsi="Helvetica Neue"/>
          <w:b w:val="0"/>
          <w:i w:val="0"/>
          <w:color w:val="26384A"/>
          <w:sz w:val="21"/>
        </w:rPr>
        <w:t>The external model team is responsible for feature engineering, training, validation, a real-time inference service, reproducible delivery artifacts and the first production-ready model. Tanserv will supply normalized model-ready data, host the service, integrate it with Inebura and own retraining after handover. Model outputs are advisory evidence for client administrators; they do not automatically change a customer's active credit limit.</w:t>
      </w:r>
    </w:p>
    <w:p>
      <w:pPr>
        <w:pStyle w:val="Heading1"/>
        <w:keepNext/>
      </w:pPr>
      <w:r>
        <w:t>2. Problem Statement and Business Objective</w:t>
      </w:r>
    </w:p>
    <w:p>
      <w:pPr>
        <w:keepLines w:val="0"/>
      </w:pPr>
      <w:r>
        <w:rPr>
          <w:rFonts w:ascii="Helvetica Neue" w:hAnsi="Helvetica Neue"/>
          <w:b w:val="0"/>
          <w:i w:val="0"/>
          <w:color w:val="26384A"/>
          <w:sz w:val="21"/>
        </w:rPr>
        <w:t>Credit-limit decisions are currently dependent on manually interpreted payment history and may not consistently account for recent behavior, deterioration, cross-client evidence or the effect of changing exposure. The same customer can exhibit different payment behavior with different clients, so the model must preserve the current-client relationship while using matched evidence from other participating clients as additional context.</w:t>
      </w:r>
    </w:p>
    <w:p>
      <w:pPr>
        <w:keepLines w:val="0"/>
      </w:pPr>
      <w:r>
        <w:rPr>
          <w:rFonts w:ascii="Helvetica Neue" w:hAnsi="Helvetica Neue"/>
          <w:b w:val="0"/>
          <w:i w:val="0"/>
          <w:color w:val="26384A"/>
          <w:sz w:val="21"/>
        </w:rPr>
        <w:t>The objective is to provide a repeatable, explainable and timely estimate of a prudent credit limit, a 0 to 100 credit score and a ninety-day view of the consequences of an administrator-selected limit. The result must make the evidence visible without revealing another client's identity or raw commercial data.</w:t>
      </w:r>
    </w:p>
    <w:p>
      <w:pPr>
        <w:pStyle w:val="Heading1"/>
        <w:keepNext/>
      </w:pPr>
      <w:r>
        <w:t>3. Goals and Scope Boundaries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Goals</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Out of scope</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Predict one exact recommended credit limit in INR for an eligible ERP customer account.</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Building or redesigning the Inebura Credit Limit Management user interface.</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Return a dynamic 0 to 100 credit score in which a higher score means safer repayment behavior under the evaluated limit.</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Authorizing users, approving changes or persisting the administrator's final limit decision.</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Return confidence, risk classification and understandable contributing factors.</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Cleaning raw database dumps or spreadsheets before Tanserv declares the data model-ready.</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Predict ninety-day current and proposed-limit values for all sixteen approved impact metrics.</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Synchronizing saved limits to ERP, accounting or customer systems.</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Use matched same-customer history across participating clients while protecting source-client confidentiality.</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8"/>
              </w:rPr>
              <w:t>Using anonymized peer cohorts when the same canonical customer is not matched across clients.</w:t>
            </w:r>
          </w:p>
        </w:tc>
      </w:tr>
      <w:tr>
        <w:trPr>
          <w:cantSplit/>
        </w:trPr>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Provide a deterministic, versioned real-time API that Tanserv can host and operate.</w:t>
            </w:r>
          </w:p>
        </w:tc>
        <w:tc>
          <w:tcPr>
            <w:tcW w:type="dxa" w:w="49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8"/>
              </w:rPr>
              <w:t>Operating production retraining indefinitely after the agreed handover period.</w:t>
            </w:r>
          </w:p>
        </w:tc>
      </w:tr>
    </w:tbl>
    <w:p>
      <w:pPr>
        <w:spacing w:after="0"/>
      </w:pPr>
    </w:p>
    <w:p>
      <w:pPr>
        <w:pStyle w:val="Heading1"/>
        <w:keepNext/>
      </w:pPr>
      <w:r>
        <w:t>4. Ownership and Responsibilities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Party</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Required responsibility</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Acceptance evidence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Tanserv Data Engineering</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Provide normalized, deduplicated, quality-checked and identity-linked model-ready data with lineage and freshness markers.</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Approved feature schema, data-quality report and test payloads</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External model team</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Design features; train, validate and explain the model; deliver the API container, code, artifacts, tests and operating documentation.</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Reproducible build, validation pack and passing acceptance suite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Tanserv Platform Engineering</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Host the container, secure the API, manage secrets, monitoring, deployment, rollback and production capacity.</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Deployment and operational-readiness evidence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Inebura product team</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Supply current and proposed-limit context, display predictions and retain the administrator's decision separately from model output.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Integration and business UAT results</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Product and Risk reviewers</w:t>
            </w:r>
          </w:p>
        </w:tc>
        <w:tc>
          <w:tcPr>
            <w:tcW w:type="dxa" w:w="55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Approve score meaning, model quality thresholds, pilot readiness and conditions for wider release.</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Recorded sign-off before pilot and general availability</w:t>
            </w:r>
          </w:p>
        </w:tc>
      </w:tr>
    </w:tbl>
    <w:p>
      <w:pPr>
        <w:spacing w:after="0"/>
      </w:pPr>
    </w:p>
    <w:p>
      <w:pPr>
        <w:pStyle w:val="Heading1"/>
        <w:keepNext/>
      </w:pPr>
      <w:r>
        <w:t>5. Data Requirements and Customer Matching</w:t>
      </w:r>
    </w:p>
    <w:p>
      <w:pPr>
        <w:keepLines w:val="0"/>
      </w:pPr>
      <w:r>
        <w:rPr>
          <w:rFonts w:ascii="Helvetica Neue" w:hAnsi="Helvetica Neue"/>
          <w:b w:val="0"/>
          <w:i w:val="0"/>
          <w:color w:val="26384A"/>
          <w:sz w:val="21"/>
        </w:rPr>
        <w:t>Tanserv is the source of the inference payload. The external team must not build production dependencies on source-specific database or spreadsheet layouts. Input will be expressed through a versioned model-ready schema and will contain current-client history plus matched history for the same canonical customer from other participating clients.</w:t>
      </w:r>
    </w:p>
    <w:p>
      <w:pPr>
        <w:keepNext/>
        <w:jc w:val="center"/>
      </w:pPr>
      <w:r>
        <w:drawing>
          <wp:inline>
            <wp:extent cx="6355080" cy="2965704"/>
            <wp:docPr id="1" name="Picture 1" descr="Figure 1. Credit limit model data and ownership flow" title="Figure 1. Credit limit model data and ownership flow"/>
            <wp:cNvGraphicFramePr>
              <a:graphicFrameLocks noChangeAspect="1"/>
            </wp:cNvGraphicFramePr>
            <a:graphic>
              <a:graphicData uri="http://schemas.openxmlformats.org/drawingml/2006/picture">
                <pic:pic>
                  <pic:nvPicPr>
                    <pic:cNvPr id="0" name="data-flow.png"/>
                    <pic:cNvPicPr/>
                  </pic:nvPicPr>
                  <pic:blipFill>
                    <a:blip r:embed="rId7"/>
                    <a:stretch>
                      <a:fillRect/>
                    </a:stretch>
                  </pic:blipFill>
                  <pic:spPr>
                    <a:xfrm>
                      <a:off x="0" y="0"/>
                      <a:ext cx="6355080" cy="2965704"/>
                    </a:xfrm>
                    <a:prstGeom prst="rect"/>
                  </pic:spPr>
                </pic:pic>
              </a:graphicData>
            </a:graphic>
          </wp:inline>
        </w:drawing>
      </w:r>
    </w:p>
    <w:p>
      <w:pPr>
        <w:spacing w:before="60" w:after="160"/>
        <w:jc w:val="left"/>
      </w:pPr>
      <w:r>
        <w:rPr>
          <w:rFonts w:ascii="Helvetica Neue" w:hAnsi="Helvetica Neue"/>
          <w:b w:val="0"/>
          <w:i/>
          <w:color w:val="61778B"/>
          <w:sz w:val="19"/>
        </w:rPr>
        <w:t>Figure 1. Credit limit model data and ownership flow</w:t>
      </w:r>
    </w:p>
    <w:p>
      <w:pPr>
        <w:pStyle w:val="Heading2"/>
        <w:keepNext/>
      </w:pPr>
      <w:r>
        <w:t>5.1 Required data domains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Domain</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Minimum model-ready content</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Business rule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Identity and account</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Pseudonymized tenant ID, ERP account ID, canonical customer ID, active status and relationship start date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Predictions are produced per ERP account; the canonical ID enables same-customer matching</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Invoices</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Pseudonymized invoice ID, invoice and due dates, original amount, outstanding amount, status and update time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Amounts are INR; the latest timestamped version of a duplicate record wins</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Payments</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Payment and allocation dates, paid amount, linked invoice, days to payment and days past due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Partial payments and reallocations must remain reconstructable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Promises to pay</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Promise date, promised amount, due date and met, pending or broken outcome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Broken PTP behavior is retained as a dated event</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Disputes and adjustments</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Dispute status and dates, credit notes, advances, PDC or other offsets when available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Do not infer a settled balance from an unresolved adjustment</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Credit-limit history</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Old limit, new limit, effective time and change reason where available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The active limit at the request as-of time must be unambiguous</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Write-offs and recovery</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Write-off, reversal and recovery events with amount and date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Reversals must not be counted as new write-offs</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Lineage and quality</w:t>
            </w:r>
          </w:p>
        </w:tc>
        <w:tc>
          <w:tcPr>
            <w:tcW w:type="dxa" w:w="53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Source update time, ingestion ID, feature-schema version, freshness and quality flags</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Conflicts use latest-record-wins and remain traceable</w:t>
            </w:r>
          </w:p>
        </w:tc>
      </w:tr>
    </w:tbl>
    <w:p>
      <w:pPr>
        <w:spacing w:after="0"/>
      </w:pPr>
    </w:p>
    <w:p>
      <w:pPr>
        <w:pStyle w:val="Heading2"/>
        <w:keepNext/>
      </w:pPr>
      <w:r>
        <w:t>5.2 Cross-client combination rules</w:t>
      </w:r>
    </w:p>
    <w:p>
      <w:pPr>
        <w:spacing w:after="100"/>
        <w:ind w:left="259" w:hanging="259"/>
      </w:pPr>
      <w:r>
        <w:rPr>
          <w:rFonts w:ascii="Helvetica Neue" w:hAnsi="Helvetica Neue"/>
          <w:b/>
          <w:i w:val="0"/>
          <w:color w:val="0B2F4F"/>
          <w:sz w:val="21"/>
        </w:rPr>
        <w:t xml:space="preserve">DR-001  Same-customer scope. </w:t>
      </w:r>
      <w:r>
        <w:rPr>
          <w:rFonts w:ascii="Helvetica Neue" w:hAnsi="Helvetica Neue"/>
          <w:b w:val="0"/>
          <w:i w:val="0"/>
          <w:color w:val="26384A"/>
          <w:sz w:val="21"/>
        </w:rPr>
        <w:t>Only histories mapped to the same canonical customer may be combined. Peer or look-alike customer records are not a required input.</w:t>
      </w:r>
    </w:p>
    <w:p>
      <w:pPr>
        <w:spacing w:after="100"/>
        <w:ind w:left="259" w:hanging="259"/>
      </w:pPr>
      <w:r>
        <w:rPr>
          <w:rFonts w:ascii="Helvetica Neue" w:hAnsi="Helvetica Neue"/>
          <w:b/>
          <w:i w:val="0"/>
          <w:color w:val="0B2F4F"/>
          <w:sz w:val="21"/>
        </w:rPr>
        <w:t xml:space="preserve">DR-002  Relationship preservation. </w:t>
      </w:r>
      <w:r>
        <w:rPr>
          <w:rFonts w:ascii="Helvetica Neue" w:hAnsi="Helvetica Neue"/>
          <w:b w:val="0"/>
          <w:i w:val="0"/>
          <w:color w:val="26384A"/>
          <w:sz w:val="21"/>
        </w:rPr>
        <w:t>The current-client relationship must remain identifiable to the model so it can learn the appropriate weighting instead of treating every client relationship equally.</w:t>
      </w:r>
    </w:p>
    <w:p>
      <w:pPr>
        <w:spacing w:after="100"/>
        <w:ind w:left="259" w:hanging="259"/>
      </w:pPr>
      <w:r>
        <w:rPr>
          <w:rFonts w:ascii="Helvetica Neue" w:hAnsi="Helvetica Neue"/>
          <w:b/>
          <w:i w:val="0"/>
          <w:color w:val="0B2F4F"/>
          <w:sz w:val="21"/>
        </w:rPr>
        <w:t xml:space="preserve">DR-003  Confidentiality. </w:t>
      </w:r>
      <w:r>
        <w:rPr>
          <w:rFonts w:ascii="Helvetica Neue" w:hAnsi="Helvetica Neue"/>
          <w:b w:val="0"/>
          <w:i w:val="0"/>
          <w:color w:val="26384A"/>
          <w:sz w:val="21"/>
        </w:rPr>
        <w:t>The response and explanations must not reveal source-client names, tenant identifiers, invoice details, balances or relationship-specific history from another client.</w:t>
      </w:r>
    </w:p>
    <w:p>
      <w:pPr>
        <w:spacing w:after="100"/>
        <w:ind w:left="259" w:hanging="259"/>
      </w:pPr>
      <w:r>
        <w:rPr>
          <w:rFonts w:ascii="Helvetica Neue" w:hAnsi="Helvetica Neue"/>
          <w:b/>
          <w:i w:val="0"/>
          <w:color w:val="0B2F4F"/>
          <w:sz w:val="21"/>
        </w:rPr>
        <w:t xml:space="preserve">DR-004  Participation control. </w:t>
      </w:r>
      <w:r>
        <w:rPr>
          <w:rFonts w:ascii="Helvetica Neue" w:hAnsi="Helvetica Neue"/>
          <w:b w:val="0"/>
          <w:i w:val="0"/>
          <w:color w:val="26384A"/>
          <w:sz w:val="21"/>
        </w:rPr>
        <w:t>Only data from clients covered by Tanserv's approved participation and data-use controls may enter the combined history.</w:t>
      </w:r>
    </w:p>
    <w:p>
      <w:pPr>
        <w:spacing w:after="100"/>
        <w:ind w:left="259" w:hanging="259"/>
      </w:pPr>
      <w:r>
        <w:rPr>
          <w:rFonts w:ascii="Helvetica Neue" w:hAnsi="Helvetica Neue"/>
          <w:b/>
          <w:i w:val="0"/>
          <w:color w:val="0B2F4F"/>
          <w:sz w:val="21"/>
        </w:rPr>
        <w:t xml:space="preserve">DR-005  Minimum evidence. </w:t>
      </w:r>
      <w:r>
        <w:rPr>
          <w:rFonts w:ascii="Helvetica Neue" w:hAnsi="Helvetica Neue"/>
          <w:b w:val="0"/>
          <w:i w:val="0"/>
          <w:color w:val="26384A"/>
          <w:sz w:val="21"/>
        </w:rPr>
        <w:t>The external team will propose and validate the minimum number, recency and completeness of observations required for a score. Accounts below that threshold return INSUFFICIENT_DATA.</w:t>
      </w:r>
    </w:p>
    <w:p>
      <w:pPr>
        <w:pStyle w:val="Heading1"/>
        <w:keepNext/>
      </w:pPr>
      <w:r>
        <w:t>6. Prediction Requirements</w:t>
      </w:r>
    </w:p>
    <w:p>
      <w:pPr>
        <w:spacing w:after="100"/>
        <w:ind w:left="259" w:hanging="259"/>
      </w:pPr>
      <w:r>
        <w:rPr>
          <w:rFonts w:ascii="Helvetica Neue" w:hAnsi="Helvetica Neue"/>
          <w:b/>
          <w:i w:val="0"/>
          <w:color w:val="0B2F4F"/>
          <w:sz w:val="21"/>
        </w:rPr>
        <w:t xml:space="preserve">PR-001  Recommended limit. </w:t>
      </w:r>
      <w:r>
        <w:rPr>
          <w:rFonts w:ascii="Helvetica Neue" w:hAnsi="Helvetica Neue"/>
          <w:b w:val="0"/>
          <w:i w:val="0"/>
          <w:color w:val="26384A"/>
          <w:sz w:val="21"/>
        </w:rPr>
        <w:t>Return one exact, non-negative INR amount. The model must not round to a fixed increment and must document the objective and constraints used to define a prudent limit.</w:t>
      </w:r>
    </w:p>
    <w:p>
      <w:pPr>
        <w:spacing w:after="100"/>
        <w:ind w:left="259" w:hanging="259"/>
      </w:pPr>
      <w:r>
        <w:rPr>
          <w:rFonts w:ascii="Helvetica Neue" w:hAnsi="Helvetica Neue"/>
          <w:b/>
          <w:i w:val="0"/>
          <w:color w:val="0B2F4F"/>
          <w:sz w:val="21"/>
        </w:rPr>
        <w:t xml:space="preserve">PR-002  Dynamic credit score. </w:t>
      </w:r>
      <w:r>
        <w:rPr>
          <w:rFonts w:ascii="Helvetica Neue" w:hAnsi="Helvetica Neue"/>
          <w:b w:val="0"/>
          <w:i w:val="0"/>
          <w:color w:val="26384A"/>
          <w:sz w:val="21"/>
        </w:rPr>
        <w:t>Return a score from 0 to 100, where higher means safer. The score must reflect combined repayment risk under the evaluated limit and the ninety-day horizon.</w:t>
      </w:r>
    </w:p>
    <w:p>
      <w:pPr>
        <w:spacing w:after="100"/>
        <w:ind w:left="259" w:hanging="259"/>
      </w:pPr>
      <w:r>
        <w:rPr>
          <w:rFonts w:ascii="Helvetica Neue" w:hAnsi="Helvetica Neue"/>
          <w:b/>
          <w:i w:val="0"/>
          <w:color w:val="0B2F4F"/>
          <w:sz w:val="21"/>
        </w:rPr>
        <w:t xml:space="preserve">PR-003  Combined risk. </w:t>
      </w:r>
      <w:r>
        <w:rPr>
          <w:rFonts w:ascii="Helvetica Neue" w:hAnsi="Helvetica Neue"/>
          <w:b w:val="0"/>
          <w:i w:val="0"/>
          <w:color w:val="26384A"/>
          <w:sz w:val="21"/>
        </w:rPr>
        <w:t>The score must consider payment delays, delinquency, broken PTP behavior, aging deterioration and write-off behavior; the model team must document how these outcomes are combined and calibrated.</w:t>
      </w:r>
    </w:p>
    <w:p>
      <w:pPr>
        <w:spacing w:after="100"/>
        <w:ind w:left="259" w:hanging="259"/>
      </w:pPr>
      <w:r>
        <w:rPr>
          <w:rFonts w:ascii="Helvetica Neue" w:hAnsi="Helvetica Neue"/>
          <w:b/>
          <w:i w:val="0"/>
          <w:color w:val="0B2F4F"/>
          <w:sz w:val="21"/>
        </w:rPr>
        <w:t xml:space="preserve">PR-004  Scenario simulation. </w:t>
      </w:r>
      <w:r>
        <w:rPr>
          <w:rFonts w:ascii="Helvetica Neue" w:hAnsi="Helvetica Neue"/>
          <w:b w:val="0"/>
          <w:i w:val="0"/>
          <w:color w:val="26384A"/>
          <w:sz w:val="21"/>
        </w:rPr>
        <w:t>A request without a proposed limit returns the recommended limit and current-limit scenario. A request with a proposed limit returns both current and proposed scenarios using the same as-of data and pinned model version.</w:t>
      </w:r>
    </w:p>
    <w:p>
      <w:pPr>
        <w:spacing w:after="100"/>
        <w:ind w:left="259" w:hanging="259"/>
      </w:pPr>
      <w:r>
        <w:rPr>
          <w:rFonts w:ascii="Helvetica Neue" w:hAnsi="Helvetica Neue"/>
          <w:b/>
          <w:i w:val="0"/>
          <w:color w:val="0B2F4F"/>
          <w:sz w:val="21"/>
        </w:rPr>
        <w:t xml:space="preserve">PR-005  Impact outputs. </w:t>
      </w:r>
      <w:r>
        <w:rPr>
          <w:rFonts w:ascii="Helvetica Neue" w:hAnsi="Helvetica Neue"/>
          <w:b w:val="0"/>
          <w:i w:val="0"/>
          <w:color w:val="26384A"/>
          <w:sz w:val="21"/>
        </w:rPr>
        <w:t>Return current and predicted values, absolute and percentage change, favorable or adverse direction, unit and source type for every approved impact metric. Predicted values use a ninety-day horizon.</w:t>
      </w:r>
    </w:p>
    <w:p>
      <w:pPr>
        <w:spacing w:after="100"/>
        <w:ind w:left="259" w:hanging="259"/>
      </w:pPr>
      <w:r>
        <w:rPr>
          <w:rFonts w:ascii="Helvetica Neue" w:hAnsi="Helvetica Neue"/>
          <w:b/>
          <w:i w:val="0"/>
          <w:color w:val="0B2F4F"/>
          <w:sz w:val="21"/>
        </w:rPr>
        <w:t xml:space="preserve">PR-006  Confidence and explanation. </w:t>
      </w:r>
      <w:r>
        <w:rPr>
          <w:rFonts w:ascii="Helvetica Neue" w:hAnsi="Helvetica Neue"/>
          <w:b w:val="0"/>
          <w:i w:val="0"/>
          <w:color w:val="26384A"/>
          <w:sz w:val="21"/>
        </w:rPr>
        <w:t>Return an overall confidence value, confidence band label, reason for low confidence and the leading positive and negative drivers. Explanations must be understandable to a credit or collections professional.</w:t>
      </w:r>
    </w:p>
    <w:p>
      <w:pPr>
        <w:spacing w:after="100"/>
        <w:ind w:left="259" w:hanging="259"/>
      </w:pPr>
      <w:r>
        <w:rPr>
          <w:rFonts w:ascii="Helvetica Neue" w:hAnsi="Helvetica Neue"/>
          <w:b/>
          <w:i w:val="0"/>
          <w:color w:val="0B2F4F"/>
          <w:sz w:val="21"/>
        </w:rPr>
        <w:t xml:space="preserve">PR-007  Observed versus predicted. </w:t>
      </w:r>
      <w:r>
        <w:rPr>
          <w:rFonts w:ascii="Helvetica Neue" w:hAnsi="Helvetica Neue"/>
          <w:b w:val="0"/>
          <w:i w:val="0"/>
          <w:color w:val="26384A"/>
          <w:sz w:val="21"/>
        </w:rPr>
        <w:t>Each output must be labelled OBSERVED, DERIVED or PREDICTED. Confidence is required for PREDICTED values and must not be fabricated for observed facts.</w:t>
      </w:r>
    </w:p>
    <w:p>
      <w:pPr>
        <w:spacing w:after="100"/>
        <w:ind w:left="259" w:hanging="259"/>
      </w:pPr>
      <w:r>
        <w:rPr>
          <w:rFonts w:ascii="Helvetica Neue" w:hAnsi="Helvetica Neue"/>
          <w:b/>
          <w:i w:val="0"/>
          <w:color w:val="0B2F4F"/>
          <w:sz w:val="21"/>
        </w:rPr>
        <w:t xml:space="preserve">PR-008  Determinism. </w:t>
      </w:r>
      <w:r>
        <w:rPr>
          <w:rFonts w:ascii="Helvetica Neue" w:hAnsi="Helvetica Neue"/>
          <w:b w:val="0"/>
          <w:i w:val="0"/>
          <w:color w:val="26384A"/>
          <w:sz w:val="21"/>
        </w:rPr>
        <w:t>Identical validated inputs, feature schema and model version must produce identical outputs.</w:t>
      </w:r>
    </w:p>
    <w:p>
      <w:pPr>
        <w:spacing w:after="100"/>
        <w:ind w:left="259" w:hanging="259"/>
      </w:pPr>
      <w:r>
        <w:rPr>
          <w:rFonts w:ascii="Helvetica Neue" w:hAnsi="Helvetica Neue"/>
          <w:b/>
          <w:i w:val="0"/>
          <w:color w:val="0B2F4F"/>
          <w:sz w:val="21"/>
        </w:rPr>
        <w:t xml:space="preserve">PR-009  No-score result. </w:t>
      </w:r>
      <w:r>
        <w:rPr>
          <w:rFonts w:ascii="Helvetica Neue" w:hAnsi="Helvetica Neue"/>
          <w:b w:val="0"/>
          <w:i w:val="0"/>
          <w:color w:val="26384A"/>
          <w:sz w:val="21"/>
        </w:rPr>
        <w:t>Insufficient evidence must return a structured INSUFFICIENT_DATA status, missing-data reasons and the evidence threshold that was not met. It must not return a provisional score or recommended limit.</w:t>
      </w:r>
    </w:p>
    <w:p>
      <w:pPr>
        <w:spacing w:after="100"/>
        <w:ind w:left="259" w:hanging="259"/>
      </w:pPr>
      <w:r>
        <w:rPr>
          <w:rFonts w:ascii="Helvetica Neue" w:hAnsi="Helvetica Neue"/>
          <w:b/>
          <w:i w:val="0"/>
          <w:color w:val="0B2F4F"/>
          <w:sz w:val="21"/>
        </w:rPr>
        <w:t xml:space="preserve">PR-010  Advisory status. </w:t>
      </w:r>
      <w:r>
        <w:rPr>
          <w:rFonts w:ascii="Helvetica Neue" w:hAnsi="Helvetica Neue"/>
          <w:b w:val="0"/>
          <w:i w:val="0"/>
          <w:color w:val="26384A"/>
          <w:sz w:val="21"/>
        </w:rPr>
        <w:t>Predictions are decision support. The model does not approve, reject or persist a credit-limit change and must not describe an outcome as guaranteed or causal.</w:t>
      </w:r>
    </w:p>
    <w:p>
      <w:pPr>
        <w:pStyle w:val="Heading1"/>
        <w:keepNext/>
      </w:pPr>
      <w:r>
        <w:t>7. Impact Metric Dictionary</w:t>
      </w:r>
    </w:p>
    <w:p>
      <w:pPr>
        <w:keepLines w:val="0"/>
      </w:pPr>
      <w:r>
        <w:rPr>
          <w:rFonts w:ascii="Helvetica Neue" w:hAnsi="Helvetica Neue"/>
          <w:b w:val="0"/>
          <w:i w:val="0"/>
          <w:color w:val="26384A"/>
          <w:sz w:val="21"/>
        </w:rPr>
        <w:t>For every scenario, the response must use stable metric identifiers and distinguish the current basis from the ninety-day prediction. Monetary values are INR. Percentage fields use numeric values from 0 to 100 unless a signed change is explicitly stated.</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ID</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Metric</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Current basis</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Ninety-day scenario</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Unit and interpretation</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payment_history</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Payment History</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Observed average days overdue and payment pattern</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Predicted average days overdue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days;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utilisation</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Utilisation Level</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Outstanding divided by active limit</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Predicted horizon outstanding divided by the evaluated limit</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 lower is safer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order_volume</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Order Volume</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Recent invoiced or approved order value</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Expected invoiced or order value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INR; context dependent</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overdue_ratio</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Overdue Ratio</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Overdue amount divided by outstanding</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Predicted overdue amount divided by predicted outstanding</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customer_tenure</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Customer Tenure</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Months since the current-client relationship began</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Deterministic tenure at the horizon end</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months; context</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broken_ptp</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Broken PTPs</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Recent dated broken promise-to-pay count</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Expected broken PTP count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count;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disputes</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Number of Disputes</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Current and recent dispute count</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Expected open or new dispute count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count;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aging_velocity</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Aging Velocity</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Recent monthly change in weighted receivable age</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Expected monthly change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days/month;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past_due_trend</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Past Due Trend</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Current improving, stable or worsening direction</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Predicted direction at the horizon end</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enum; improving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on_time_ratio</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On-time Payment Ratio</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Share of eligible invoices paid on or before due date</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Predicted on-time share for horizon invoices</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 higher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average_payment_days</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Average Payment Days</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Average invoice-to-full-clearance duration</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Predicted clearance duration for horizon invoices</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days;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delay_probability</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Probability of Delay</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Not applicable when no approved prior model value exists</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Probability of material payment delay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writeoff_probability</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Probability of Write-off</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Not applicable when no approved prior model value exists</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Probability of a material write-off during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 ;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dso_change</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Change in DSO</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Recent signed percentage change in DSO</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Predicted signed DSO change against the current baseline</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signed; lower is better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exposure_previous_limit</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Exposure versus Previous Limit</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Outstanding as a percentage of the immediately preceding active limit</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Predicted outstanding as a percentage of that prior limit</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5"/>
              </w:rPr>
              <w:t>% ; lower is safer</w:t>
            </w:r>
          </w:p>
        </w:tc>
      </w:tr>
      <w:tr>
        <w:trPr>
          <w:cantSplit/>
        </w:trPr>
        <w:tc>
          <w:tcPr>
            <w:tcW w:type="dxa" w:w="18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six_month_payment_threshold</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Six-month Payment Threshold</w:t>
            </w:r>
          </w:p>
        </w:tc>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Share of invoices cleared within the approved six-month rule</w:t>
            </w:r>
          </w:p>
        </w:tc>
        <w:tc>
          <w:tcPr>
            <w:tcW w:type="dxa" w:w="28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Expected rolling value at the end of the horizon</w:t>
            </w:r>
          </w:p>
        </w:tc>
        <w:tc>
          <w:tcPr>
            <w:tcW w:type="dxa" w:w="14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5"/>
              </w:rPr>
              <w:t>% ; higher is better</w:t>
            </w:r>
          </w:p>
        </w:tc>
      </w:tr>
    </w:tbl>
    <w:p>
      <w:pPr>
        <w:spacing w:after="0"/>
      </w:pPr>
    </w:p>
    <w:p>
      <w:pPr>
        <w:pStyle w:val="Heading2"/>
        <w:keepNext/>
      </w:pPr>
      <w:r>
        <w:t>7.1 Common metric response requirements</w:t>
      </w:r>
    </w:p>
    <w:p>
      <w:pPr>
        <w:spacing w:after="60"/>
        <w:ind w:left="360" w:hanging="259"/>
      </w:pPr>
      <w:r>
        <w:rPr>
          <w:rFonts w:ascii="Helvetica Neue" w:hAnsi="Helvetica Neue"/>
          <w:b w:val="0"/>
          <w:i w:val="0"/>
          <w:color w:val="26384A"/>
          <w:sz w:val="21"/>
        </w:rPr>
        <w:t>•  Every metric object contains metric_id, display_name, current_value, predicted_value, delta_absolute, delta_percent, direction, unit and source_type.</w:t>
      </w:r>
    </w:p>
    <w:p>
      <w:pPr>
        <w:spacing w:after="60"/>
        <w:ind w:left="360" w:hanging="259"/>
      </w:pPr>
      <w:r>
        <w:rPr>
          <w:rFonts w:ascii="Helvetica Neue" w:hAnsi="Helvetica Neue"/>
          <w:b w:val="0"/>
          <w:i w:val="0"/>
          <w:color w:val="26384A"/>
          <w:sz w:val="21"/>
        </w:rPr>
        <w:t>•  Every predicted metric also contains confidence and, where supported, a lower and upper uncertainty bound.</w:t>
      </w:r>
    </w:p>
    <w:p>
      <w:pPr>
        <w:spacing w:after="60"/>
        <w:ind w:left="360" w:hanging="259"/>
      </w:pPr>
      <w:r>
        <w:rPr>
          <w:rFonts w:ascii="Helvetica Neue" w:hAnsi="Helvetica Neue"/>
          <w:b w:val="0"/>
          <w:i w:val="0"/>
          <w:color w:val="26384A"/>
          <w:sz w:val="21"/>
        </w:rPr>
        <w:t>•  The model may use supporting predictions such as projected_outstanding_90d, but supporting fields must be documented and versioned even when they are not displayed as primary cards.</w:t>
      </w:r>
    </w:p>
    <w:p>
      <w:pPr>
        <w:spacing w:after="60"/>
        <w:ind w:left="360" w:hanging="259"/>
      </w:pPr>
      <w:r>
        <w:rPr>
          <w:rFonts w:ascii="Helvetica Neue" w:hAnsi="Helvetica Neue"/>
          <w:b w:val="0"/>
          <w:i w:val="0"/>
          <w:color w:val="26384A"/>
          <w:sz w:val="21"/>
        </w:rPr>
        <w:t>•  Definitions must remain stable within an output-schema version. A semantic definition change requires a new version.</w:t>
      </w:r>
    </w:p>
    <w:p>
      <w:pPr>
        <w:pStyle w:val="Heading1"/>
        <w:keepNext/>
      </w:pPr>
      <w:r>
        <w:t>8. Prediction Lifecycle</w:t>
      </w:r>
    </w:p>
    <w:p>
      <w:pPr>
        <w:keepNext/>
        <w:jc w:val="center"/>
      </w:pPr>
      <w:r>
        <w:drawing>
          <wp:inline>
            <wp:extent cx="6355080" cy="2584399"/>
            <wp:docPr id="2" name="Picture 2" descr="Figure 2. Real-time prediction and proposed-limit simulation lifecycle" title="Figure 2. Real-time prediction and proposed-limit simulation lifecycle"/>
            <wp:cNvGraphicFramePr>
              <a:graphicFrameLocks noChangeAspect="1"/>
            </wp:cNvGraphicFramePr>
            <a:graphic>
              <a:graphicData uri="http://schemas.openxmlformats.org/drawingml/2006/picture">
                <pic:pic>
                  <pic:nvPicPr>
                    <pic:cNvPr id="0" name="request-flow.png"/>
                    <pic:cNvPicPr/>
                  </pic:nvPicPr>
                  <pic:blipFill>
                    <a:blip r:embed="rId14"/>
                    <a:stretch>
                      <a:fillRect/>
                    </a:stretch>
                  </pic:blipFill>
                  <pic:spPr>
                    <a:xfrm>
                      <a:off x="0" y="0"/>
                      <a:ext cx="6355080" cy="2584399"/>
                    </a:xfrm>
                    <a:prstGeom prst="rect"/>
                  </pic:spPr>
                </pic:pic>
              </a:graphicData>
            </a:graphic>
          </wp:inline>
        </w:drawing>
      </w:r>
    </w:p>
    <w:p>
      <w:pPr>
        <w:spacing w:before="60" w:after="160"/>
        <w:jc w:val="left"/>
      </w:pPr>
      <w:r>
        <w:rPr>
          <w:rFonts w:ascii="Helvetica Neue" w:hAnsi="Helvetica Neue"/>
          <w:b w:val="0"/>
          <w:i/>
          <w:color w:val="61778B"/>
          <w:sz w:val="19"/>
        </w:rPr>
        <w:t>Figure 2. Real-time prediction and proposed-limit simulation lifecycle</w:t>
      </w:r>
    </w:p>
    <w:p>
      <w:pPr>
        <w:spacing w:after="80"/>
        <w:ind w:left="504" w:hanging="288"/>
      </w:pPr>
      <w:r>
        <w:rPr>
          <w:rFonts w:ascii="Helvetica Neue" w:hAnsi="Helvetica Neue"/>
          <w:b w:val="0"/>
          <w:i w:val="0"/>
          <w:color w:val="26384A"/>
          <w:sz w:val="21"/>
        </w:rPr>
        <w:t>1.  Inebura submits the current ERP customer account context and, for simulation, an optional proposed credit limit.</w:t>
      </w:r>
    </w:p>
    <w:p>
      <w:pPr>
        <w:spacing w:after="80"/>
        <w:ind w:left="504" w:hanging="288"/>
      </w:pPr>
      <w:r>
        <w:rPr>
          <w:rFonts w:ascii="Helvetica Neue" w:hAnsi="Helvetica Neue"/>
          <w:b w:val="0"/>
          <w:i w:val="0"/>
          <w:color w:val="26384A"/>
          <w:sz w:val="21"/>
        </w:rPr>
        <w:t>2.  The service validates the contract version, identifiers, INR currency, timestamps, feature completeness and freshness.</w:t>
      </w:r>
    </w:p>
    <w:p>
      <w:pPr>
        <w:spacing w:after="80"/>
        <w:ind w:left="504" w:hanging="288"/>
      </w:pPr>
      <w:r>
        <w:rPr>
          <w:rFonts w:ascii="Helvetica Neue" w:hAnsi="Helvetica Neue"/>
          <w:b w:val="0"/>
          <w:i w:val="0"/>
          <w:color w:val="26384A"/>
          <w:sz w:val="21"/>
        </w:rPr>
        <w:t>3.  The service resolves the approved current-client and matched same-customer feature package and pins one model version for the complete request.</w:t>
      </w:r>
    </w:p>
    <w:p>
      <w:pPr>
        <w:spacing w:after="80"/>
        <w:ind w:left="504" w:hanging="288"/>
      </w:pPr>
      <w:r>
        <w:rPr>
          <w:rFonts w:ascii="Helvetica Neue" w:hAnsi="Helvetica Neue"/>
          <w:b w:val="0"/>
          <w:i w:val="0"/>
          <w:color w:val="26384A"/>
          <w:sz w:val="21"/>
        </w:rPr>
        <w:t>4.  The model calculates the recommended limit, current score and all current-scenario outputs. If a proposed limit is present, it calculates a second scenario using the same evidence.</w:t>
      </w:r>
    </w:p>
    <w:p>
      <w:pPr>
        <w:spacing w:after="80"/>
        <w:ind w:left="504" w:hanging="288"/>
      </w:pPr>
      <w:r>
        <w:rPr>
          <w:rFonts w:ascii="Helvetica Neue" w:hAnsi="Helvetica Neue"/>
          <w:b w:val="0"/>
          <w:i w:val="0"/>
          <w:color w:val="26384A"/>
          <w:sz w:val="21"/>
        </w:rPr>
        <w:t>5.  The service constructs confidence, drivers, metric deltas, data-scope counts, quality flags and version metadata without exposing another client.</w:t>
      </w:r>
    </w:p>
    <w:p>
      <w:pPr>
        <w:spacing w:after="80"/>
        <w:ind w:left="504" w:hanging="288"/>
      </w:pPr>
      <w:r>
        <w:rPr>
          <w:rFonts w:ascii="Helvetica Neue" w:hAnsi="Helvetica Neue"/>
          <w:b w:val="0"/>
          <w:i w:val="0"/>
          <w:color w:val="26384A"/>
          <w:sz w:val="21"/>
        </w:rPr>
        <w:t>6.  The service returns one deterministic success payload or a typed failure. It does not persist the administrator's decision.</w:t>
      </w:r>
    </w:p>
    <w:p>
      <w:pPr>
        <w:pStyle w:val="Heading1"/>
        <w:keepNext/>
      </w:pPr>
      <w:r>
        <w:t>9. Real-time API Contract</w:t>
      </w:r>
    </w:p>
    <w:p>
      <w:pPr>
        <w:pStyle w:val="Heading2"/>
        <w:keepNext/>
      </w:pPr>
      <w:r>
        <w:t>9.1 Endpoints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Endpoint</w:t>
            </w:r>
          </w:p>
        </w:tc>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Purpose</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Required behavior</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POST /v1/credit-limit/predict</w:t>
            </w:r>
          </w:p>
        </w:tc>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Return the recommended limit, current scenario and optional proposed-limit scenario</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Read-only, authenticated, validated, deterministic for a pinned model version</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GET /health</w:t>
            </w:r>
          </w:p>
        </w:tc>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Report process and critical dependency readiness</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Must not disclose data, secrets or customer identifiers</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GET /metadata</w:t>
            </w:r>
          </w:p>
        </w:tc>
        <w:tc>
          <w:tcPr>
            <w:tcW w:type="dxa" w:w="360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Report supported schema versions, active model version and training date</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May be cached; changes only with an approved release</w:t>
            </w:r>
          </w:p>
        </w:tc>
      </w:tr>
    </w:tbl>
    <w:p>
      <w:pPr>
        <w:spacing w:after="0"/>
      </w:pPr>
    </w:p>
    <w:p>
      <w:pPr>
        <w:pStyle w:val="Heading2"/>
        <w:keepNext/>
      </w:pPr>
      <w:r>
        <w:t>9.2 Prediction request fields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Field</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Type</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Required</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Definition</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request_id</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UUID/string</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Caller-generated correlation and replay identifier</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tenant_id</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pseudonymized string</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Current Inebura client context; never returned in explanations</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erp_account_id</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pseudonymized string</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Account-level scoring key within the tenant</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canonical_customer_id</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pseudonymized string</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Links the same customer across participating clients</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as_of_at</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ISO 8601 datetime</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Cuts off all evidence used by the request</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currency</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enum</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Must equal INR for this release</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current_credit_limit_inr</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decimal</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Non-negative active limit at as_of_at</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proposed_credit_limit_inr</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decimal</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No</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Non-negative what-if amount; does not change stored state</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feature_schema_version</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string</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Version of the model-ready input contract</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account_features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object</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Approved current-client model-ready feature set</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matched_history_features</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object/array</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Same-customer aggregate across participating clients; source identities excluded</w:t>
            </w:r>
          </w:p>
        </w:tc>
      </w:tr>
      <w:tr>
        <w:trPr>
          <w:cantSplit/>
        </w:trPr>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data_quality</w:t>
            </w:r>
          </w:p>
        </w:tc>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object</w:t>
            </w:r>
          </w:p>
        </w:tc>
        <w:tc>
          <w:tcPr>
            <w:tcW w:type="dxa" w:w="108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Yes</w:t>
            </w:r>
          </w:p>
        </w:tc>
        <w:tc>
          <w:tcPr>
            <w:tcW w:type="dxa" w:w="410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Freshness, completeness, conflict and lineage indicators</w:t>
            </w:r>
          </w:p>
        </w:tc>
      </w:tr>
    </w:tbl>
    <w:p>
      <w:pPr>
        <w:spacing w:after="0"/>
      </w:pPr>
    </w:p>
    <w:p>
      <w:pPr>
        <w:pStyle w:val="Heading2"/>
        <w:keepNext/>
      </w:pPr>
      <w:r>
        <w:t>9.3 Prediction response fields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Field</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Type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Definition</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status</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enum</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OK or a typed no-score/error status</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request_id</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string</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Echoed correlation identifier</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recommended_credit_limit_inr</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decimal/null</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Exact model output; null unless status is OK</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current_scenario</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object/null</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Current limit, score, model risk band and all sixteen metrics</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proposed_scenario</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object/null</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Returned only when a proposed limit was supplied</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confidence</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object</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Numeric confidence, label and low-confidence reasons</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top_drivers</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array</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Positive and negative factor name, direction, contribution and plain-language explanation</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data_scope</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object</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Current and other-client observation counts and date ranges only; no source identities</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quality_flags</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array</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Missing, stale, conflicting, imputed or outlier indicators</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model_version</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string</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Immutable inference model version</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feature_schema_version</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string</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Input feature contract version used</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output_schema_version</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string</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Response contract version</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prediction_as_of_at</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datetime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Evidence cutoff used for the result</w:t>
            </w:r>
          </w:p>
        </w:tc>
      </w:tr>
      <w:tr>
        <w:trPr>
          <w:cantSplit/>
        </w:trPr>
        <w:tc>
          <w:tcPr>
            <w:tcW w:type="dxa" w:w="32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generated_at</w:t>
            </w:r>
          </w:p>
        </w:tc>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datetime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Service generation time</w:t>
            </w:r>
          </w:p>
        </w:tc>
      </w:tr>
    </w:tbl>
    <w:p>
      <w:pPr>
        <w:spacing w:after="0"/>
      </w:pPr>
    </w:p>
    <w:p>
      <w:pPr>
        <w:pStyle w:val="Heading2"/>
        <w:keepNext/>
      </w:pPr>
      <w:r>
        <w:t>9.4 Illustrative request</w:t>
      </w:r>
    </w:p>
    <w:p>
      <w:pPr>
        <w:spacing w:after="0" w:line="240" w:lineRule="auto"/>
        <w:ind w:left="403" w:right="259"/>
      </w:pPr>
      <w:r>
        <w:rPr>
          <w:rFonts w:ascii="Courier New" w:hAnsi="Courier New"/>
          <w:b w:val="0"/>
          <w:i w:val="0"/>
          <w:color w:val="26384A"/>
          <w:sz w:val="16"/>
        </w:rPr>
        <w:t>{</w:t>
      </w:r>
    </w:p>
    <w:p>
      <w:pPr>
        <w:spacing w:after="0" w:line="240" w:lineRule="auto"/>
        <w:ind w:left="403" w:right="259"/>
      </w:pPr>
      <w:r>
        <w:rPr>
          <w:rFonts w:ascii="Courier New" w:hAnsi="Courier New"/>
          <w:b w:val="0"/>
          <w:i w:val="0"/>
          <w:color w:val="26384A"/>
          <w:sz w:val="16"/>
        </w:rPr>
        <w:t xml:space="preserve">  "request_id": "5c1d...",</w:t>
      </w:r>
    </w:p>
    <w:p>
      <w:pPr>
        <w:spacing w:after="0" w:line="240" w:lineRule="auto"/>
        <w:ind w:left="403" w:right="259"/>
      </w:pPr>
      <w:r>
        <w:rPr>
          <w:rFonts w:ascii="Courier New" w:hAnsi="Courier New"/>
          <w:b w:val="0"/>
          <w:i w:val="0"/>
          <w:color w:val="26384A"/>
          <w:sz w:val="16"/>
        </w:rPr>
        <w:t xml:space="preserve">  "tenant_id": "tn_a91...", "erp_account_id": "acct_314...",</w:t>
      </w:r>
    </w:p>
    <w:p>
      <w:pPr>
        <w:spacing w:after="0" w:line="240" w:lineRule="auto"/>
        <w:ind w:left="403" w:right="259"/>
      </w:pPr>
      <w:r>
        <w:rPr>
          <w:rFonts w:ascii="Courier New" w:hAnsi="Courier New"/>
          <w:b w:val="0"/>
          <w:i w:val="0"/>
          <w:color w:val="26384A"/>
          <w:sz w:val="16"/>
        </w:rPr>
        <w:t xml:space="preserve">  "canonical_customer_id": "cust_8f0...",</w:t>
      </w:r>
    </w:p>
    <w:p>
      <w:pPr>
        <w:spacing w:after="0" w:line="240" w:lineRule="auto"/>
        <w:ind w:left="403" w:right="259"/>
      </w:pPr>
      <w:r>
        <w:rPr>
          <w:rFonts w:ascii="Courier New" w:hAnsi="Courier New"/>
          <w:b w:val="0"/>
          <w:i w:val="0"/>
          <w:color w:val="26384A"/>
          <w:sz w:val="16"/>
        </w:rPr>
        <w:t xml:space="preserve">  "as_of_at": "2026-09-10T00:00:00Z", "currency": "INR",</w:t>
      </w:r>
    </w:p>
    <w:p>
      <w:pPr>
        <w:spacing w:after="0" w:line="240" w:lineRule="auto"/>
        <w:ind w:left="403" w:right="259"/>
      </w:pPr>
      <w:r>
        <w:rPr>
          <w:rFonts w:ascii="Courier New" w:hAnsi="Courier New"/>
          <w:b w:val="0"/>
          <w:i w:val="0"/>
          <w:color w:val="26384A"/>
          <w:sz w:val="16"/>
        </w:rPr>
        <w:t xml:space="preserve">  "current_credit_limit_inr": 2000000.00,</w:t>
      </w:r>
    </w:p>
    <w:p>
      <w:pPr>
        <w:spacing w:after="0" w:line="240" w:lineRule="auto"/>
        <w:ind w:left="403" w:right="259"/>
      </w:pPr>
      <w:r>
        <w:rPr>
          <w:rFonts w:ascii="Courier New" w:hAnsi="Courier New"/>
          <w:b w:val="0"/>
          <w:i w:val="0"/>
          <w:color w:val="26384A"/>
          <w:sz w:val="16"/>
        </w:rPr>
        <w:t xml:space="preserve">  "proposed_credit_limit_inr": 2500000.00,</w:t>
      </w:r>
    </w:p>
    <w:p>
      <w:pPr>
        <w:spacing w:after="0" w:line="240" w:lineRule="auto"/>
        <w:ind w:left="403" w:right="259"/>
      </w:pPr>
      <w:r>
        <w:rPr>
          <w:rFonts w:ascii="Courier New" w:hAnsi="Courier New"/>
          <w:b w:val="0"/>
          <w:i w:val="0"/>
          <w:color w:val="26384A"/>
          <w:sz w:val="16"/>
        </w:rPr>
        <w:t xml:space="preserve">  "feature_schema_version": "1.0",</w:t>
      </w:r>
    </w:p>
    <w:p>
      <w:pPr>
        <w:spacing w:after="0" w:line="240" w:lineRule="auto"/>
        <w:ind w:left="403" w:right="259"/>
      </w:pPr>
      <w:r>
        <w:rPr>
          <w:rFonts w:ascii="Courier New" w:hAnsi="Courier New"/>
          <w:b w:val="0"/>
          <w:i w:val="0"/>
          <w:color w:val="26384A"/>
          <w:sz w:val="16"/>
        </w:rPr>
        <w:t xml:space="preserve">  "account_features": { "...": "model-ready values" },</w:t>
      </w:r>
    </w:p>
    <w:p>
      <w:pPr>
        <w:spacing w:after="0" w:line="240" w:lineRule="auto"/>
        <w:ind w:left="403" w:right="259"/>
      </w:pPr>
      <w:r>
        <w:rPr>
          <w:rFonts w:ascii="Courier New" w:hAnsi="Courier New"/>
          <w:b w:val="0"/>
          <w:i w:val="0"/>
          <w:color w:val="26384A"/>
          <w:sz w:val="16"/>
        </w:rPr>
        <w:t xml:space="preserve">  "matched_history_features": { "...": "same-customer aggregate" },</w:t>
      </w:r>
    </w:p>
    <w:p>
      <w:pPr>
        <w:spacing w:after="0" w:line="240" w:lineRule="auto"/>
        <w:ind w:left="403" w:right="259"/>
      </w:pPr>
      <w:r>
        <w:rPr>
          <w:rFonts w:ascii="Courier New" w:hAnsi="Courier New"/>
          <w:b w:val="0"/>
          <w:i w:val="0"/>
          <w:color w:val="26384A"/>
          <w:sz w:val="16"/>
        </w:rPr>
        <w:t xml:space="preserve">  "data_quality": { "is_model_ready": true, "latest_record_wins_applied": true }</w:t>
      </w:r>
    </w:p>
    <w:p>
      <w:pPr>
        <w:spacing w:after="0" w:line="240" w:lineRule="auto"/>
        <w:ind w:left="403" w:right="259"/>
      </w:pPr>
      <w:r>
        <w:rPr>
          <w:rFonts w:ascii="Courier New" w:hAnsi="Courier New"/>
          <w:b w:val="0"/>
          <w:i w:val="0"/>
          <w:color w:val="26384A"/>
          <w:sz w:val="16"/>
        </w:rPr>
        <w:t>}</w:t>
      </w:r>
    </w:p>
    <w:p>
      <w:pPr>
        <w:pStyle w:val="Heading2"/>
        <w:keepNext/>
      </w:pPr>
      <w:r>
        <w:t>9.5 Illustrative response</w:t>
      </w:r>
    </w:p>
    <w:p>
      <w:pPr>
        <w:spacing w:after="0" w:line="240" w:lineRule="auto"/>
        <w:ind w:left="403" w:right="259"/>
      </w:pPr>
      <w:r>
        <w:rPr>
          <w:rFonts w:ascii="Courier New" w:hAnsi="Courier New"/>
          <w:b w:val="0"/>
          <w:i w:val="0"/>
          <w:color w:val="26384A"/>
          <w:sz w:val="16"/>
        </w:rPr>
        <w:t>{</w:t>
      </w:r>
    </w:p>
    <w:p>
      <w:pPr>
        <w:spacing w:after="0" w:line="240" w:lineRule="auto"/>
        <w:ind w:left="403" w:right="259"/>
      </w:pPr>
      <w:r>
        <w:rPr>
          <w:rFonts w:ascii="Courier New" w:hAnsi="Courier New"/>
          <w:b w:val="0"/>
          <w:i w:val="0"/>
          <w:color w:val="26384A"/>
          <w:sz w:val="16"/>
        </w:rPr>
        <w:t xml:space="preserve">  "status": "OK", "request_id": "5c1d...",</w:t>
      </w:r>
    </w:p>
    <w:p>
      <w:pPr>
        <w:spacing w:after="0" w:line="240" w:lineRule="auto"/>
        <w:ind w:left="403" w:right="259"/>
      </w:pPr>
      <w:r>
        <w:rPr>
          <w:rFonts w:ascii="Courier New" w:hAnsi="Courier New"/>
          <w:b w:val="0"/>
          <w:i w:val="0"/>
          <w:color w:val="26384A"/>
          <w:sz w:val="16"/>
        </w:rPr>
        <w:t xml:space="preserve">  "recommended_credit_limit_inr": 2374681.25,</w:t>
      </w:r>
    </w:p>
    <w:p>
      <w:pPr>
        <w:spacing w:after="0" w:line="240" w:lineRule="auto"/>
        <w:ind w:left="403" w:right="259"/>
      </w:pPr>
      <w:r>
        <w:rPr>
          <w:rFonts w:ascii="Courier New" w:hAnsi="Courier New"/>
          <w:b w:val="0"/>
          <w:i w:val="0"/>
          <w:color w:val="26384A"/>
          <w:sz w:val="16"/>
        </w:rPr>
        <w:t xml:space="preserve">  "current_scenario": { "credit_limit_inr": 2000000.00, "credit_score": 68.4, "metrics": [...] },</w:t>
      </w:r>
    </w:p>
    <w:p>
      <w:pPr>
        <w:spacing w:after="0" w:line="240" w:lineRule="auto"/>
        <w:ind w:left="403" w:right="259"/>
      </w:pPr>
      <w:r>
        <w:rPr>
          <w:rFonts w:ascii="Courier New" w:hAnsi="Courier New"/>
          <w:b w:val="0"/>
          <w:i w:val="0"/>
          <w:color w:val="26384A"/>
          <w:sz w:val="16"/>
        </w:rPr>
        <w:t xml:space="preserve">  "proposed_scenario": { "credit_limit_inr": 2500000.00, "credit_score": 71.2, "metrics": [...] },</w:t>
      </w:r>
    </w:p>
    <w:p>
      <w:pPr>
        <w:spacing w:after="0" w:line="240" w:lineRule="auto"/>
        <w:ind w:left="403" w:right="259"/>
      </w:pPr>
      <w:r>
        <w:rPr>
          <w:rFonts w:ascii="Courier New" w:hAnsi="Courier New"/>
          <w:b w:val="0"/>
          <w:i w:val="0"/>
          <w:color w:val="26384A"/>
          <w:sz w:val="16"/>
        </w:rPr>
        <w:t xml:space="preserve">  "confidence": { "value": 0.82, "label": "HIGH", "reasons": [] },</w:t>
      </w:r>
    </w:p>
    <w:p>
      <w:pPr>
        <w:spacing w:after="0" w:line="240" w:lineRule="auto"/>
        <w:ind w:left="403" w:right="259"/>
      </w:pPr>
      <w:r>
        <w:rPr>
          <w:rFonts w:ascii="Courier New" w:hAnsi="Courier New"/>
          <w:b w:val="0"/>
          <w:i w:val="0"/>
          <w:color w:val="26384A"/>
          <w:sz w:val="16"/>
        </w:rPr>
        <w:t xml:space="preserve">  "top_drivers": [{ "factor": "on_time_payment_ratio", "direction": "POSITIVE" }],</w:t>
      </w:r>
    </w:p>
    <w:p>
      <w:pPr>
        <w:spacing w:after="0" w:line="240" w:lineRule="auto"/>
        <w:ind w:left="403" w:right="259"/>
      </w:pPr>
      <w:r>
        <w:rPr>
          <w:rFonts w:ascii="Courier New" w:hAnsi="Courier New"/>
          <w:b w:val="0"/>
          <w:i w:val="0"/>
          <w:color w:val="26384A"/>
          <w:sz w:val="16"/>
        </w:rPr>
        <w:t xml:space="preserve">  "model_version": "clm-2026.09.1", "feature_schema_version": "1.0",</w:t>
      </w:r>
    </w:p>
    <w:p>
      <w:pPr>
        <w:spacing w:after="0" w:line="240" w:lineRule="auto"/>
        <w:ind w:left="403" w:right="259"/>
      </w:pPr>
      <w:r>
        <w:rPr>
          <w:rFonts w:ascii="Courier New" w:hAnsi="Courier New"/>
          <w:b w:val="0"/>
          <w:i w:val="0"/>
          <w:color w:val="26384A"/>
          <w:sz w:val="16"/>
        </w:rPr>
        <w:t xml:space="preserve">  "output_schema_version": "1.0", "prediction_as_of_at": "2026-09-10T00:00:00Z"</w:t>
      </w:r>
    </w:p>
    <w:p>
      <w:pPr>
        <w:spacing w:after="0" w:line="240" w:lineRule="auto"/>
        <w:ind w:left="403" w:right="259"/>
      </w:pPr>
      <w:r>
        <w:rPr>
          <w:rFonts w:ascii="Courier New" w:hAnsi="Courier New"/>
          <w:b w:val="0"/>
          <w:i w:val="0"/>
          <w:color w:val="26384A"/>
          <w:sz w:val="16"/>
        </w:rPr>
        <w:t>}</w:t>
      </w:r>
    </w:p>
    <w:p>
      <w:pPr>
        <w:pStyle w:val="Heading2"/>
        <w:keepNext/>
      </w:pPr>
      <w:r>
        <w:t>9.6 Typed statuses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Status</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Meaning</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Retry and consumer behavior</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OK</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Prediction completed</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Do not retry unless evidence or scenario input changes</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INSUFFICIENT_DATA</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Approved minimum evidence threshold was not met</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Do not retry until new data is available; return threshold failures</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INVALID_INPUT</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Schema, identifier, currency, value or timestamp validation failed</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Correct the request; no automatic retry</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STALE_DATA</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Evidence exceeds the approved freshness threshold</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Refresh features before retrying</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UNSUPPORTED_SCHEMA</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Feature or output contract version is unsupported</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Route to integration remediation</w:t>
            </w:r>
          </w:p>
        </w:tc>
      </w:tr>
      <w:tr>
        <w:trPr>
          <w:cantSplit/>
        </w:trPr>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MODEL_UNAVAILABLE</w:t>
            </w:r>
          </w:p>
        </w:tc>
        <w:tc>
          <w:tcPr>
            <w:tcW w:type="dxa" w:w="367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Model or critical dependency could not produce a valid result</w:t>
            </w:r>
          </w:p>
        </w:tc>
        <w:tc>
          <w:tcPr>
            <w:tcW w:type="dxa" w:w="38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Safe retry may occur within the request budget; no proposed-limit result may be treated as valid</w:t>
            </w:r>
          </w:p>
        </w:tc>
      </w:tr>
    </w:tbl>
    <w:p>
      <w:pPr>
        <w:spacing w:after="0"/>
      </w:pPr>
    </w:p>
    <w:p>
      <w:pPr>
        <w:pStyle w:val="Heading1"/>
        <w:keepNext/>
      </w:pPr>
      <w:r>
        <w:t>10. Consistency, Failure and Replay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Scenario</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Required behavior</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Reason</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Repeated request</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Same validated payload and pinned model version return the same values; request_id remains traceable.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Supports audit, dispute analysis and regression testing</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Duplicate source records</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Use the record with the latest authoritative update timestamp and retain conflict lineage.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Implements the approved latest-record-wins rule</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Proposed limit below outstanding</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Score and all impacts must still be returned when the amount is valid; utilization may exceed 100 percent.</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The model informs the administrator rather than enforcing UI policy</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Negative or malformed limit</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Return INVALID_INPUT and no prediction.</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Prevents undefined scenario behavior</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Model timeout</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Return MODEL_UNAVAILABLE after the bounded retry budget; never return a partial success as OK.</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Inebura may display its last valid score but cannot treat the new scenario as scored</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Mid-request deployment</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Complete the request against the model version pinned at validation time.</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Prevents mixed-version outputs</w:t>
            </w:r>
          </w:p>
        </w:tc>
      </w:tr>
      <w:tr>
        <w:trPr>
          <w:cantSplit/>
        </w:trPr>
        <w:tc>
          <w:tcPr>
            <w:tcW w:type="dxa" w:w="252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Replay after deployment</w:t>
            </w:r>
          </w:p>
        </w:tc>
        <w:tc>
          <w:tcPr>
            <w:tcW w:type="dxa" w:w="504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Replay must specify the historical model and schema version or be explicitly labeled as recomputed with the current version.</w:t>
            </w:r>
          </w:p>
        </w:tc>
        <w:tc>
          <w:tcPr>
            <w:tcW w:type="dxa" w:w="23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Preserves comparability</w:t>
            </w:r>
          </w:p>
        </w:tc>
      </w:tr>
    </w:tbl>
    <w:p>
      <w:pPr>
        <w:spacing w:after="0"/>
      </w:pPr>
    </w:p>
    <w:p>
      <w:pPr>
        <w:pStyle w:val="Heading1"/>
        <w:keepNext/>
      </w:pPr>
      <w:r>
        <w:t>11. Privacy, Security and Model Governance</w:t>
      </w:r>
    </w:p>
    <w:p>
      <w:pPr>
        <w:spacing w:after="100"/>
        <w:ind w:left="259" w:hanging="259"/>
      </w:pPr>
      <w:r>
        <w:rPr>
          <w:rFonts w:ascii="Helvetica Neue" w:hAnsi="Helvetica Neue"/>
          <w:b/>
          <w:i w:val="0"/>
          <w:color w:val="0B2F4F"/>
          <w:sz w:val="21"/>
        </w:rPr>
        <w:t xml:space="preserve">SG-001  Pseudonymization. </w:t>
      </w:r>
      <w:r>
        <w:rPr>
          <w:rFonts w:ascii="Helvetica Neue" w:hAnsi="Helvetica Neue"/>
          <w:b w:val="0"/>
          <w:i w:val="0"/>
          <w:color w:val="26384A"/>
          <w:sz w:val="21"/>
        </w:rPr>
        <w:t>The model package and API use pseudonymized tenant, account, customer and transaction identifiers. Direct client and customer names are not required for inference.</w:t>
      </w:r>
    </w:p>
    <w:p>
      <w:pPr>
        <w:spacing w:after="100"/>
        <w:ind w:left="259" w:hanging="259"/>
      </w:pPr>
      <w:r>
        <w:rPr>
          <w:rFonts w:ascii="Helvetica Neue" w:hAnsi="Helvetica Neue"/>
          <w:b/>
          <w:i w:val="0"/>
          <w:color w:val="0B2F4F"/>
          <w:sz w:val="21"/>
        </w:rPr>
        <w:t xml:space="preserve">SG-002  Tenant confidentiality. </w:t>
      </w:r>
      <w:r>
        <w:rPr>
          <w:rFonts w:ascii="Helvetica Neue" w:hAnsi="Helvetica Neue"/>
          <w:b w:val="0"/>
          <w:i w:val="0"/>
          <w:color w:val="26384A"/>
          <w:sz w:val="21"/>
        </w:rPr>
        <w:t>Cross-client features may influence the prediction only through the canonical customer match. Outputs, drivers, logs and diagnostics must not disclose another client's identity or reconstruct its invoices, balances or behavior timeline.</w:t>
      </w:r>
    </w:p>
    <w:p>
      <w:pPr>
        <w:spacing w:after="100"/>
        <w:ind w:left="259" w:hanging="259"/>
      </w:pPr>
      <w:r>
        <w:rPr>
          <w:rFonts w:ascii="Helvetica Neue" w:hAnsi="Helvetica Neue"/>
          <w:b/>
          <w:i w:val="0"/>
          <w:color w:val="0B2F4F"/>
          <w:sz w:val="21"/>
        </w:rPr>
        <w:t xml:space="preserve">SG-003  Purpose limitation. </w:t>
      </w:r>
      <w:r>
        <w:rPr>
          <w:rFonts w:ascii="Helvetica Neue" w:hAnsi="Helvetica Neue"/>
          <w:b w:val="0"/>
          <w:i w:val="0"/>
          <w:color w:val="26384A"/>
          <w:sz w:val="21"/>
        </w:rPr>
        <w:t>Training and inference data may be used only for the approved credit-limit prediction purpose and only for participating clients covered by Tanserv controls.</w:t>
      </w:r>
    </w:p>
    <w:p>
      <w:pPr>
        <w:spacing w:after="100"/>
        <w:ind w:left="259" w:hanging="259"/>
      </w:pPr>
      <w:r>
        <w:rPr>
          <w:rFonts w:ascii="Helvetica Neue" w:hAnsi="Helvetica Neue"/>
          <w:b/>
          <w:i w:val="0"/>
          <w:color w:val="0B2F4F"/>
          <w:sz w:val="21"/>
        </w:rPr>
        <w:t xml:space="preserve">SG-004  Secure handling. </w:t>
      </w:r>
      <w:r>
        <w:rPr>
          <w:rFonts w:ascii="Helvetica Neue" w:hAnsi="Helvetica Neue"/>
          <w:b w:val="0"/>
          <w:i w:val="0"/>
          <w:color w:val="26384A"/>
          <w:sz w:val="21"/>
        </w:rPr>
        <w:t>The delivered service must support authenticated transport, encrypted storage, externally supplied secrets and restrictive logging. Credentials must not be embedded in code, images or model artifacts.</w:t>
      </w:r>
    </w:p>
    <w:p>
      <w:pPr>
        <w:spacing w:after="100"/>
        <w:ind w:left="259" w:hanging="259"/>
      </w:pPr>
      <w:r>
        <w:rPr>
          <w:rFonts w:ascii="Helvetica Neue" w:hAnsi="Helvetica Neue"/>
          <w:b/>
          <w:i w:val="0"/>
          <w:color w:val="0B2F4F"/>
          <w:sz w:val="21"/>
        </w:rPr>
        <w:t xml:space="preserve">SG-005  Model traceability. </w:t>
      </w:r>
      <w:r>
        <w:rPr>
          <w:rFonts w:ascii="Helvetica Neue" w:hAnsi="Helvetica Neue"/>
          <w:b w:val="0"/>
          <w:i w:val="0"/>
          <w:color w:val="26384A"/>
          <w:sz w:val="21"/>
        </w:rPr>
        <w:t>Every response records model, feature and output-schema versions, as-of time and quality status. Training runs must record code revision, data snapshot, parameters, metrics and artifact checksum.</w:t>
      </w:r>
    </w:p>
    <w:p>
      <w:pPr>
        <w:spacing w:after="100"/>
        <w:ind w:left="259" w:hanging="259"/>
      </w:pPr>
      <w:r>
        <w:rPr>
          <w:rFonts w:ascii="Helvetica Neue" w:hAnsi="Helvetica Neue"/>
          <w:b/>
          <w:i w:val="0"/>
          <w:color w:val="0B2F4F"/>
          <w:sz w:val="21"/>
        </w:rPr>
        <w:t xml:space="preserve">SG-006  Explainability. </w:t>
      </w:r>
      <w:r>
        <w:rPr>
          <w:rFonts w:ascii="Helvetica Neue" w:hAnsi="Helvetica Neue"/>
          <w:b w:val="0"/>
          <w:i w:val="0"/>
          <w:color w:val="26384A"/>
          <w:sz w:val="21"/>
        </w:rPr>
        <w:t>Driver explanations must be faithful to the model, stable enough for operational use and free of other-client identifiers. Generic labels such as cross-client payment consistency may be used.</w:t>
      </w:r>
    </w:p>
    <w:p>
      <w:pPr>
        <w:spacing w:after="100"/>
        <w:ind w:left="259" w:hanging="259"/>
      </w:pPr>
      <w:r>
        <w:rPr>
          <w:rFonts w:ascii="Helvetica Neue" w:hAnsi="Helvetica Neue"/>
          <w:b/>
          <w:i w:val="0"/>
          <w:color w:val="0B2F4F"/>
          <w:sz w:val="21"/>
        </w:rPr>
        <w:t xml:space="preserve">SG-007  Bias and segmentation. </w:t>
      </w:r>
      <w:r>
        <w:rPr>
          <w:rFonts w:ascii="Helvetica Neue" w:hAnsi="Helvetica Neue"/>
          <w:b w:val="0"/>
          <w:i w:val="0"/>
          <w:color w:val="26384A"/>
          <w:sz w:val="21"/>
        </w:rPr>
        <w:t>Validation must report performance by participating client and other material business segments where sample size permits, without weakening data confidentiality.</w:t>
      </w:r>
    </w:p>
    <w:p>
      <w:pPr>
        <w:spacing w:after="100"/>
        <w:ind w:left="259" w:hanging="259"/>
      </w:pPr>
      <w:r>
        <w:rPr>
          <w:rFonts w:ascii="Helvetica Neue" w:hAnsi="Helvetica Neue"/>
          <w:b/>
          <w:i w:val="0"/>
          <w:color w:val="0B2F4F"/>
          <w:sz w:val="21"/>
        </w:rPr>
        <w:t xml:space="preserve">SG-008  Human decision. </w:t>
      </w:r>
      <w:r>
        <w:rPr>
          <w:rFonts w:ascii="Helvetica Neue" w:hAnsi="Helvetica Neue"/>
          <w:b w:val="0"/>
          <w:i w:val="0"/>
          <w:color w:val="26384A"/>
          <w:sz w:val="21"/>
        </w:rPr>
        <w:t>The recommended limit and score remain advisory. Inebura must retain the administrator's final decision separately so later model evaluation can distinguish model output from human action.</w:t>
      </w:r>
    </w:p>
    <w:p>
      <w:pPr>
        <w:pStyle w:val="Heading1"/>
        <w:keepNext/>
      </w:pPr>
      <w:r>
        <w:t>12. Validation and Acceptance</w:t>
      </w:r>
    </w:p>
    <w:p>
      <w:pPr>
        <w:keepLines w:val="0"/>
      </w:pPr>
      <w:r>
        <w:rPr>
          <w:rFonts w:ascii="Helvetica Neue" w:hAnsi="Helvetica Neue"/>
          <w:b w:val="0"/>
          <w:i w:val="0"/>
          <w:color w:val="26384A"/>
          <w:sz w:val="21"/>
        </w:rPr>
        <w:t>Before pilot deployment, the external model team must propose measurable thresholds for discrimination or ranking quality, calibration, eligible-account coverage, stability, segment performance and confidence reliability. Tanserv Product and Risk must approve the thresholds. A model that does not meet an approved launch gate cannot be promoted solely because the API integration succeeds.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ID</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Test scenario</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7"/>
              </w:rPr>
              <w:t>Acceptance result</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VA-01</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Current-client-only eligible account</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Recommended limit, score, confidence, drivers and all sixteen current-scenario metrics return with valid versions</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VA-02</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Same customer across participating clients</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Combined evidence is used; current-client context remains represented; no source-client detail is exposed</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VA-03</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Insufficient relationship history</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INSUFFICIENT_DATA returns with failed evidence thresholds and no score or limit</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VA-04</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Limit increase</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Current and proposed scenarios use identical evidence and model version; all metric deltas are complete and correctly signed</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VA-05</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Limit decrease below outstanding</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Valid scenario returns, utilization can exceed 100 percent and risk movement is explained</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VA-06</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Latest duplicate record</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Only the latest timestamped value affects the prediction and the conflict remains in quality lineage</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VA-07</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Stale data</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STALE_DATA returns according to the approved freshness threshold</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VA-08</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Extreme and invalid values</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Valid extremes are bounded and explained; negative, non-finite and malformed values return INVALID_INPUT</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VA-09</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Deterministic replay</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Repeated inputs with the same versions produce numerically identical output</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VA-10</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Version mismatch</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UNSUPPORTED_SCHEMA identifies the unsupported feature or output version</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VA-11</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Timeout or dependency failure</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MODEL_UNAVAILABLE returns without a misleading partial success</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VA-12</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Confidentiality challenge</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Responses, explanations, telemetry and logs contain no other-client identity or raw relationship data</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VA-13</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Latency and load</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At least 95 percent of complete prediction calls finish within five seconds at the agreed pilot load</w:t>
            </w:r>
          </w:p>
        </w:tc>
      </w:tr>
      <w:tr>
        <w:trPr>
          <w:cantSplit/>
        </w:trPr>
        <w:tc>
          <w:tcPr>
            <w:tcW w:type="dxa" w:w="93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VA-14</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Fresh-model comparison</w:t>
            </w:r>
          </w:p>
        </w:tc>
        <w:tc>
          <w:tcPr>
            <w:tcW w:type="dxa" w:w="561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Champion and candidate reports show approved quality, stability and segment gates before promotion</w:t>
            </w:r>
          </w:p>
        </w:tc>
      </w:tr>
    </w:tbl>
    <w:p>
      <w:pPr>
        <w:spacing w:after="0"/>
      </w:pPr>
    </w:p>
    <w:p>
      <w:pPr>
        <w:pStyle w:val="Heading2"/>
        <w:keepNext/>
      </w:pPr>
      <w:r>
        <w:t>12.1 Model validation evidence</w:t>
      </w:r>
    </w:p>
    <w:p>
      <w:pPr>
        <w:spacing w:after="60"/>
        <w:ind w:left="360" w:hanging="259"/>
      </w:pPr>
      <w:r>
        <w:rPr>
          <w:rFonts w:ascii="Helvetica Neue" w:hAnsi="Helvetica Neue"/>
          <w:b w:val="0"/>
          <w:i w:val="0"/>
          <w:color w:val="26384A"/>
          <w:sz w:val="21"/>
        </w:rPr>
        <w:t>•  Time-based holdout evaluation that prevents future information from leaking into training features.</w:t>
      </w:r>
    </w:p>
    <w:p>
      <w:pPr>
        <w:spacing w:after="60"/>
        <w:ind w:left="360" w:hanging="259"/>
      </w:pPr>
      <w:r>
        <w:rPr>
          <w:rFonts w:ascii="Helvetica Neue" w:hAnsi="Helvetica Neue"/>
          <w:b w:val="0"/>
          <w:i w:val="0"/>
          <w:color w:val="26384A"/>
          <w:sz w:val="21"/>
        </w:rPr>
        <w:t>•  Comparison against a documented baseline such as the current limit or a simple historical rule.</w:t>
      </w:r>
    </w:p>
    <w:p>
      <w:pPr>
        <w:spacing w:after="60"/>
        <w:ind w:left="360" w:hanging="259"/>
      </w:pPr>
      <w:r>
        <w:rPr>
          <w:rFonts w:ascii="Helvetica Neue" w:hAnsi="Helvetica Neue"/>
          <w:b w:val="0"/>
          <w:i w:val="0"/>
          <w:color w:val="26384A"/>
          <w:sz w:val="21"/>
        </w:rPr>
        <w:t>•  Calibration and score-band analysis showing what observed repayment behavior corresponds to each score range.</w:t>
      </w:r>
    </w:p>
    <w:p>
      <w:pPr>
        <w:spacing w:after="60"/>
        <w:ind w:left="360" w:hanging="259"/>
      </w:pPr>
      <w:r>
        <w:rPr>
          <w:rFonts w:ascii="Helvetica Neue" w:hAnsi="Helvetica Neue"/>
          <w:b w:val="0"/>
          <w:i w:val="0"/>
          <w:color w:val="26384A"/>
          <w:sz w:val="21"/>
        </w:rPr>
        <w:t>•  Performance and confidence coverage by client and material segment, with sample-size warnings.</w:t>
      </w:r>
    </w:p>
    <w:p>
      <w:pPr>
        <w:spacing w:after="60"/>
        <w:ind w:left="360" w:hanging="259"/>
      </w:pPr>
      <w:r>
        <w:rPr>
          <w:rFonts w:ascii="Helvetica Neue" w:hAnsi="Helvetica Neue"/>
          <w:b w:val="0"/>
          <w:i w:val="0"/>
          <w:color w:val="26384A"/>
          <w:sz w:val="21"/>
        </w:rPr>
        <w:t>•  Sensitivity and scenario tests for increases and decreases in proposed limits.</w:t>
      </w:r>
    </w:p>
    <w:p>
      <w:pPr>
        <w:spacing w:after="60"/>
        <w:ind w:left="360" w:hanging="259"/>
      </w:pPr>
      <w:r>
        <w:rPr>
          <w:rFonts w:ascii="Helvetica Neue" w:hAnsi="Helvetica Neue"/>
          <w:b w:val="0"/>
          <w:i w:val="0"/>
          <w:color w:val="26384A"/>
          <w:sz w:val="21"/>
        </w:rPr>
        <w:t>•  Feature leakage, target leakage, duplicate-customer and cross-client confidentiality checks.</w:t>
      </w:r>
    </w:p>
    <w:p>
      <w:pPr>
        <w:spacing w:after="60"/>
        <w:ind w:left="360" w:hanging="259"/>
      </w:pPr>
      <w:r>
        <w:rPr>
          <w:rFonts w:ascii="Helvetica Neue" w:hAnsi="Helvetica Neue"/>
          <w:b w:val="0"/>
          <w:i w:val="0"/>
          <w:color w:val="26384A"/>
          <w:sz w:val="21"/>
        </w:rPr>
        <w:t>•  Documented threshold proposal and Product and Risk approval for pilot use.</w:t>
      </w:r>
    </w:p>
    <w:p>
      <w:pPr>
        <w:pStyle w:val="Heading1"/>
        <w:keepNext/>
      </w:pPr>
      <w:r>
        <w:t>13. Handover and Operational Readiness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Deliverable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Required contents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Exit evidence</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6"/>
              </w:rPr>
              <w:t>Training pipeline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Source, configuration, deterministic preprocessing, experiment tracking and a reproducible training command</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Fresh environment reproduces the approved candidate within documented tolerance</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6"/>
              </w:rPr>
              <w:t>Inference service</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Tanserv-deployable container implementing predict, health and metadata endpoints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Contract, security, latency and failure tests pass</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6"/>
              </w:rPr>
              <w:t>Feature definitions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Versioned source-to-feature logic, units, windows, missing-value handling and leakage controls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Independent feature reconciliation passes on the acceptance dataset</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6"/>
              </w:rPr>
              <w:t>Model artifacts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Versioned artifact, checksums, runtime dependencies and compatibility matrix</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Artifact loads and serves without external-team infrastructure</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6"/>
              </w:rPr>
              <w:t>Validation report</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Dataset windows, targets, metrics, calibration, segment results, limitations and approved thresholds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Product and Risk sign-off recorded</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6"/>
              </w:rPr>
              <w:t>Automated tests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Unit, schema, integration, regression, deterministic replay, security and performance tests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All required suites pass in Tanserv CI</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6"/>
              </w:rPr>
              <w:t>Documentation</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API specification, model card, data dictionary, deployment, monitoring, rollback and troubleshooting guides</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walkthrough and knowledge-transfer review completed</w:t>
            </w:r>
          </w:p>
        </w:tc>
      </w:tr>
      <w:tr>
        <w:trPr>
          <w:cantSplit/>
        </w:trPr>
        <w:tc>
          <w:tcPr>
            <w:tcW w:type="dxa" w:w="201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6"/>
              </w:rPr>
              <w:t>Retraining runbook</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Data cut, quality gate, training, comparison, approval, release and rollback sequence</w:t>
            </w:r>
          </w:p>
        </w:tc>
        <w:tc>
          <w:tcPr>
            <w:tcW w:type="dxa" w:w="280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completes one supervised retraining rehearsal</w:t>
            </w:r>
          </w:p>
        </w:tc>
      </w:tr>
    </w:tbl>
    <w:p>
      <w:pPr>
        <w:spacing w:after="0"/>
      </w:pPr>
    </w:p>
    <w:p>
      <w:pPr>
        <w:pStyle w:val="Heading2"/>
        <w:keepNext/>
      </w:pPr>
      <w:r>
        <w:t>13.1 Operational signals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Signal</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Initial service objective or alert</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Owner</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6"/>
              </w:rPr>
              <w:t>Launch gate</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Prediction success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Measure OK, no-score and failure rates separately; page on sustained unexpected service failures</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Platform</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Latency</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95 percent of complete calls within five seconds at approved pilot load</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Platform</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Data freshness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Alert when model-ready evidence exceeds the approved freshness threshold</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Data</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Score distribution</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Monitor shifts by client, model version and confidence band</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Model Ops</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Model drift</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Use the approved feature and prediction drift thresholds; escalate before retraining or promotion</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Model Ops</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Confidentiality</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Zero tolerated other-client identity or raw relationship detail in response and logs</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Security</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Required</w:t>
            </w:r>
          </w:p>
        </w:tc>
      </w:tr>
      <w:tr>
        <w:trPr>
          <w:cantSplit/>
        </w:trPr>
        <w:tc>
          <w:tcPr>
            <w:tcW w:type="dxa" w:w="19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Rollback readiness</w:t>
            </w:r>
          </w:p>
        </w:tc>
        <w:tc>
          <w:tcPr>
            <w:tcW w:type="dxa" w:w="511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Previous model artifact and routing configuration remain deployable</w:t>
            </w:r>
          </w:p>
        </w:tc>
        <w:tc>
          <w:tcPr>
            <w:tcW w:type="dxa" w:w="1655"/>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Platform</w:t>
            </w:r>
          </w:p>
        </w:tc>
        <w:tc>
          <w:tcPr>
            <w:tcW w:type="dxa" w:w="122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Required</w:t>
            </w:r>
          </w:p>
        </w:tc>
      </w:tr>
    </w:tbl>
    <w:p>
      <w:pPr>
        <w:spacing w:after="0"/>
      </w:pPr>
    </w:p>
    <w:p>
      <w:pPr>
        <w:pStyle w:val="Heading1"/>
        <w:keepNext/>
      </w:pPr>
      <w:r>
        <w:t>14. Controlled Pilot and Rollout</w:t>
      </w:r>
    </w:p>
    <w:p>
      <w:pPr>
        <w:keepLines w:val="0"/>
      </w:pPr>
      <w:r>
        <w:rPr>
          <w:rFonts w:ascii="Helvetica Neue" w:hAnsi="Helvetica Neue"/>
          <w:b w:val="0"/>
          <w:i w:val="0"/>
          <w:color w:val="26384A"/>
          <w:sz w:val="21"/>
        </w:rPr>
        <w:t>The first release will be exposed to one Tanserv-approved client as a controlled pilot. Predictions may inform administrator decisions, but pilot reporting must retain the recommendation, score, scenario shown and final administrator-selected limit as separate records. This allows business evaluation without treating the model recommendation as an automatic decision.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Milestone</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Deliverable</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Exit criteria</w:t>
            </w:r>
          </w:p>
        </w:tc>
      </w:tr>
      <w:tr>
        <w:trPr>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M1</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Data and feature readiness</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Model-ready schema, canonical matching, latest-record precedence and quality tests approved</w:t>
            </w:r>
          </w:p>
        </w:tc>
      </w:tr>
      <w:tr>
        <w:trPr>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M2</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Offline model validation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Approved model-quality thresholds met; leakage, privacy, reproducibility and explanation reviews passed</w:t>
            </w:r>
          </w:p>
        </w:tc>
      </w:tr>
      <w:tr>
        <w:trPr>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M3</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Tanserv-hosted integration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Container, API contract, security, deterministic replay and five-second latency target pass</w:t>
            </w:r>
          </w:p>
        </w:tc>
      </w:tr>
      <w:tr>
        <w:trPr>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M4</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Controlled client pilot</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Pilot monitoring active; no unresolved critical confidentiality, data-quality or service defects</w:t>
            </w:r>
          </w:p>
        </w:tc>
      </w:tr>
      <w:tr>
        <w:trPr>
          <w:cantSplit/>
        </w:trPr>
        <w:tc>
          <w:tcPr>
            <w:tcW w:type="dxa" w:w="12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M5</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Handover and broader-rollout decision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Tanserv retraining rehearsal passes and Product, Risk, Security and Platform approve promotion</w:t>
            </w:r>
          </w:p>
        </w:tc>
      </w:tr>
    </w:tbl>
    <w:p>
      <w:pPr>
        <w:spacing w:after="0"/>
      </w:pPr>
    </w:p>
    <w:p>
      <w:pPr>
        <w:keepLines w:val="0"/>
      </w:pPr>
      <w:r>
        <w:rPr>
          <w:rFonts w:ascii="Helvetica Neue" w:hAnsi="Helvetica Neue"/>
          <w:b/>
          <w:i w:val="0"/>
          <w:color w:val="26384A"/>
          <w:sz w:val="21"/>
        </w:rPr>
        <w:t>Rollback requirement.</w:t>
      </w:r>
      <w:r>
        <w:rPr>
          <w:rFonts w:ascii="Helvetica Neue" w:hAnsi="Helvetica Neue"/>
          <w:b w:val="0"/>
          <w:i w:val="0"/>
          <w:color w:val="26384A"/>
          <w:sz w:val="21"/>
        </w:rPr>
        <w:t xml:space="preserve"> Tanserv must be able to route inference to the previously approved model version or disable model-backed simulation. A rollback must not alter stored customer limits or historical prediction records.</w:t>
      </w:r>
    </w:p>
    <w:p>
      <w:pPr>
        <w:pStyle w:val="Heading1"/>
        <w:keepNext/>
      </w:pPr>
      <w:r>
        <w:t>15. Dependencies, Decisions and Assumptions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Item</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Agreed position</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Owner or dependency</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Currency</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INR only; the model returns the exact numerical amount without operational rounding</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Product decision</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Scoring unit</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Per ERP customer account, with optional legal-entity rollup outside the model response</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data mapping</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Cross-client evidence</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Same canonical customer only; no peer-cohort requirement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identity and participation controls</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Input preparation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supplies normalized and quality-approved model-ready data</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Data Engineering</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Conflict resolution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Latest authoritative timestamped record wins and lineage remains available</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Input contract</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Prediction horizon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Ninety days for scenario metrics and dynamic score</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Product decision</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Minimum history</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External team proposes a validated threshold; Tanserv approves before pilot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Model validation dependency</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Quality thresholds</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External team proposes numerical gates for approval by Product and Risk</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Model validation dependency</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Service</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Real-time API only, hosted by Tanserv; 95th percentile within five seconds</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Tanserv Platform</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Operation after handover</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Tanserv owns retraining, deployment, monitoring and rollback</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6"/>
              </w:rPr>
              <w:t>Handover requirement</w:t>
            </w:r>
          </w:p>
        </w:tc>
      </w:tr>
      <w:tr>
        <w:trPr>
          <w:cantSplit/>
        </w:trPr>
        <w:tc>
          <w:tcPr>
            <w:tcW w:type="dxa" w:w="223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User decision</w:t>
            </w:r>
          </w:p>
        </w:tc>
        <w:tc>
          <w:tcPr>
            <w:tcW w:type="dxa" w:w="525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Model output is advisory and does not apply or approve a limit</w:t>
            </w:r>
          </w:p>
        </w:tc>
        <w:tc>
          <w:tcPr>
            <w:tcW w:type="dxa" w:w="24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6"/>
              </w:rPr>
              <w:t>Inebura integration boundary</w:t>
            </w:r>
          </w:p>
        </w:tc>
      </w:tr>
    </w:tbl>
    <w:p>
      <w:pPr>
        <w:spacing w:after="0"/>
      </w:pPr>
    </w:p>
    <w:p>
      <w:pPr>
        <w:pStyle w:val="Heading1"/>
        <w:keepNext/>
      </w:pPr>
      <w:r>
        <w:t>16. Glossary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Term</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2F4F"/>
          </w:tcPr>
          <w:p>
            <w:pPr>
              <w:spacing w:after="0" w:before="0" w:line="259" w:lineRule="auto"/>
              <w:jc w:val="left"/>
            </w:pPr>
            <w:r/>
            <w:r>
              <w:rPr>
                <w:rFonts w:ascii="Helvetica Neue" w:hAnsi="Helvetica Neue"/>
                <w:b/>
                <w:i w:val="0"/>
                <w:color w:val="FFFFFF"/>
                <w:sz w:val="18"/>
              </w:rPr>
              <w:t>Definition</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Canonical customer ID</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Pseudonymized identifier used to match the same customer across participating client relationships</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Current client</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The client and ERP account for which Inebura requested the prediction</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ERP customer account</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The account-level unit that receives one limit, score and prediction history</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Credit score</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Dynamic 0 to 100 model output representing combined ninety-day repayment safety under an evaluated limit</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Recommended credit limit</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The model's exact INR estimate of a prudent limit; advisory rather than automatically effective</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Scenario</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Prediction evaluated using either the current limit or an administrator-entered proposed limit</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Model-ready data</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Normalized, quality-checked, versioned input approved by Tanserv for training or inference</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Observed</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A value directly present in the approved evidence as of the request cutoff</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Derived</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A deterministic value calculated from observed or predicted fields</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Predicted</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A model estimate for the ninety-day horizon and therefore subject to uncertainty</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PTP</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Promise to pay</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i w:val="0"/>
                <w:color w:val="26384A"/>
                <w:sz w:val="17"/>
              </w:rPr>
              <w:t>DSO</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before="0" w:line="259" w:lineRule="auto"/>
              <w:jc w:val="left"/>
            </w:pPr>
            <w:r/>
            <w:r>
              <w:rPr>
                <w:rFonts w:ascii="Helvetica Neue" w:hAnsi="Helvetica Neue"/>
                <w:b w:val="0"/>
                <w:i w:val="0"/>
                <w:color w:val="26384A"/>
                <w:sz w:val="17"/>
              </w:rPr>
              <w:t>Days sales outstanding</w:t>
            </w:r>
          </w:p>
        </w:tc>
      </w:tr>
      <w:tr>
        <w:trPr>
          <w:cantSplit/>
        </w:trPr>
        <w:tc>
          <w:tcPr>
            <w:tcW w:type="dxa" w:w="295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i w:val="0"/>
                <w:color w:val="26384A"/>
                <w:sz w:val="17"/>
              </w:rPr>
              <w:t>Model drift</w:t>
            </w:r>
          </w:p>
        </w:tc>
        <w:tc>
          <w:tcPr>
            <w:tcW w:type="dxa" w:w="69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5F0F8"/>
          </w:tcPr>
          <w:p>
            <w:pPr>
              <w:spacing w:after="0" w:before="0" w:line="259" w:lineRule="auto"/>
              <w:jc w:val="left"/>
            </w:pPr>
            <w:r/>
            <w:r>
              <w:rPr>
                <w:rFonts w:ascii="Helvetica Neue" w:hAnsi="Helvetica Neue"/>
                <w:b w:val="0"/>
                <w:i w:val="0"/>
                <w:color w:val="26384A"/>
                <w:sz w:val="17"/>
              </w:rPr>
              <w:t>A material change in input patterns, predictions or observed model performance after deployment</w:t>
            </w:r>
          </w:p>
        </w:tc>
      </w:tr>
    </w:tbl>
    <w:p>
      <w:pPr>
        <w:spacing w:after="0"/>
      </w:pPr>
    </w:p>
    <w:p>
      <w:pPr>
        <w:pStyle w:val="Heading1"/>
        <w:keepNext/>
      </w:pPr>
      <w:r>
        <w:t>17. Decision and Next Steps</w:t>
      </w:r>
    </w:p>
    <w:p>
      <w:pPr>
        <w:keepLines w:val="0"/>
      </w:pPr>
      <w:r>
        <w:rPr>
          <w:rFonts w:ascii="Helvetica Neue" w:hAnsi="Helvetica Neue"/>
          <w:b w:val="0"/>
          <w:i w:val="0"/>
          <w:color w:val="26384A"/>
          <w:sz w:val="21"/>
        </w:rPr>
        <w:t>Proceed with the external model engagement using this FRD as the business and interface baseline. The external team must first confirm the model-ready schema, target and feature definitions, then propose measurable quality and minimum-history thresholds. After offline validation, Tanserv will host the delivered service and expose it to one approved pilot client. Wider rollout requires completed handover, accepted model and API gates, confidentiality review and a tested rollback path.</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
      <w:rPr>
        <w:rFonts w:ascii="Helvetica Neue" w:hAnsi="Helvetica Neue"/>
        <w:b w:val="0"/>
        <w:i w:val="0"/>
        <w:color w:val="61778B"/>
        <w:sz w:val="17"/>
      </w:rPr>
      <w:t>Inebura | Credit Limit Prediction Model FRD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Helvetica Neue" w:hAnsi="Helvetica Neue"/>
      <w:color w:val="26384A"/>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20" w:line="285" w:lineRule="auto" w:before="240"/>
    </w:pPr>
    <w:rPr>
      <w:rFonts w:ascii="Helvetica Neue" w:hAnsi="Helvetica Neue"/>
      <w:b/>
      <w:bCs w:val="1"/>
      <w:color w:val="0B2F4F"/>
      <w:sz w:val="34"/>
      <w:szCs w:val="27"/>
    </w:rPr>
  </w:style>
  <w:style w:type="paragraph" w:styleId="Heading2">
    <w:name w:val="heading 2"/>
    <w:basedOn w:val="Normal"/>
    <w:next w:val="Normal"/>
    <w:pPr>
      <w:keepNext/>
      <w:keepLines w:val="1"/>
      <w:spacing w:after="120" w:before="240" w:lineRule="auto"/>
    </w:pPr>
    <w:rPr>
      <w:rFonts w:ascii="Helvetica Neue" w:cs="Calibri" w:eastAsia="Calibri" w:hAnsi="Helvetica Neue"/>
      <w:b/>
      <w:bCs w:val="1"/>
      <w:smallCaps w:val="1"/>
      <w:color w:val="0B2F4F"/>
      <w:sz w:val="26"/>
      <w:szCs w:val="19"/>
    </w:rPr>
  </w:style>
  <w:style w:type="paragraph" w:styleId="Heading3">
    <w:name w:val="heading 3"/>
    <w:basedOn w:val="Normal"/>
    <w:next w:val="Normal"/>
    <w:pPr>
      <w:keepNext/>
      <w:keepLines w:val="1"/>
      <w:spacing w:before="240" w:after="120"/>
    </w:pPr>
    <w:rPr>
      <w:rFonts w:ascii="Helvetica Neue" w:cs="Helvetica Neue" w:eastAsia="Helvetica Neue" w:hAnsi="Helvetica Neue"/>
      <w:b/>
      <w:bCs w:val="1"/>
      <w:color w:val="61778B"/>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Credit Limit Prediction Model Feature Requirement Document</dc:title>
  <cp:lastModifiedBy>python-docx</cp:lastModifiedBy>
  <cp:revision>1</cp:revision>
  <dcterms:modified xsi:type="dcterms:W3CDTF">2026-09-10T12:59:50Z</dcterms:modified>
  <dc:subject>External model development requirements for Inebura Credit Limit Management</dc:subject>
  <dc:creator>Tanserv Product Team</dc:creator>
  <cp:keywords>Inebura, credit limit, credit score, prediction model, feature requirements</cp:keywords>
  <dc:description>Business-facing requirements for external model development and Tanserv handover</dc:description>
</cp:coreProperties>
</file>