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Dunning Letters Requirements</w:t>
      </w:r>
    </w:p>
    <w:p>
      <w:pPr>
        <w:pStyle w:val="Subtitle"/>
      </w:pPr>
      <w:r>
        <w:t>Scope and implementation handoff</w:t>
      </w:r>
    </w:p>
    <w:p>
      <w:r>
        <w:t>23 October 2026</w:t>
      </w:r>
    </w:p>
    <w:p>
      <w:r>
        <w:t>Build Dunning Letters within Module Configuration so Client Admin can configure letters, control daily sending, manage invoice participation and review issued history. Eligible invoices are grouped into daily customer batches, and each batch follows its configured letter schedule. Customers receive one PDF containing the letter and invoice annexure.</w:t>
      </w:r>
    </w:p>
    <w:p>
      <w:pPr>
        <w:pStyle w:val="Heading2"/>
      </w:pPr>
      <w:r>
        <w:t>Scope and location</w:t>
      </w:r>
    </w:p>
    <w:p>
      <w:r>
        <w:t>Module Configuration &gt; Configurations contains the Dunning Letters enable toggle and number of letters. Detailed management sits in Module Configuration &gt; Dunning Letters, with these five sections:</w:t>
      </w:r>
    </w:p>
    <w:p>
      <w:pPr>
        <w:pStyle w:val="ListBullet"/>
      </w:pPr>
      <w:r>
        <w:t>Letter Templates: choose standard or uploaded Word letters and configure the email content.</w:t>
      </w:r>
    </w:p>
    <w:p>
      <w:pPr>
        <w:pStyle w:val="ListBullet"/>
      </w:pPr>
      <w:r>
        <w:t>Sending &amp; Scheduling: define strategy coverage, letter stages, eligibility filters and timing; activate, pause or stop strategies.</w:t>
      </w:r>
    </w:p>
    <w:p>
      <w:pPr>
        <w:pStyle w:val="ListBullet"/>
      </w:pPr>
      <w:r>
        <w:t>Letter Activity: review daily batches, next stages and dates, conflicts, recipient outcomes, sent emails and exact issued PDFs.</w:t>
      </w:r>
    </w:p>
    <w:p>
      <w:pPr>
        <w:pStyle w:val="ListBullet"/>
      </w:pPr>
      <w:r>
        <w:t>Invoice Participation: review balances, exclusions and the latest successfully sent letter for each invoice.</w:t>
      </w:r>
    </w:p>
    <w:p>
      <w:pPr>
        <w:pStyle w:val="ListBullet"/>
      </w:pPr>
      <w:r>
        <w:t>Invoice Report: filter and export invoice-level issued-letter details.</w:t>
      </w:r>
    </w:p>
    <w:p>
      <w:pPr>
        <w:pStyle w:val="Heading2"/>
      </w:pPr>
      <w:r>
        <w:t>Access and boundaries</w:t>
      </w:r>
    </w:p>
    <w:p>
      <w:r>
        <w:t>The management tab, its controls and the invoice report are available only to Client Admin within the applicable client scope. Supervisor, Agent and MIS roles do not receive access to this tab. Agents retain the ability to exclude assigned invoices from their existing invoice screen; Client Admin can exclude invoices within the client scope.</w:t>
      </w:r>
    </w:p>
    <w:p>
      <w:r>
        <w:t>Move Dunning-specific management and reporting out of the generic Template Master, Strategy Master, Email management and Reports selector. Preserve unrelated templates, strategies, reports and existing issued history.</w:t>
      </w:r>
    </w:p>
    <w:p>
      <w:pPr>
        <w:pStyle w:val="Heading2"/>
      </w:pPr>
      <w:r>
        <w:t>Enablement and letter count</w:t>
      </w:r>
    </w:p>
    <w:p>
      <w:r>
        <w:t>Support one or more letters; three is the initial default. The prototype accepts counts from 1 to 1000 as a validation guard. A business maximum has not been separately agreed. Enabling the feature or increasing the count only makes stages available. Without a valid active strategy, no Dunning email is sent.</w:t>
      </w:r>
    </w:p>
    <w:p>
      <w:r>
        <w:br w:type="page"/>
      </w:r>
    </w:p>
    <w:p>
      <w:pPr>
        <w:pStyle w:val="Heading1"/>
      </w:pPr>
      <w:r>
        <w:t>Letter templates and document output</w:t>
      </w:r>
    </w:p>
    <w:p>
      <w:pPr>
        <w:pStyle w:val="Heading2"/>
      </w:pPr>
      <w:r>
        <w:t>Word source selection</w:t>
      </w:r>
    </w:p>
    <w:p>
      <w:r>
        <w:t>For each letter stage, provide a Word letter template dropdown with Standard Word Template and Upload my Word Template. Show the upload or replace control only when Upload my Word Template is selected. Reopening a saved custom template must retain its source choice, filename and validated content.</w:t>
      </w:r>
    </w:p>
    <w:p>
      <w:r>
        <w:t>Supply one standard Word file. Users may select it or download it, edit it outside Inebura and upload their own file. There is no in-application Word editor and no separate field-mapping or calculation-configuration screen.</w:t>
      </w:r>
    </w:p>
    <w:p>
      <w:pPr>
        <w:pStyle w:val="Heading2"/>
      </w:pPr>
      <w:r>
        <w:t>Standard letter and annexure</w:t>
      </w:r>
    </w:p>
    <w:p>
      <w:r>
        <w:t>Use the approved notice format on page 1. Remove customer-specific names, logos, signatures and stamps from the reusable default. Invoice number, amount due, due date and invoice totals belong in the annexure, rather than the notice body. The annexure contains a visible invoice table and may continue over additional pages.</w:t>
      </w:r>
    </w:p>
    <w:p>
      <w:r>
        <w:t>The standard annexure provides Invoice Number, Invoice Date, Due Date, Invoice Amount, Amount Due and Description. Use the remaining outstanding balance for Amount Due and the letter total. Payment days, payment instructions and sender details must be completed for the client before operational use.</w:t>
      </w:r>
    </w:p>
    <w:p>
      <w:pPr>
        <w:pStyle w:val="Heading2"/>
      </w:pPr>
      <w:r>
        <w:t>Validation and replacement</w:t>
      </w:r>
    </w:p>
    <w:p>
      <w:r>
        <w:t>Validate uploaded Word files before they can replace saved content. Missing required values, unsupported fields and malformed placeholders must produce clear errors and block saving. The current supported required values are customer name, letter issue date, letter reference, outstanding total and invoice annexure; follow-up letters also require previous-letter references.</w:t>
      </w:r>
    </w:p>
    <w:p>
      <w:r>
        <w:t>Retain the existing saved file when a replacement fails validation or editing is cancelled. A late upload or standard-template response must not overwrite a newer selection or a closed editor. Preview the generated PDF before saving.</w:t>
      </w:r>
    </w:p>
    <w:p>
      <w:pPr>
        <w:pStyle w:val="Heading2"/>
      </w:pPr>
      <w:r>
        <w:t>Email content</w:t>
      </w:r>
    </w:p>
    <w:p>
      <w:r>
        <w:t>DL1, DL2 and DL3 use their existing approved email templates. DL4 and every later stage use the current DL3 subject and message. Editing DL3 updates future DL3 and later sends, including unsent stages in active batches. Additional stages display that shared email for review and retain their own Word letter and schedule.</w:t>
      </w:r>
    </w:p>
    <w:p>
      <w:r>
        <w:t>Send one PDF containing the letter and annexure. Follow-up letters retain the relevant preceding-letter references and issue dates. Keep the exact sent email and PDF; later edits or payments must not regenerate or change issued content.</w:t>
      </w:r>
    </w:p>
    <w:p>
      <w:r>
        <w:br w:type="page"/>
      </w:r>
    </w:p>
    <w:p>
      <w:pPr>
        <w:pStyle w:val="Heading1"/>
      </w:pPr>
      <w:r>
        <w:t>Sending strategy and daily batches</w:t>
      </w:r>
    </w:p>
    <w:p>
      <w:pPr>
        <w:pStyle w:val="Heading2"/>
      </w:pPr>
      <w:r>
        <w:t>Strategy setup</w:t>
      </w:r>
    </w:p>
    <w:p>
      <w:r>
        <w:t>Create and edit Dunning strategies in Sending &amp; Scheduling. Define a name, client or sub-client coverage, selected customers or invoices where required, sequential letter stages, templates and timing. Support activation, pause, resume and stop subject to the pending policies listed later.</w:t>
      </w:r>
    </w:p>
    <w:p>
      <w:r>
        <w:t>DL1 is due a configured number of days after each invoice due date. Each later stage is due a configured number of days after the preceding successful letter for that batch. Support existing target selections and exclusions, key account selection, invoice status and aging filters. Do not include a Minimum outstanding amount field or threshold.</w:t>
      </w:r>
    </w:p>
    <w:p>
      <w:pPr>
        <w:pStyle w:val="Heading2"/>
      </w:pPr>
      <w:r>
        <w:t>Daily inclusion and customer grouping</w:t>
      </w:r>
    </w:p>
    <w:p>
      <w:r>
        <w:t>Invoices enter automatically through the daily strategy eligibility rules. There is no manual inclusion request or approval queue. Group newly eligible invoices for the same customer and strategy into one daily batch with one DL1 email and one annexure. Each invoice must retain its batch membership and stage history.</w:t>
      </w:r>
    </w:p>
    <w:p>
      <w:r>
        <w:t>Example: ten invoices becoming eligible on 20 October form one batch. Five becoming eligible on 21 October form another batch. Each batch follows its own schedule. New invoices start at DL1 in their own daily batch; they do not join an older batch at DL2 or a later stage.</w:t>
      </w:r>
    </w:p>
    <w:p>
      <w:r>
        <w:t>If an older batch is due DL2 while a new batch is due DL1 for the same customer on the same day, send separate emails with the appropriate letters. Repeat processing must not issue the same stage twice.</w:t>
      </w:r>
    </w:p>
    <w:p>
      <w:pPr>
        <w:pStyle w:val="Heading2"/>
      </w:pPr>
      <w:r>
        <w:t>Count changes and existing batches</w:t>
      </w:r>
    </w:p>
    <w:p>
      <w:pPr>
        <w:pStyle w:val="ListBullet"/>
      </w:pPr>
      <w:r>
        <w:t>Increasing the count makes new stages available. Client Admin must configure their Word templates and add their schedules to the strategy before those stages send. Apply explicitly added stages to active and new batches; completed batches remain completed.</w:t>
      </w:r>
    </w:p>
    <w:p>
      <w:pPr>
        <w:pStyle w:val="ListBullet"/>
      </w:pPr>
      <w:r>
        <w:t>Reducing the count removes stages above the new count from all unsent letters, including existing batches. Preserve all already issued stages, PDFs, emails and report rows.</w:t>
      </w:r>
    </w:p>
    <w:p>
      <w:pPr>
        <w:pStyle w:val="ListBullet"/>
      </w:pPr>
      <w:r>
        <w:t>Timing, template, coverage and eligibility-filter edits apply to unsent stages. Preserve issued invoice membership, captured balances and references.</w:t>
      </w:r>
    </w:p>
    <w:p>
      <w:pPr>
        <w:pStyle w:val="Heading2"/>
      </w:pPr>
      <w:r>
        <w:t>Conflicts and completion</w:t>
      </w:r>
    </w:p>
    <w:p>
      <w:r>
        <w:t>When an invoice matches more than one active strategy, hold it and flag the conflict until Client Admin selects one strategy. Preserve earlier issued letters when resolving the conflict. After the final configured stage, complete the batch without triggering an additional collection activity or escalation. Disabling Dunning prevents further sending and retains history.</w:t>
      </w:r>
    </w:p>
    <w:p>
      <w:r>
        <w:br w:type="page"/>
      </w:r>
    </w:p>
    <w:p>
      <w:pPr>
        <w:pStyle w:val="Heading1"/>
      </w:pPr>
      <w:r>
        <w:t>Delivery activity and invoice participation</w:t>
      </w:r>
    </w:p>
    <w:p>
      <w:pPr>
        <w:pStyle w:val="Heading2"/>
      </w:pPr>
      <w:r>
        <w:t>Delivery and retries</w:t>
      </w:r>
    </w:p>
    <w:p>
      <w:r>
        <w:t>Address each letter to all customer contacts available in the platform. Record the outcome for each recipient. A stage completes when at least one recipient succeeds. Partial success allows the batch to progress; do not retry failed contacts separately after another contact has succeeded.</w:t>
      </w:r>
    </w:p>
    <w:p>
      <w:r>
        <w:t>If every recipient fails, retry the same stage on the next daily run and block that batch from progressing. A successful retry shifts its remaining dates by the sending delay. For example, if DL1 due on 20 October succeeds on 22 October, a DL2 originally due on 27 October moves to 29 October. Other batches retain their schedules. The retry limit remains pending team confirmation.</w:t>
      </w:r>
    </w:p>
    <w:p>
      <w:pPr>
        <w:pStyle w:val="Heading2"/>
      </w:pPr>
      <w:r>
        <w:t>Letter Activity</w:t>
      </w:r>
    </w:p>
    <w:p>
      <w:r>
        <w:t>Show daily batch date, customer, strategy, next letter, scheduled date, status and invoice count. Make blocked, retry, empty and completed states clear. Display strategy conflicts and allow Client Admin to select the appropriate strategy.</w:t>
      </w:r>
    </w:p>
    <w:p>
      <w:r>
        <w:t>Show each issue or delivery attempt with issue date, customer, stage, reference, recipients and their delivery results. For issued letters, provide email viewing and preview/download of the exact sent PDF. Completely failed attempts remain visible as failures, rather than issued letters. The prototype Run daily cycle control is a simulation, not the production scheduler.</w:t>
      </w:r>
    </w:p>
    <w:p>
      <w:pPr>
        <w:pStyle w:val="Heading2"/>
      </w:pPr>
      <w:r>
        <w:t>Balances and exclusions</w:t>
      </w:r>
    </w:p>
    <w:p>
      <w:r>
        <w:t>Fully paid invoices are automatically omitted from future letters. Partially paid invoices remain at their current outstanding amount. When no unpaid eligible members remain, send no empty letter and retain the batch with its hold reason. Evaluate newly eligible invoices in their own daily batches.</w:t>
      </w:r>
    </w:p>
    <w:p>
      <w:r>
        <w:t>Invoice Participation shows invoice number, customer, due date, original amount, outstanding balance, last letter sent, participation status and exclusion action. Manual exclusions persist until an authorised user removes them. Reinstatement scheduling is pending; do not implement an automatic restart policy without confirmation.</w:t>
      </w:r>
    </w:p>
    <w:p>
      <w:pPr>
        <w:pStyle w:val="Heading2"/>
      </w:pPr>
      <w:r>
        <w:t>Last letter sent filter</w:t>
      </w:r>
    </w:p>
    <w:p>
      <w:r>
        <w:t>Provide All letters, Not sent and DL1/DL2/DL3 and onward, combined with customer or invoice search. Use the latest successfully or partially successfully issued letter that actually contains that invoice. Do not use the next scheduled stage, another invoice for the same customer, the highest stage ever reached, or a wholly failed attempt.</w:t>
      </w:r>
    </w:p>
    <w:p>
      <w:r>
        <w:t>Paid and manually excluded invoices retain their last sent stage. Keep historical sent stages available after the configured count is reduced. Filtering must not change balances, exclusions, batch membership or scheduling.</w:t>
      </w:r>
    </w:p>
    <w:p>
      <w:r>
        <w:br w:type="page"/>
      </w:r>
    </w:p>
    <w:p>
      <w:pPr>
        <w:pStyle w:val="Heading1"/>
      </w:pPr>
      <w:r>
        <w:t>Invoice report and downloads</w:t>
      </w:r>
    </w:p>
    <w:p>
      <w:r>
        <w:t>Place the report inside Module Configuration &gt; Dunning Letters &gt; Invoice Report and remove its entry from the Reports selector. Each row represents one invoice in one issued letter with successful or partial delivery. Exclude wholly failed attempts and unsent batches. The same invoice appears again when included in a later issued letter.</w:t>
      </w:r>
    </w:p>
    <w:tbl>
      <w:tblPr>
        <w:tblW w:type="auto" w:w="0"/>
        <w:jc w:val="center"/>
        <w:tblLayout w:type="fixed"/>
        <w:tblLook w:firstColumn="1" w:firstRow="1" w:lastColumn="0" w:lastRow="0" w:noHBand="0" w:noVBand="1" w:val="04A0"/>
      </w:tblPr>
      <w:tblGrid>
        <w:gridCol w:w="3672"/>
        <w:gridCol w:w="6408"/>
      </w:tblGrid>
      <w:tr>
        <w:trPr>
          <w:tblHeade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15B"/>
          </w:tcPr>
          <w:p>
            <w:pPr>
              <w:spacing w:after="60" w:line="250" w:lineRule="auto"/>
            </w:pPr>
            <w:r>
              <w:rPr>
                <w:b/>
                <w:color w:val="FFFFFF"/>
                <w:sz w:val="21"/>
              </w:rPr>
              <w:t>Column</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15B"/>
          </w:tcPr>
          <w:p>
            <w:pPr>
              <w:spacing w:after="60" w:line="250" w:lineRule="auto"/>
            </w:pPr>
            <w:r>
              <w:rPr>
                <w:b/>
                <w:color w:val="FFFFFF"/>
                <w:sz w:val="21"/>
              </w:rPr>
              <w:t>Value</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Client Code</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Client business code captured at issue</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Customer code</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Customer business code captured at issue</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customer name</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Customer name captured at issue</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invoice number</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Invoice number included in the letter</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invoice amount</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Original invoice amount captured at issue</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invoice due date</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Invoice due date captured at issue</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Dunning letter</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Actual issued stage such as DL1, DL2 or DL4</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Dunning letter reference no</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Issued letter reference number</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Dunning letter issue date</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line="250" w:lineRule="auto"/>
            </w:pPr>
            <w:r>
              <w:rPr>
                <w:b w:val="0"/>
                <w:color w:val="000000"/>
                <w:sz w:val="21"/>
              </w:rPr>
              <w:t>Date of the issued letter</w:t>
            </w:r>
          </w:p>
        </w:tc>
      </w:tr>
      <w:tr>
        <w:trPr>
          <w:cantSplit/>
          <w:cantSplit/>
        </w:trPr>
        <w:tc>
          <w:tcPr>
            <w:tcW w:type="dxa" w:w="36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recipients (comma separated)</w:t>
            </w:r>
          </w:p>
        </w:tc>
        <w:tc>
          <w:tcPr>
            <w:tcW w:type="dxa" w:w="64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8"/>
          </w:tcPr>
          <w:p>
            <w:pPr>
              <w:spacing w:after="60" w:line="250" w:lineRule="auto"/>
            </w:pPr>
            <w:r>
              <w:rPr>
                <w:b w:val="0"/>
                <w:color w:val="000000"/>
                <w:sz w:val="21"/>
              </w:rPr>
              <w:t>All original To recipients, comma separated</w:t>
            </w:r>
          </w:p>
        </w:tc>
      </w:tr>
    </w:tbl>
    <w:p>
      <w:pPr>
        <w:pStyle w:val="Heading2"/>
      </w:pPr>
      <w:r>
        <w:t>History and filtering</w:t>
      </w:r>
    </w:p>
    <w:p>
      <w:r>
        <w:t>Read report values from the issued snapshot. Current balances, names, contacts and templates must not rewrite prior rows. Invoice amount is the original captured amount, not the outstanding balance. Preserve missing business codes as blank; do not replace them with internal identifiers. Include all original To recipients, including failed contacts in a partially successful issue.</w:t>
      </w:r>
    </w:p>
    <w:p>
      <w:r>
        <w:t>Provide inclusive issue-date from/to filters, customer name/code search and letter-stage filtering. Retain historical stages above the current letter count and allow history review when Dunning is disabled. Validate invalid or reversed date ranges. Show clear empty results.</w:t>
      </w:r>
    </w:p>
    <w:p>
      <w:pPr>
        <w:pStyle w:val="Heading2"/>
      </w:pPr>
      <w:r>
        <w:t>XLSX downloads</w:t>
      </w:r>
    </w:p>
    <w:p>
      <w:r>
        <w:t>Provide Download all XLSX and Download filtered XLSX. All means every issued row for the authorised client; filtered means every matching row across all result pages. The prototype displays 15 rows per page. Both downloads must use exactly the ten columns above, in the same order.</w:t>
      </w:r>
    </w:p>
    <w:p>
      <w:r>
        <w:t>Export amounts as numeric cells and dates as date cells. Preserve leading zeroes and formula-like codes, invoice numbers and references as literal text. An empty export contains the ten-column header row only. Enforce client scope and role access again when filtering or downloading.</w:t>
      </w:r>
    </w:p>
    <w:p>
      <w:r>
        <w:br w:type="page"/>
      </w:r>
    </w:p>
    <w:p>
      <w:pPr>
        <w:pStyle w:val="Heading1"/>
      </w:pPr>
      <w:r>
        <w:t>Acceptance scenarios</w:t>
      </w:r>
    </w:p>
    <w:p>
      <w:r>
        <w:t>Validate the complete flow with the following scenarios before release:</w:t>
      </w:r>
    </w:p>
    <w:p>
      <w:pPr>
        <w:pStyle w:val="ListBullet"/>
      </w:pPr>
      <w:r>
        <w:t>Enable Dunning with a count of one. No email is sent until a valid strategy is configured and activated. Complete a one-letter batch without an extra stage.</w:t>
      </w:r>
    </w:p>
    <w:p>
      <w:pPr>
        <w:pStyle w:val="ListBullet"/>
      </w:pPr>
      <w:r>
        <w:t>Choose Standard Word Template and confirm the upload control is hidden. Choose Upload my Word Template and confirm it is shown. Validate, save and reopen a custom file without changing its identity.</w:t>
      </w:r>
    </w:p>
    <w:p>
      <w:pPr>
        <w:pStyle w:val="ListBullet"/>
      </w:pPr>
      <w:r>
        <w:t>Reject a replacement missing required values. Confirm cancellation, a failed import and delayed responses preserve the previously saved template.</w:t>
      </w:r>
    </w:p>
    <w:p>
      <w:pPr>
        <w:pStyle w:val="ListBullet"/>
      </w:pPr>
      <w:r>
        <w:t>Configure DL1 through DL5. Confirm DL4 and DL5 use the current DL3 email, and that editing DL3 changes only future sends.</w:t>
      </w:r>
    </w:p>
    <w:p>
      <w:pPr>
        <w:pStyle w:val="ListBullet"/>
      </w:pPr>
      <w:r>
        <w:t>Create different daily invoice batches for one customer. Confirm their schedules remain independent and same-day stages produce separate emails.</w:t>
      </w:r>
    </w:p>
    <w:p>
      <w:pPr>
        <w:pStyle w:val="ListBullet"/>
      </w:pPr>
      <w:r>
        <w:t>Partially pay one invoice, fully pay another and manually exclude a third. Confirm the next annexure contains only unpaid eligible members and their remaining balances.</w:t>
      </w:r>
    </w:p>
    <w:p>
      <w:pPr>
        <w:pStyle w:val="ListBullet"/>
      </w:pPr>
      <w:r>
        <w:t>Simulate partial delivery and complete failure. Confirm partial delivery progresses without individual retries; complete failure retries next day and shifts later dates after success.</w:t>
      </w:r>
    </w:p>
    <w:p>
      <w:pPr>
        <w:pStyle w:val="ListBullet"/>
      </w:pPr>
      <w:r>
        <w:t>Run processing repeatedly and concurrently. Confirm no duplicate batch-stage issue and no repeated successful stage.</w:t>
      </w:r>
    </w:p>
    <w:p>
      <w:pPr>
        <w:pStyle w:val="ListBullet"/>
      </w:pPr>
      <w:r>
        <w:t>Create an overlapping strategy match. Confirm the invoice is held until one strategy is selected and earlier issued history is retained.</w:t>
      </w:r>
    </w:p>
    <w:p>
      <w:pPr>
        <w:pStyle w:val="ListBullet"/>
      </w:pPr>
      <w:r>
        <w:t>Increase and decrease the letter count while batches are active. Confirm only explicitly configured new stages send, above-count unsent stages are removed and completed batches remain completed.</w:t>
      </w:r>
    </w:p>
    <w:p>
      <w:pPr>
        <w:pStyle w:val="ListBullet"/>
      </w:pPr>
      <w:r>
        <w:t>Filter Invoice Participation by DL2 and customer, then Not sent. Confirm results use the latest actual successful invoice-level issue and ignore failed attempts.</w:t>
      </w:r>
    </w:p>
    <w:p>
      <w:pPr>
        <w:pStyle w:val="ListBullet"/>
      </w:pPr>
      <w:r>
        <w:t>Edit balances, contacts and templates after sending. Confirm the original email, PDF, references, invoice amounts and report rows remain unchanged.</w:t>
      </w:r>
    </w:p>
    <w:p>
      <w:pPr>
        <w:pStyle w:val="ListBullet"/>
      </w:pPr>
      <w:r>
        <w:t>Validate the exact report schema, full/filtered/empty exports, inclusive dates, historical stages, leading zeroes, numeric amounts and date cells.</w:t>
      </w:r>
    </w:p>
    <w:p>
      <w:pPr>
        <w:pStyle w:val="ListBullet"/>
      </w:pPr>
      <w:r>
        <w:t>Check Client Admin access, denied Supervisor/MIS/Agent management access, Agent assigned-invoice exclusion access and cross-client isolation on every action and export.</w:t>
      </w:r>
    </w:p>
    <w:p>
      <w:r>
        <w:br w:type="page"/>
      </w:r>
    </w:p>
    <w:p>
      <w:pPr>
        <w:pStyle w:val="Heading1"/>
      </w:pPr>
      <w:r>
        <w:t>Pending decisions and production delivery</w:t>
      </w:r>
    </w:p>
    <w:p>
      <w:pPr>
        <w:pStyle w:val="Heading2"/>
      </w:pPr>
      <w:r>
        <w:t>Team confirmation required</w:t>
      </w:r>
    </w:p>
    <w:p>
      <w:pPr>
        <w:pStyle w:val="ListBullet"/>
      </w:pPr>
      <w:r>
        <w:t>Retry limit: decide the maximum complete-failure retries and permanent-failure handling. Daily retry is confirmed; no cutoff has been agreed.</w:t>
      </w:r>
    </w:p>
    <w:p>
      <w:pPr>
        <w:pStyle w:val="ListBullet"/>
      </w:pPr>
      <w:r>
        <w:t>Pause and resume: decide scheduling when a due date passed while a strategy was paused. The prototype blocks that missed-date transition; resuming before the missed date is available.</w:t>
      </w:r>
    </w:p>
    <w:p>
      <w:pPr>
        <w:pStyle w:val="ListBullet"/>
      </w:pPr>
      <w:r>
        <w:t>Removing an exclusion: confirm the restart stage and schedule. Restarting at DL1 in a new daily batch is a proposal awaiting confirmation. Do not treat it as approved.</w:t>
      </w:r>
    </w:p>
    <w:p>
      <w:pPr>
        <w:pStyle w:val="Heading2"/>
      </w:pPr>
      <w:r>
        <w:t>Production delivery work</w:t>
      </w:r>
    </w:p>
    <w:p>
      <w:r>
        <w:t>The design prototype uses browser-persisted sample data and simulated sending. The implementation ticket includes the production services needed for daily eligibility, durable batch/stage state, invoice and contact data refresh, document generation, email integration, recipient outcomes and report access.</w:t>
      </w:r>
    </w:p>
    <w:p>
      <w:r>
        <w:t>Enforce client and role permissions at the service boundary. Coordinate daily runs, retries and strategy edits so concurrent processing cannot duplicate issues. Define the daily run time, timezone/cutoff and treatment of non-working days. Define the email-provider event that counts as success and how later bounces are handled.</w:t>
      </w:r>
    </w:p>
    <w:p>
      <w:r>
        <w:t>Preserve the exact issued PDF and email bytes or equivalent immutable content, invoice snapshots, recipients, reference numbers and delivery attempts. Agree retention duration, audit events and recovery for missing or invalid customer contacts. Define how upstream credit notes, adjustments, cancellations and write-offs affect current eligible balances.</w:t>
      </w:r>
    </w:p>
    <w:p>
      <w:pPr>
        <w:pStyle w:val="Heading2"/>
      </w:pPr>
      <w:r>
        <w:t>Template readiness</w:t>
      </w:r>
    </w:p>
    <w:p>
      <w:r>
        <w:t>The current standard Word file passes required-value validation. Obtain the complete approved DL2 email source: the captured prototype source ends in an unfinished link. Confirm production Word-to-PDF formatting, annexure pagination and supported fonts. Non-Latin PDF rendering remains a gap and must be validated before multilingual letters are supported.</w:t>
      </w:r>
    </w:p>
    <w:p>
      <w:pPr>
        <w:pStyle w:val="Heading2"/>
      </w:pPr>
      <w:r>
        <w:t>Outside the agreed feature scope</w:t>
      </w:r>
    </w:p>
    <w:p>
      <w:r>
        <w:t>Approval queues, Agent inclusion requests, an invoice dispute workflow, separate currency handling, an in-application Word editor and automatic post-final-letter escalation are outside the current scope. Do not reintroduce Minimum outstanding amount.</w:t>
      </w:r>
    </w:p>
    <w:p>
      <w:pPr>
        <w:pStyle w:val="Heading2"/>
      </w:pPr>
      <w:r>
        <w:t>Reference design</w:t>
      </w:r>
    </w:p>
    <w:p>
      <w:r>
        <w:t>Use the current Tanserv design at pages/admin.html?module=module-configuration&amp;view=dunning-letters, with enablement and count in the Configurations tab. This handoff records the latest consolidated requirements; the earlier Strategy Master, generic Template Master and Reports placement has been superseded.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Dunning Letters Requirements</dc:title>
  <dc:subject>Dunning Letters scope and implementation requirements</dc:subject>
  <dc:creator/>
  <cp:keywords>Dunning Letters, Module Configuration, invoice report, requirements</cp:keywords>
  <dc:description>generated by python-docx</dc:description>
  <cp:lastModifiedBy/>
  <cp:revision>1</cp:revision>
  <dcterms:created xsi:type="dcterms:W3CDTF">2013-12-23T23:15:00Z</dcterms:created>
  <dcterms:modified xsi:type="dcterms:W3CDTF">2013-12-23T23:15:00Z</dcterms:modified>
  <cp:category/>
</cp:coreProperties>
</file>