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16FCB3" w14:textId="639AA47D" w:rsidR="00F17EAB" w:rsidRDefault="00000000">
      <w:pPr>
        <w:keepNext/>
        <w:spacing w:after="300" w:line="259" w:lineRule="auto"/>
      </w:pPr>
      <w:r>
        <w:rPr>
          <w:b/>
          <w:color w:val="1F6F9B"/>
          <w:sz w:val="16"/>
        </w:rPr>
        <w:t xml:space="preserve">INEBURA </w:t>
      </w:r>
      <w:r w:rsidR="00141016">
        <w:rPr>
          <w:b/>
          <w:color w:val="1F6F9B"/>
          <w:sz w:val="16"/>
        </w:rPr>
        <w:t xml:space="preserve">- </w:t>
      </w:r>
      <w:r>
        <w:rPr>
          <w:b/>
          <w:color w:val="1F6F9B"/>
          <w:sz w:val="16"/>
        </w:rPr>
        <w:t xml:space="preserve">FEATURE REQUIREMENT </w:t>
      </w:r>
      <w:r w:rsidR="00141016">
        <w:rPr>
          <w:b/>
          <w:color w:val="1F6F9B"/>
          <w:sz w:val="16"/>
        </w:rPr>
        <w:t>DOCUMENTATION</w:t>
      </w:r>
    </w:p>
    <w:p w14:paraId="738D536B" w14:textId="63F25448" w:rsidR="00F17EAB" w:rsidRDefault="00000000" w:rsidP="00141016">
      <w:pPr>
        <w:pStyle w:val="Title"/>
        <w:keepNext/>
        <w:spacing w:after="140"/>
      </w:pPr>
      <w:r>
        <w:rPr>
          <w:sz w:val="55"/>
        </w:rPr>
        <w:t>Credit Limit Prediction Model</w:t>
      </w:r>
    </w:p>
    <w:p w14:paraId="746A4111" w14:textId="6430A3C0" w:rsidR="00141016" w:rsidRPr="00141016" w:rsidRDefault="00141016" w:rsidP="00141016">
      <w:pPr>
        <w:rPr>
          <w:sz w:val="13"/>
          <w:szCs w:val="13"/>
        </w:rPr>
      </w:pPr>
      <w:r w:rsidRPr="00141016">
        <w:rPr>
          <w:sz w:val="13"/>
          <w:szCs w:val="13"/>
        </w:rPr>
        <w:t>VERSION 1.0</w:t>
      </w:r>
    </w:p>
    <w:p w14:paraId="5F4C6641" w14:textId="5FA913D2" w:rsidR="00F17EAB" w:rsidRDefault="00000000">
      <w:pPr>
        <w:pStyle w:val="Heading1"/>
        <w:spacing w:before="160" w:after="80"/>
      </w:pPr>
      <w:r>
        <w:t>Executive summary</w:t>
      </w:r>
    </w:p>
    <w:p w14:paraId="10FBB0FF" w14:textId="3C611CD8" w:rsidR="00F17EAB" w:rsidRDefault="00000000">
      <w:pPr>
        <w:spacing w:after="100" w:line="259" w:lineRule="auto"/>
      </w:pPr>
      <w:r>
        <w:t xml:space="preserve">Inebura will use a predictive model to recommend a customer credit limit and a dynamic </w:t>
      </w:r>
      <w:r w:rsidR="00141016">
        <w:t>customer</w:t>
      </w:r>
      <w:r>
        <w:t xml:space="preserve"> score from 0 to 100, where a higher score means safer payment behaviour. The model will analyze the customer’s payment history </w:t>
      </w:r>
      <w:r w:rsidR="00141016">
        <w:t xml:space="preserve">and trends </w:t>
      </w:r>
      <w:r>
        <w:t>for the current client together with matched history from other participating clients, without exposing any cross-client identity or relationship detail.</w:t>
      </w:r>
    </w:p>
    <w:p w14:paraId="22C1D0E6" w14:textId="070B2709" w:rsidR="00F17EAB" w:rsidRDefault="00000000">
      <w:pPr>
        <w:spacing w:after="100" w:line="259" w:lineRule="auto"/>
      </w:pPr>
      <w:r>
        <w:t>Client administrators and supervisors can compare the current limit with a proposed increase or decrease. For each scenario, the service will return a ninety-day view of sixteen business metrics. These values are decision-support predictions and must not be described as guaranteed causal outcomes.</w:t>
      </w:r>
    </w:p>
    <w:p w14:paraId="0077CC1E" w14:textId="77777777" w:rsidR="00F17EAB" w:rsidRDefault="00000000">
      <w:pPr>
        <w:pStyle w:val="Heading2"/>
        <w:spacing w:before="120" w:after="80"/>
      </w:pPr>
      <w:r>
        <w:rPr>
          <w:sz w:val="24"/>
        </w:rPr>
        <w:t>Business outcome</w:t>
      </w:r>
    </w:p>
    <w:p w14:paraId="0EDE5618" w14:textId="51C4BC7D" w:rsidR="00F17EAB" w:rsidRDefault="00000000">
      <w:pPr>
        <w:spacing w:after="40" w:line="252" w:lineRule="auto"/>
        <w:ind w:left="288" w:hanging="187"/>
      </w:pPr>
      <w:r>
        <w:rPr>
          <w:sz w:val="19"/>
        </w:rPr>
        <w:t xml:space="preserve">•  Make customer-level credit decisions using </w:t>
      </w:r>
      <w:r w:rsidR="00134FEE">
        <w:rPr>
          <w:sz w:val="19"/>
        </w:rPr>
        <w:t>change in business metrics.</w:t>
      </w:r>
    </w:p>
    <w:p w14:paraId="02999D3B" w14:textId="77777777" w:rsidR="00F17EAB" w:rsidRDefault="00000000">
      <w:pPr>
        <w:spacing w:after="40" w:line="252" w:lineRule="auto"/>
        <w:ind w:left="288" w:hanging="187"/>
      </w:pPr>
      <w:r>
        <w:rPr>
          <w:sz w:val="19"/>
        </w:rPr>
        <w:t>•  Quantify the expected ninety-day risk and operating impact before a limit is changed.</w:t>
      </w:r>
    </w:p>
    <w:p w14:paraId="5A319C7D" w14:textId="77777777" w:rsidR="00F17EAB" w:rsidRDefault="00000000">
      <w:pPr>
        <w:spacing w:after="40" w:line="252" w:lineRule="auto"/>
        <w:ind w:left="288" w:hanging="187"/>
      </w:pPr>
      <w:r>
        <w:rPr>
          <w:sz w:val="19"/>
        </w:rPr>
        <w:t>•  Provide one governed prediction service that Tanserv can deploy, monitor, retrain, and audit.</w:t>
      </w:r>
    </w:p>
    <w:p w14:paraId="3C4D4483" w14:textId="77777777" w:rsidR="00F17EAB" w:rsidRDefault="00000000">
      <w:pPr>
        <w:pStyle w:val="Heading2"/>
        <w:spacing w:before="120" w:after="80"/>
      </w:pPr>
      <w:r>
        <w:rPr>
          <w:sz w:val="24"/>
        </w:rPr>
        <w:t>Core model outputs</w:t>
      </w:r>
    </w:p>
    <w:tbl>
      <w:tblPr>
        <w:tblStyle w:val="TableNormal0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2951"/>
        <w:gridCol w:w="7200"/>
      </w:tblGrid>
      <w:tr w:rsidR="00F17EAB" w14:paraId="7D2EEA3B" w14:textId="77777777">
        <w:trPr>
          <w:cantSplit/>
          <w:tblHeader/>
          <w:jc w:val="center"/>
        </w:trPr>
        <w:tc>
          <w:tcPr>
            <w:tcW w:w="2951" w:type="dxa"/>
            <w:tcBorders>
              <w:top w:val="single" w:sz="5" w:space="0" w:color="AFC4D2"/>
              <w:left w:val="single" w:sz="5" w:space="0" w:color="AFC4D2"/>
              <w:bottom w:val="single" w:sz="5" w:space="0" w:color="AFC4D2"/>
              <w:right w:val="single" w:sz="5" w:space="0" w:color="AFC4D2"/>
            </w:tcBorders>
            <w:shd w:val="clear" w:color="auto" w:fill="173B5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4A2742" w14:textId="77777777" w:rsidR="00F17EAB" w:rsidRDefault="00000000">
            <w:pPr>
              <w:spacing w:after="0" w:line="245" w:lineRule="auto"/>
            </w:pPr>
            <w:r>
              <w:rPr>
                <w:b/>
                <w:color w:val="FFFFFF"/>
                <w:sz w:val="17"/>
              </w:rPr>
              <w:t>Output</w:t>
            </w:r>
          </w:p>
        </w:tc>
        <w:tc>
          <w:tcPr>
            <w:tcW w:w="7200" w:type="dxa"/>
            <w:tcBorders>
              <w:top w:val="single" w:sz="5" w:space="0" w:color="AFC4D2"/>
              <w:left w:val="single" w:sz="5" w:space="0" w:color="AFC4D2"/>
              <w:bottom w:val="single" w:sz="5" w:space="0" w:color="AFC4D2"/>
              <w:right w:val="single" w:sz="5" w:space="0" w:color="AFC4D2"/>
            </w:tcBorders>
            <w:shd w:val="clear" w:color="auto" w:fill="173B5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D10EBA" w14:textId="77777777" w:rsidR="00F17EAB" w:rsidRDefault="00000000">
            <w:pPr>
              <w:spacing w:after="0" w:line="245" w:lineRule="auto"/>
            </w:pPr>
            <w:r>
              <w:rPr>
                <w:b/>
                <w:color w:val="FFFFFF"/>
                <w:sz w:val="17"/>
              </w:rPr>
              <w:t>Required result</w:t>
            </w:r>
          </w:p>
        </w:tc>
      </w:tr>
      <w:tr w:rsidR="00F17EAB" w14:paraId="5664793E" w14:textId="77777777">
        <w:trPr>
          <w:cantSplit/>
          <w:jc w:val="center"/>
        </w:trPr>
        <w:tc>
          <w:tcPr>
            <w:tcW w:w="2951" w:type="dxa"/>
            <w:tcBorders>
              <w:top w:val="single" w:sz="5" w:space="0" w:color="AFC4D2"/>
              <w:left w:val="single" w:sz="5" w:space="0" w:color="AFC4D2"/>
              <w:bottom w:val="single" w:sz="5" w:space="0" w:color="AFC4D2"/>
              <w:right w:val="single" w:sz="5" w:space="0" w:color="AFC4D2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DCD285" w14:textId="77777777" w:rsidR="00F17EAB" w:rsidRDefault="00000000">
            <w:pPr>
              <w:spacing w:after="0" w:line="245" w:lineRule="auto"/>
            </w:pPr>
            <w:r>
              <w:rPr>
                <w:sz w:val="17"/>
              </w:rPr>
              <w:t>Decision recommendation</w:t>
            </w:r>
          </w:p>
        </w:tc>
        <w:tc>
          <w:tcPr>
            <w:tcW w:w="7200" w:type="dxa"/>
            <w:tcBorders>
              <w:top w:val="single" w:sz="5" w:space="0" w:color="AFC4D2"/>
              <w:left w:val="single" w:sz="5" w:space="0" w:color="AFC4D2"/>
              <w:bottom w:val="single" w:sz="5" w:space="0" w:color="AFC4D2"/>
              <w:right w:val="single" w:sz="5" w:space="0" w:color="AFC4D2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85002D" w14:textId="77777777" w:rsidR="00F17EAB" w:rsidRDefault="00000000">
            <w:pPr>
              <w:spacing w:after="0" w:line="245" w:lineRule="auto"/>
            </w:pPr>
            <w:r>
              <w:rPr>
                <w:sz w:val="17"/>
              </w:rPr>
              <w:t>One exact recommended credit limit in INR; current and proposed score; risk classification.</w:t>
            </w:r>
          </w:p>
        </w:tc>
      </w:tr>
      <w:tr w:rsidR="00F17EAB" w14:paraId="7A7C50CB" w14:textId="77777777">
        <w:trPr>
          <w:cantSplit/>
          <w:jc w:val="center"/>
        </w:trPr>
        <w:tc>
          <w:tcPr>
            <w:tcW w:w="2951" w:type="dxa"/>
            <w:tcBorders>
              <w:top w:val="single" w:sz="5" w:space="0" w:color="AFC4D2"/>
              <w:left w:val="single" w:sz="5" w:space="0" w:color="AFC4D2"/>
              <w:bottom w:val="single" w:sz="5" w:space="0" w:color="AFC4D2"/>
              <w:right w:val="single" w:sz="5" w:space="0" w:color="AFC4D2"/>
            </w:tcBorders>
            <w:shd w:val="clear" w:color="auto" w:fill="ED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8C1085" w14:textId="77777777" w:rsidR="00F17EAB" w:rsidRDefault="00000000">
            <w:pPr>
              <w:spacing w:after="0" w:line="245" w:lineRule="auto"/>
            </w:pPr>
            <w:r>
              <w:rPr>
                <w:sz w:val="17"/>
              </w:rPr>
              <w:t>Decision evidence</w:t>
            </w:r>
          </w:p>
        </w:tc>
        <w:tc>
          <w:tcPr>
            <w:tcW w:w="7200" w:type="dxa"/>
            <w:tcBorders>
              <w:top w:val="single" w:sz="5" w:space="0" w:color="AFC4D2"/>
              <w:left w:val="single" w:sz="5" w:space="0" w:color="AFC4D2"/>
              <w:bottom w:val="single" w:sz="5" w:space="0" w:color="AFC4D2"/>
              <w:right w:val="single" w:sz="5" w:space="0" w:color="AFC4D2"/>
            </w:tcBorders>
            <w:shd w:val="clear" w:color="auto" w:fill="ED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62A5B9" w14:textId="77777777" w:rsidR="00F17EAB" w:rsidRDefault="00000000">
            <w:pPr>
              <w:spacing w:after="0" w:line="245" w:lineRule="auto"/>
            </w:pPr>
            <w:r>
              <w:rPr>
                <w:sz w:val="17"/>
              </w:rPr>
              <w:t>Confidence, key contributing factors, quality/status flags, and all sixteen current/scenario metrics.</w:t>
            </w:r>
          </w:p>
        </w:tc>
      </w:tr>
    </w:tbl>
    <w:p w14:paraId="665192FC" w14:textId="77777777" w:rsidR="00134FEE" w:rsidRDefault="00134FEE">
      <w:pPr>
        <w:pStyle w:val="Heading1"/>
        <w:spacing w:before="160" w:after="80"/>
      </w:pPr>
    </w:p>
    <w:p w14:paraId="45E3982E" w14:textId="77777777" w:rsidR="00134FEE" w:rsidRDefault="00134FEE" w:rsidP="00134FEE"/>
    <w:p w14:paraId="2FFEBECA" w14:textId="77777777" w:rsidR="00134FEE" w:rsidRDefault="00134FEE" w:rsidP="00134FEE"/>
    <w:p w14:paraId="635810BD" w14:textId="77777777" w:rsidR="00134FEE" w:rsidRDefault="00134FEE" w:rsidP="00134FEE"/>
    <w:p w14:paraId="0E0F5872" w14:textId="77777777" w:rsidR="00134FEE" w:rsidRDefault="00134FEE" w:rsidP="00134FEE"/>
    <w:p w14:paraId="66D17B34" w14:textId="77777777" w:rsidR="00134FEE" w:rsidRDefault="00134FEE" w:rsidP="00134FEE"/>
    <w:p w14:paraId="2E8A4215" w14:textId="77777777" w:rsidR="00134FEE" w:rsidRDefault="00134FEE" w:rsidP="00134FEE"/>
    <w:p w14:paraId="296C9526" w14:textId="77777777" w:rsidR="00134FEE" w:rsidRDefault="00134FEE" w:rsidP="00134FEE"/>
    <w:p w14:paraId="0AE31D58" w14:textId="77777777" w:rsidR="00134FEE" w:rsidRDefault="00134FEE" w:rsidP="00134FEE"/>
    <w:p w14:paraId="2725E0C3" w14:textId="77777777" w:rsidR="00134FEE" w:rsidRDefault="00134FEE" w:rsidP="00134FEE"/>
    <w:p w14:paraId="05C90D7B" w14:textId="77777777" w:rsidR="00134FEE" w:rsidRDefault="00134FEE" w:rsidP="00134FEE"/>
    <w:p w14:paraId="4F5658E6" w14:textId="77777777" w:rsidR="00134FEE" w:rsidRDefault="00134FEE" w:rsidP="00134FEE"/>
    <w:p w14:paraId="31550D8A" w14:textId="77777777" w:rsidR="00134FEE" w:rsidRPr="00134FEE" w:rsidRDefault="00134FEE" w:rsidP="00134FEE"/>
    <w:p w14:paraId="17C2E525" w14:textId="7B4377A3" w:rsidR="00F17EAB" w:rsidRDefault="00000000">
      <w:pPr>
        <w:pStyle w:val="Heading1"/>
        <w:spacing w:before="160" w:after="80"/>
      </w:pPr>
      <w:r>
        <w:lastRenderedPageBreak/>
        <w:t>Model scope and operating rules</w:t>
      </w:r>
    </w:p>
    <w:p w14:paraId="2ADD801A" w14:textId="77777777" w:rsidR="00F17EAB" w:rsidRDefault="00000000">
      <w:pPr>
        <w:spacing w:after="100" w:line="259" w:lineRule="auto"/>
        <w:rPr>
          <w:sz w:val="19"/>
        </w:rPr>
      </w:pPr>
      <w:r>
        <w:rPr>
          <w:sz w:val="19"/>
        </w:rPr>
        <w:t>The prediction unit is one ERP customer account. A pseudonymized canonical customer ID links the same customer across participating clients; peer-cohort behaviour is not a required input.</w:t>
      </w:r>
    </w:p>
    <w:p w14:paraId="576860E9" w14:textId="77777777" w:rsidR="000F3F1A" w:rsidRDefault="000F3F1A" w:rsidP="000F3F1A">
      <w:pPr>
        <w:spacing w:after="0" w:line="259" w:lineRule="auto"/>
        <w:rPr>
          <w:sz w:val="19"/>
        </w:rPr>
      </w:pPr>
    </w:p>
    <w:p w14:paraId="5F225A24" w14:textId="744A09D7" w:rsidR="000F3F1A" w:rsidRDefault="000F3F1A" w:rsidP="000F3F1A">
      <w:pPr>
        <w:spacing w:after="0" w:line="259" w:lineRule="auto"/>
        <w:rPr>
          <w:sz w:val="19"/>
        </w:rPr>
      </w:pPr>
      <w:r>
        <w:rPr>
          <w:sz w:val="19"/>
        </w:rPr>
        <w:t>Output business metrics:</w:t>
      </w:r>
    </w:p>
    <w:p w14:paraId="27D36803" w14:textId="77777777" w:rsidR="000F3F1A" w:rsidRDefault="000F3F1A" w:rsidP="000F3F1A">
      <w:pPr>
        <w:spacing w:after="0" w:line="259" w:lineRule="auto"/>
        <w:rPr>
          <w:sz w:val="19"/>
        </w:rPr>
      </w:pPr>
    </w:p>
    <w:p w14:paraId="1726CA10" w14:textId="29F99A75" w:rsidR="000F3F1A" w:rsidRDefault="000F3F1A" w:rsidP="000F3F1A">
      <w:pPr>
        <w:pStyle w:val="ListParagraph"/>
        <w:numPr>
          <w:ilvl w:val="0"/>
          <w:numId w:val="5"/>
        </w:numPr>
        <w:spacing w:after="0" w:line="259" w:lineRule="auto"/>
      </w:pPr>
      <w:r>
        <w:t>Payment History</w:t>
      </w:r>
    </w:p>
    <w:p w14:paraId="46228E8B" w14:textId="77777777" w:rsidR="000F3F1A" w:rsidRDefault="000F3F1A" w:rsidP="000F3F1A">
      <w:pPr>
        <w:pStyle w:val="ListParagraph"/>
        <w:numPr>
          <w:ilvl w:val="0"/>
          <w:numId w:val="5"/>
        </w:numPr>
        <w:spacing w:after="0" w:line="259" w:lineRule="auto"/>
      </w:pPr>
      <w:r>
        <w:t>Credit Utilisation level</w:t>
      </w:r>
    </w:p>
    <w:p w14:paraId="36C35652" w14:textId="77777777" w:rsidR="000F3F1A" w:rsidRDefault="000F3F1A" w:rsidP="000F3F1A">
      <w:pPr>
        <w:pStyle w:val="ListParagraph"/>
        <w:numPr>
          <w:ilvl w:val="0"/>
          <w:numId w:val="5"/>
        </w:numPr>
        <w:spacing w:after="0" w:line="259" w:lineRule="auto"/>
      </w:pPr>
      <w:r>
        <w:t>Invoice Volume</w:t>
      </w:r>
    </w:p>
    <w:p w14:paraId="7ED349DF" w14:textId="77777777" w:rsidR="000F3F1A" w:rsidRDefault="000F3F1A" w:rsidP="000F3F1A">
      <w:pPr>
        <w:pStyle w:val="ListParagraph"/>
        <w:numPr>
          <w:ilvl w:val="0"/>
          <w:numId w:val="5"/>
        </w:numPr>
        <w:spacing w:after="0" w:line="259" w:lineRule="auto"/>
      </w:pPr>
      <w:r>
        <w:t>Overdue Ratio</w:t>
      </w:r>
    </w:p>
    <w:p w14:paraId="0AC5F829" w14:textId="77777777" w:rsidR="000F3F1A" w:rsidRDefault="000F3F1A" w:rsidP="000F3F1A">
      <w:pPr>
        <w:pStyle w:val="ListParagraph"/>
        <w:numPr>
          <w:ilvl w:val="0"/>
          <w:numId w:val="5"/>
        </w:numPr>
        <w:spacing w:after="0" w:line="259" w:lineRule="auto"/>
      </w:pPr>
      <w:r>
        <w:t>Customer Tenure</w:t>
      </w:r>
    </w:p>
    <w:p w14:paraId="67CDF204" w14:textId="77777777" w:rsidR="000F3F1A" w:rsidRDefault="000F3F1A" w:rsidP="000F3F1A">
      <w:pPr>
        <w:pStyle w:val="ListParagraph"/>
        <w:numPr>
          <w:ilvl w:val="0"/>
          <w:numId w:val="5"/>
        </w:numPr>
        <w:spacing w:after="0" w:line="259" w:lineRule="auto"/>
      </w:pPr>
      <w:r>
        <w:t>Broken PTPs</w:t>
      </w:r>
    </w:p>
    <w:p w14:paraId="62CA7B56" w14:textId="77777777" w:rsidR="000F3F1A" w:rsidRDefault="000F3F1A" w:rsidP="000F3F1A">
      <w:pPr>
        <w:pStyle w:val="ListParagraph"/>
        <w:numPr>
          <w:ilvl w:val="0"/>
          <w:numId w:val="5"/>
        </w:numPr>
        <w:spacing w:after="0" w:line="259" w:lineRule="auto"/>
      </w:pPr>
      <w:r>
        <w:t>Number of Disputes</w:t>
      </w:r>
    </w:p>
    <w:p w14:paraId="0CEA8410" w14:textId="77777777" w:rsidR="000F3F1A" w:rsidRDefault="000F3F1A" w:rsidP="000F3F1A">
      <w:pPr>
        <w:pStyle w:val="ListParagraph"/>
        <w:numPr>
          <w:ilvl w:val="0"/>
          <w:numId w:val="5"/>
        </w:numPr>
        <w:spacing w:after="0" w:line="259" w:lineRule="auto"/>
      </w:pPr>
      <w:r>
        <w:t>Aging Velocity</w:t>
      </w:r>
    </w:p>
    <w:p w14:paraId="1BD909EB" w14:textId="77777777" w:rsidR="000F3F1A" w:rsidRDefault="000F3F1A" w:rsidP="000F3F1A">
      <w:pPr>
        <w:pStyle w:val="ListParagraph"/>
        <w:numPr>
          <w:ilvl w:val="0"/>
          <w:numId w:val="5"/>
        </w:numPr>
        <w:spacing w:after="0" w:line="259" w:lineRule="auto"/>
      </w:pPr>
      <w:r>
        <w:t>Past Due Trend</w:t>
      </w:r>
    </w:p>
    <w:p w14:paraId="705E475F" w14:textId="77777777" w:rsidR="000F3F1A" w:rsidRDefault="000F3F1A" w:rsidP="000F3F1A">
      <w:pPr>
        <w:pStyle w:val="ListParagraph"/>
        <w:numPr>
          <w:ilvl w:val="0"/>
          <w:numId w:val="5"/>
        </w:numPr>
        <w:spacing w:after="0" w:line="259" w:lineRule="auto"/>
      </w:pPr>
      <w:r>
        <w:t>On-Time Payment Ration</w:t>
      </w:r>
    </w:p>
    <w:p w14:paraId="6BE500E5" w14:textId="77777777" w:rsidR="000F3F1A" w:rsidRDefault="000F3F1A" w:rsidP="000F3F1A">
      <w:pPr>
        <w:pStyle w:val="ListParagraph"/>
        <w:numPr>
          <w:ilvl w:val="0"/>
          <w:numId w:val="5"/>
        </w:numPr>
        <w:spacing w:after="0" w:line="259" w:lineRule="auto"/>
      </w:pPr>
      <w:r>
        <w:t>Avg Payment Days</w:t>
      </w:r>
    </w:p>
    <w:p w14:paraId="4B6034EC" w14:textId="77777777" w:rsidR="000F3F1A" w:rsidRDefault="000F3F1A" w:rsidP="000F3F1A">
      <w:pPr>
        <w:pStyle w:val="ListParagraph"/>
        <w:numPr>
          <w:ilvl w:val="0"/>
          <w:numId w:val="5"/>
        </w:numPr>
        <w:spacing w:after="0" w:line="259" w:lineRule="auto"/>
      </w:pPr>
      <w:r>
        <w:t>Probability on Delay in Payment</w:t>
      </w:r>
    </w:p>
    <w:p w14:paraId="44DB1295" w14:textId="77777777" w:rsidR="000F3F1A" w:rsidRDefault="000F3F1A" w:rsidP="000F3F1A">
      <w:pPr>
        <w:pStyle w:val="ListParagraph"/>
        <w:numPr>
          <w:ilvl w:val="0"/>
          <w:numId w:val="5"/>
        </w:numPr>
        <w:spacing w:after="0" w:line="259" w:lineRule="auto"/>
      </w:pPr>
      <w:r>
        <w:t>Probability of Write Off</w:t>
      </w:r>
    </w:p>
    <w:p w14:paraId="2364B798" w14:textId="77777777" w:rsidR="000F3F1A" w:rsidRDefault="000F3F1A" w:rsidP="000F3F1A">
      <w:pPr>
        <w:pStyle w:val="ListParagraph"/>
        <w:numPr>
          <w:ilvl w:val="0"/>
          <w:numId w:val="5"/>
        </w:numPr>
        <w:spacing w:after="0" w:line="259" w:lineRule="auto"/>
      </w:pPr>
      <w:r>
        <w:t>Change in DSO%</w:t>
      </w:r>
    </w:p>
    <w:p w14:paraId="69E41769" w14:textId="77777777" w:rsidR="000F3F1A" w:rsidRDefault="000F3F1A" w:rsidP="000F3F1A">
      <w:pPr>
        <w:pStyle w:val="ListParagraph"/>
        <w:numPr>
          <w:ilvl w:val="0"/>
          <w:numId w:val="5"/>
        </w:numPr>
        <w:spacing w:after="0" w:line="259" w:lineRule="auto"/>
      </w:pPr>
      <w:r>
        <w:t>% Exposure Vs OLD Limit</w:t>
      </w:r>
    </w:p>
    <w:p w14:paraId="0A444DB1" w14:textId="6E630523" w:rsidR="000F3F1A" w:rsidRDefault="000F3F1A" w:rsidP="000F3F1A">
      <w:pPr>
        <w:pStyle w:val="ListParagraph"/>
        <w:numPr>
          <w:ilvl w:val="0"/>
          <w:numId w:val="5"/>
        </w:numPr>
        <w:spacing w:after="0" w:line="259" w:lineRule="auto"/>
      </w:pPr>
      <w:r>
        <w:t>6M Payment Threshold</w:t>
      </w:r>
    </w:p>
    <w:p w14:paraId="62147E57" w14:textId="77777777" w:rsidR="000F3F1A" w:rsidRDefault="000F3F1A" w:rsidP="000F3F1A">
      <w:pPr>
        <w:spacing w:after="0" w:line="259" w:lineRule="auto"/>
        <w:ind w:left="360"/>
      </w:pPr>
    </w:p>
    <w:p w14:paraId="0E88401D" w14:textId="77777777" w:rsidR="00F17EAB" w:rsidRDefault="00000000">
      <w:pPr>
        <w:pStyle w:val="Heading2"/>
        <w:spacing w:before="120" w:after="80"/>
      </w:pPr>
      <w:r>
        <w:rPr>
          <w:sz w:val="24"/>
        </w:rPr>
        <w:t>Responsibilities</w:t>
      </w:r>
    </w:p>
    <w:tbl>
      <w:tblPr>
        <w:tblStyle w:val="TableNormal0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2476"/>
        <w:gridCol w:w="7675"/>
      </w:tblGrid>
      <w:tr w:rsidR="00F17EAB" w14:paraId="49B9F242" w14:textId="77777777">
        <w:trPr>
          <w:cantSplit/>
          <w:tblHeader/>
          <w:jc w:val="center"/>
        </w:trPr>
        <w:tc>
          <w:tcPr>
            <w:tcW w:w="2476" w:type="dxa"/>
            <w:tcBorders>
              <w:top w:val="single" w:sz="5" w:space="0" w:color="AFC4D2"/>
              <w:left w:val="single" w:sz="5" w:space="0" w:color="AFC4D2"/>
              <w:bottom w:val="single" w:sz="5" w:space="0" w:color="AFC4D2"/>
              <w:right w:val="single" w:sz="5" w:space="0" w:color="AFC4D2"/>
            </w:tcBorders>
            <w:shd w:val="clear" w:color="auto" w:fill="173B5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1043C5" w14:textId="77777777" w:rsidR="00F17EAB" w:rsidRDefault="00000000">
            <w:pPr>
              <w:spacing w:after="0" w:line="245" w:lineRule="auto"/>
            </w:pPr>
            <w:r>
              <w:rPr>
                <w:b/>
                <w:color w:val="FFFFFF"/>
                <w:sz w:val="17"/>
              </w:rPr>
              <w:t>Party</w:t>
            </w:r>
          </w:p>
        </w:tc>
        <w:tc>
          <w:tcPr>
            <w:tcW w:w="7675" w:type="dxa"/>
            <w:tcBorders>
              <w:top w:val="single" w:sz="5" w:space="0" w:color="AFC4D2"/>
              <w:left w:val="single" w:sz="5" w:space="0" w:color="AFC4D2"/>
              <w:bottom w:val="single" w:sz="5" w:space="0" w:color="AFC4D2"/>
              <w:right w:val="single" w:sz="5" w:space="0" w:color="AFC4D2"/>
            </w:tcBorders>
            <w:shd w:val="clear" w:color="auto" w:fill="173B5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04AEFD" w14:textId="77777777" w:rsidR="00F17EAB" w:rsidRDefault="00000000">
            <w:pPr>
              <w:spacing w:after="0" w:line="245" w:lineRule="auto"/>
            </w:pPr>
            <w:r>
              <w:rPr>
                <w:b/>
                <w:color w:val="FFFFFF"/>
                <w:sz w:val="17"/>
              </w:rPr>
              <w:t>Primary responsibility</w:t>
            </w:r>
          </w:p>
        </w:tc>
      </w:tr>
      <w:tr w:rsidR="00F17EAB" w14:paraId="215DC827" w14:textId="77777777">
        <w:trPr>
          <w:cantSplit/>
          <w:jc w:val="center"/>
        </w:trPr>
        <w:tc>
          <w:tcPr>
            <w:tcW w:w="2476" w:type="dxa"/>
            <w:tcBorders>
              <w:top w:val="single" w:sz="5" w:space="0" w:color="AFC4D2"/>
              <w:left w:val="single" w:sz="5" w:space="0" w:color="AFC4D2"/>
              <w:bottom w:val="single" w:sz="5" w:space="0" w:color="AFC4D2"/>
              <w:right w:val="single" w:sz="5" w:space="0" w:color="AFC4D2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8F995A" w14:textId="77777777" w:rsidR="00F17EAB" w:rsidRDefault="00000000">
            <w:pPr>
              <w:spacing w:after="0" w:line="245" w:lineRule="auto"/>
            </w:pPr>
            <w:r>
              <w:rPr>
                <w:sz w:val="17"/>
              </w:rPr>
              <w:t>Tanserv</w:t>
            </w:r>
          </w:p>
        </w:tc>
        <w:tc>
          <w:tcPr>
            <w:tcW w:w="7675" w:type="dxa"/>
            <w:tcBorders>
              <w:top w:val="single" w:sz="5" w:space="0" w:color="AFC4D2"/>
              <w:left w:val="single" w:sz="5" w:space="0" w:color="AFC4D2"/>
              <w:bottom w:val="single" w:sz="5" w:space="0" w:color="AFC4D2"/>
              <w:right w:val="single" w:sz="5" w:space="0" w:color="AFC4D2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FB0790" w14:textId="77777777" w:rsidR="00F17EAB" w:rsidRDefault="00000000">
            <w:pPr>
              <w:spacing w:after="0" w:line="245" w:lineRule="auto"/>
            </w:pPr>
            <w:r>
              <w:rPr>
                <w:sz w:val="17"/>
              </w:rPr>
              <w:t>Provide normalized, quality-checked, model-ready features; establish canonical matching and lawful sharing; host the API; own production operation and future retraining after handover.</w:t>
            </w:r>
          </w:p>
        </w:tc>
      </w:tr>
      <w:tr w:rsidR="00F17EAB" w14:paraId="29D9ACC1" w14:textId="77777777">
        <w:trPr>
          <w:cantSplit/>
          <w:jc w:val="center"/>
        </w:trPr>
        <w:tc>
          <w:tcPr>
            <w:tcW w:w="2476" w:type="dxa"/>
            <w:tcBorders>
              <w:top w:val="single" w:sz="5" w:space="0" w:color="AFC4D2"/>
              <w:left w:val="single" w:sz="5" w:space="0" w:color="AFC4D2"/>
              <w:bottom w:val="single" w:sz="5" w:space="0" w:color="AFC4D2"/>
              <w:right w:val="single" w:sz="5" w:space="0" w:color="AFC4D2"/>
            </w:tcBorders>
            <w:shd w:val="clear" w:color="auto" w:fill="ED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D4336C" w14:textId="77777777" w:rsidR="00F17EAB" w:rsidRDefault="00000000">
            <w:pPr>
              <w:spacing w:after="0" w:line="245" w:lineRule="auto"/>
            </w:pPr>
            <w:commentRangeStart w:id="0"/>
            <w:r>
              <w:rPr>
                <w:sz w:val="17"/>
              </w:rPr>
              <w:t>External model team</w:t>
            </w:r>
            <w:commentRangeEnd w:id="0"/>
            <w:r w:rsidR="00134FEE">
              <w:rPr>
                <w:rStyle w:val="CommentReference"/>
                <w:sz w:val="20"/>
                <w:szCs w:val="20"/>
              </w:rPr>
              <w:commentReference w:id="0"/>
            </w:r>
          </w:p>
        </w:tc>
        <w:tc>
          <w:tcPr>
            <w:tcW w:w="7675" w:type="dxa"/>
            <w:tcBorders>
              <w:top w:val="single" w:sz="5" w:space="0" w:color="AFC4D2"/>
              <w:left w:val="single" w:sz="5" w:space="0" w:color="AFC4D2"/>
              <w:bottom w:val="single" w:sz="5" w:space="0" w:color="AFC4D2"/>
              <w:right w:val="single" w:sz="5" w:space="0" w:color="AFC4D2"/>
            </w:tcBorders>
            <w:shd w:val="clear" w:color="auto" w:fill="ED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C57300" w14:textId="77777777" w:rsidR="00F17EAB" w:rsidRDefault="00000000">
            <w:pPr>
              <w:spacing w:after="0" w:line="245" w:lineRule="auto"/>
            </w:pPr>
            <w:r>
              <w:rPr>
                <w:sz w:val="17"/>
              </w:rPr>
              <w:t>Design feature engineering, train and validate the first model, determine minimum scorable history, implement prediction and simulation, package the service, and establish the reproducible retraining pipeline.</w:t>
            </w:r>
          </w:p>
        </w:tc>
      </w:tr>
      <w:tr w:rsidR="00F17EAB" w14:paraId="5EB0280A" w14:textId="77777777">
        <w:trPr>
          <w:cantSplit/>
          <w:jc w:val="center"/>
        </w:trPr>
        <w:tc>
          <w:tcPr>
            <w:tcW w:w="2476" w:type="dxa"/>
            <w:tcBorders>
              <w:top w:val="single" w:sz="5" w:space="0" w:color="AFC4D2"/>
              <w:left w:val="single" w:sz="5" w:space="0" w:color="AFC4D2"/>
              <w:bottom w:val="single" w:sz="5" w:space="0" w:color="AFC4D2"/>
              <w:right w:val="single" w:sz="5" w:space="0" w:color="AFC4D2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C53538" w14:textId="382C431E" w:rsidR="00F17EAB" w:rsidRDefault="00134FEE">
            <w:pPr>
              <w:spacing w:after="0" w:line="245" w:lineRule="auto"/>
            </w:pPr>
            <w:r>
              <w:rPr>
                <w:sz w:val="17"/>
              </w:rPr>
              <w:t>Tanserv</w:t>
            </w:r>
          </w:p>
        </w:tc>
        <w:tc>
          <w:tcPr>
            <w:tcW w:w="7675" w:type="dxa"/>
            <w:tcBorders>
              <w:top w:val="single" w:sz="5" w:space="0" w:color="AFC4D2"/>
              <w:left w:val="single" w:sz="5" w:space="0" w:color="AFC4D2"/>
              <w:bottom w:val="single" w:sz="5" w:space="0" w:color="AFC4D2"/>
              <w:right w:val="single" w:sz="5" w:space="0" w:color="AFC4D2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97554D" w14:textId="77777777" w:rsidR="00F17EAB" w:rsidRDefault="00000000">
            <w:pPr>
              <w:spacing w:after="0" w:line="245" w:lineRule="auto"/>
            </w:pPr>
            <w:r>
              <w:rPr>
                <w:sz w:val="17"/>
              </w:rPr>
              <w:t>Approve model thresholds, explanations, pilot gates, and business suitability before wider release.</w:t>
            </w:r>
          </w:p>
        </w:tc>
      </w:tr>
    </w:tbl>
    <w:p w14:paraId="26FCE2E6" w14:textId="77777777" w:rsidR="00F17EAB" w:rsidRDefault="00000000">
      <w:pPr>
        <w:pStyle w:val="Heading2"/>
        <w:spacing w:before="120" w:after="80"/>
      </w:pPr>
      <w:r>
        <w:rPr>
          <w:sz w:val="24"/>
        </w:rPr>
        <w:t>Mandatory model rules</w:t>
      </w:r>
    </w:p>
    <w:tbl>
      <w:tblPr>
        <w:tblStyle w:val="TableNormal0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2476"/>
        <w:gridCol w:w="7675"/>
      </w:tblGrid>
      <w:tr w:rsidR="00F17EAB" w14:paraId="6AA91ED0" w14:textId="77777777">
        <w:trPr>
          <w:cantSplit/>
          <w:tblHeader/>
          <w:jc w:val="center"/>
        </w:trPr>
        <w:tc>
          <w:tcPr>
            <w:tcW w:w="2476" w:type="dxa"/>
            <w:tcBorders>
              <w:top w:val="single" w:sz="5" w:space="0" w:color="AFC4D2"/>
              <w:left w:val="single" w:sz="5" w:space="0" w:color="AFC4D2"/>
              <w:bottom w:val="single" w:sz="5" w:space="0" w:color="AFC4D2"/>
              <w:right w:val="single" w:sz="5" w:space="0" w:color="AFC4D2"/>
            </w:tcBorders>
            <w:shd w:val="clear" w:color="auto" w:fill="173B5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994E2C" w14:textId="77777777" w:rsidR="00F17EAB" w:rsidRDefault="00000000">
            <w:pPr>
              <w:spacing w:after="0" w:line="245" w:lineRule="auto"/>
            </w:pPr>
            <w:r>
              <w:rPr>
                <w:b/>
                <w:color w:val="FFFFFF"/>
                <w:sz w:val="16"/>
              </w:rPr>
              <w:t>Rule</w:t>
            </w:r>
          </w:p>
        </w:tc>
        <w:tc>
          <w:tcPr>
            <w:tcW w:w="7675" w:type="dxa"/>
            <w:tcBorders>
              <w:top w:val="single" w:sz="5" w:space="0" w:color="AFC4D2"/>
              <w:left w:val="single" w:sz="5" w:space="0" w:color="AFC4D2"/>
              <w:bottom w:val="single" w:sz="5" w:space="0" w:color="AFC4D2"/>
              <w:right w:val="single" w:sz="5" w:space="0" w:color="AFC4D2"/>
            </w:tcBorders>
            <w:shd w:val="clear" w:color="auto" w:fill="173B5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58C5CC" w14:textId="77777777" w:rsidR="00F17EAB" w:rsidRDefault="00000000">
            <w:pPr>
              <w:spacing w:after="0" w:line="245" w:lineRule="auto"/>
            </w:pPr>
            <w:r>
              <w:rPr>
                <w:b/>
                <w:color w:val="FFFFFF"/>
                <w:sz w:val="16"/>
              </w:rPr>
              <w:t>Requirement</w:t>
            </w:r>
          </w:p>
        </w:tc>
      </w:tr>
      <w:tr w:rsidR="00F17EAB" w14:paraId="241EA013" w14:textId="77777777">
        <w:trPr>
          <w:cantSplit/>
          <w:jc w:val="center"/>
        </w:trPr>
        <w:tc>
          <w:tcPr>
            <w:tcW w:w="2476" w:type="dxa"/>
            <w:tcBorders>
              <w:top w:val="single" w:sz="5" w:space="0" w:color="AFC4D2"/>
              <w:left w:val="single" w:sz="5" w:space="0" w:color="AFC4D2"/>
              <w:bottom w:val="single" w:sz="5" w:space="0" w:color="AFC4D2"/>
              <w:right w:val="single" w:sz="5" w:space="0" w:color="AFC4D2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100D7E" w14:textId="77777777" w:rsidR="00F17EAB" w:rsidRDefault="00000000">
            <w:pPr>
              <w:spacing w:after="0" w:line="245" w:lineRule="auto"/>
            </w:pPr>
            <w:r>
              <w:rPr>
                <w:sz w:val="16"/>
              </w:rPr>
              <w:t>Combined history</w:t>
            </w:r>
          </w:p>
        </w:tc>
        <w:tc>
          <w:tcPr>
            <w:tcW w:w="7675" w:type="dxa"/>
            <w:tcBorders>
              <w:top w:val="single" w:sz="5" w:space="0" w:color="AFC4D2"/>
              <w:left w:val="single" w:sz="5" w:space="0" w:color="AFC4D2"/>
              <w:bottom w:val="single" w:sz="5" w:space="0" w:color="AFC4D2"/>
              <w:right w:val="single" w:sz="5" w:space="0" w:color="AFC4D2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E28540" w14:textId="77777777" w:rsidR="00F17EAB" w:rsidRDefault="00000000">
            <w:pPr>
              <w:spacing w:after="0" w:line="245" w:lineRule="auto"/>
            </w:pPr>
            <w:r>
              <w:rPr>
                <w:sz w:val="16"/>
              </w:rPr>
              <w:t>Learn the appropriate weighting between the current-client relationship and the same customer’s history with other participating clients.</w:t>
            </w:r>
          </w:p>
        </w:tc>
      </w:tr>
      <w:tr w:rsidR="00F17EAB" w14:paraId="4607C1FE" w14:textId="77777777">
        <w:trPr>
          <w:cantSplit/>
          <w:jc w:val="center"/>
        </w:trPr>
        <w:tc>
          <w:tcPr>
            <w:tcW w:w="2476" w:type="dxa"/>
            <w:tcBorders>
              <w:top w:val="single" w:sz="5" w:space="0" w:color="AFC4D2"/>
              <w:left w:val="single" w:sz="5" w:space="0" w:color="AFC4D2"/>
              <w:bottom w:val="single" w:sz="5" w:space="0" w:color="AFC4D2"/>
              <w:right w:val="single" w:sz="5" w:space="0" w:color="AFC4D2"/>
            </w:tcBorders>
            <w:shd w:val="clear" w:color="auto" w:fill="ED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EFB8BE" w14:textId="77777777" w:rsidR="00F17EAB" w:rsidRDefault="00000000">
            <w:pPr>
              <w:spacing w:after="0" w:line="245" w:lineRule="auto"/>
            </w:pPr>
            <w:r>
              <w:rPr>
                <w:sz w:val="16"/>
              </w:rPr>
              <w:t>Privacy</w:t>
            </w:r>
          </w:p>
        </w:tc>
        <w:tc>
          <w:tcPr>
            <w:tcW w:w="7675" w:type="dxa"/>
            <w:tcBorders>
              <w:top w:val="single" w:sz="5" w:space="0" w:color="AFC4D2"/>
              <w:left w:val="single" w:sz="5" w:space="0" w:color="AFC4D2"/>
              <w:bottom w:val="single" w:sz="5" w:space="0" w:color="AFC4D2"/>
              <w:right w:val="single" w:sz="5" w:space="0" w:color="AFC4D2"/>
            </w:tcBorders>
            <w:shd w:val="clear" w:color="auto" w:fill="ED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8F2193" w14:textId="77777777" w:rsidR="00F17EAB" w:rsidRDefault="00000000">
            <w:pPr>
              <w:spacing w:after="0" w:line="245" w:lineRule="auto"/>
            </w:pPr>
            <w:r>
              <w:rPr>
                <w:sz w:val="16"/>
              </w:rPr>
              <w:t>Never reveal another client’s identity, invoices, raw balances, or relationship-specific history in any output or explanation.</w:t>
            </w:r>
          </w:p>
        </w:tc>
      </w:tr>
      <w:tr w:rsidR="00F17EAB" w14:paraId="13ACE65F" w14:textId="77777777">
        <w:trPr>
          <w:cantSplit/>
          <w:jc w:val="center"/>
        </w:trPr>
        <w:tc>
          <w:tcPr>
            <w:tcW w:w="2476" w:type="dxa"/>
            <w:tcBorders>
              <w:top w:val="single" w:sz="5" w:space="0" w:color="AFC4D2"/>
              <w:left w:val="single" w:sz="5" w:space="0" w:color="AFC4D2"/>
              <w:bottom w:val="single" w:sz="5" w:space="0" w:color="AFC4D2"/>
              <w:right w:val="single" w:sz="5" w:space="0" w:color="AFC4D2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AA12F4" w14:textId="77777777" w:rsidR="00F17EAB" w:rsidRDefault="00000000">
            <w:pPr>
              <w:spacing w:after="0" w:line="245" w:lineRule="auto"/>
            </w:pPr>
            <w:r>
              <w:rPr>
                <w:sz w:val="16"/>
              </w:rPr>
              <w:t>Data conflicts</w:t>
            </w:r>
          </w:p>
        </w:tc>
        <w:tc>
          <w:tcPr>
            <w:tcW w:w="7675" w:type="dxa"/>
            <w:tcBorders>
              <w:top w:val="single" w:sz="5" w:space="0" w:color="AFC4D2"/>
              <w:left w:val="single" w:sz="5" w:space="0" w:color="AFC4D2"/>
              <w:bottom w:val="single" w:sz="5" w:space="0" w:color="AFC4D2"/>
              <w:right w:val="single" w:sz="5" w:space="0" w:color="AFC4D2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A5E0C6" w14:textId="77777777" w:rsidR="00F17EAB" w:rsidRDefault="00000000">
            <w:pPr>
              <w:spacing w:after="0" w:line="245" w:lineRule="auto"/>
            </w:pPr>
            <w:r>
              <w:rPr>
                <w:sz w:val="16"/>
              </w:rPr>
              <w:t>Use the latest timestamped record when duplicate source records conflict; preserve lineage and data-quality flags.</w:t>
            </w:r>
          </w:p>
        </w:tc>
      </w:tr>
      <w:tr w:rsidR="00F17EAB" w14:paraId="03D12226" w14:textId="77777777">
        <w:trPr>
          <w:cantSplit/>
          <w:jc w:val="center"/>
        </w:trPr>
        <w:tc>
          <w:tcPr>
            <w:tcW w:w="2476" w:type="dxa"/>
            <w:tcBorders>
              <w:top w:val="single" w:sz="5" w:space="0" w:color="AFC4D2"/>
              <w:left w:val="single" w:sz="5" w:space="0" w:color="AFC4D2"/>
              <w:bottom w:val="single" w:sz="5" w:space="0" w:color="AFC4D2"/>
              <w:right w:val="single" w:sz="5" w:space="0" w:color="AFC4D2"/>
            </w:tcBorders>
            <w:shd w:val="clear" w:color="auto" w:fill="ED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0E8734" w14:textId="77777777" w:rsidR="00F17EAB" w:rsidRDefault="00000000">
            <w:pPr>
              <w:spacing w:after="0" w:line="245" w:lineRule="auto"/>
            </w:pPr>
            <w:r>
              <w:rPr>
                <w:sz w:val="16"/>
              </w:rPr>
              <w:t>Insufficient history</w:t>
            </w:r>
          </w:p>
        </w:tc>
        <w:tc>
          <w:tcPr>
            <w:tcW w:w="7675" w:type="dxa"/>
            <w:tcBorders>
              <w:top w:val="single" w:sz="5" w:space="0" w:color="AFC4D2"/>
              <w:left w:val="single" w:sz="5" w:space="0" w:color="AFC4D2"/>
              <w:bottom w:val="single" w:sz="5" w:space="0" w:color="AFC4D2"/>
              <w:right w:val="single" w:sz="5" w:space="0" w:color="AFC4D2"/>
            </w:tcBorders>
            <w:shd w:val="clear" w:color="auto" w:fill="ED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65B4AD" w14:textId="77777777" w:rsidR="00F17EAB" w:rsidRDefault="00000000">
            <w:pPr>
              <w:spacing w:after="0" w:line="245" w:lineRule="auto"/>
            </w:pPr>
            <w:r>
              <w:rPr>
                <w:sz w:val="16"/>
              </w:rPr>
              <w:t>Return a structured INSUFFICIENT_DATA result rather than a provisional score; the minimum history must be justified by the model team.</w:t>
            </w:r>
          </w:p>
        </w:tc>
      </w:tr>
      <w:tr w:rsidR="00F17EAB" w14:paraId="49B0D9EC" w14:textId="77777777">
        <w:trPr>
          <w:cantSplit/>
          <w:jc w:val="center"/>
        </w:trPr>
        <w:tc>
          <w:tcPr>
            <w:tcW w:w="2476" w:type="dxa"/>
            <w:tcBorders>
              <w:top w:val="single" w:sz="5" w:space="0" w:color="AFC4D2"/>
              <w:left w:val="single" w:sz="5" w:space="0" w:color="AFC4D2"/>
              <w:bottom w:val="single" w:sz="5" w:space="0" w:color="AFC4D2"/>
              <w:right w:val="single" w:sz="5" w:space="0" w:color="AFC4D2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17C25B" w14:textId="77777777" w:rsidR="00F17EAB" w:rsidRDefault="00000000">
            <w:pPr>
              <w:spacing w:after="0" w:line="245" w:lineRule="auto"/>
            </w:pPr>
            <w:r>
              <w:rPr>
                <w:sz w:val="16"/>
              </w:rPr>
              <w:t>Output integrity</w:t>
            </w:r>
          </w:p>
        </w:tc>
        <w:tc>
          <w:tcPr>
            <w:tcW w:w="7675" w:type="dxa"/>
            <w:tcBorders>
              <w:top w:val="single" w:sz="5" w:space="0" w:color="AFC4D2"/>
              <w:left w:val="single" w:sz="5" w:space="0" w:color="AFC4D2"/>
              <w:bottom w:val="single" w:sz="5" w:space="0" w:color="AFC4D2"/>
              <w:right w:val="single" w:sz="5" w:space="0" w:color="AFC4D2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87D986" w14:textId="729D1894" w:rsidR="000F3F1A" w:rsidRPr="000F3F1A" w:rsidRDefault="00000000">
            <w:pPr>
              <w:spacing w:after="0" w:line="245" w:lineRule="auto"/>
              <w:rPr>
                <w:sz w:val="16"/>
              </w:rPr>
            </w:pPr>
            <w:r>
              <w:rPr>
                <w:sz w:val="16"/>
              </w:rPr>
              <w:t>Return exact INR recommendations without model-side rounding; clearly label observed, derived, and predicted values; identical inputs and model versions must reproduce identical results.</w:t>
            </w:r>
          </w:p>
        </w:tc>
      </w:tr>
    </w:tbl>
    <w:p w14:paraId="20A51052" w14:textId="77777777" w:rsidR="00F17EAB" w:rsidRDefault="00000000">
      <w:pPr>
        <w:pStyle w:val="Heading2"/>
        <w:spacing w:before="120" w:after="80"/>
      </w:pPr>
      <w:r>
        <w:rPr>
          <w:sz w:val="24"/>
        </w:rPr>
        <w:t>Ninety-day impact metrics</w:t>
      </w:r>
    </w:p>
    <w:tbl>
      <w:tblPr>
        <w:tblStyle w:val="TableNormal0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2476"/>
        <w:gridCol w:w="7675"/>
      </w:tblGrid>
      <w:tr w:rsidR="00F17EAB" w14:paraId="5149FCAF" w14:textId="77777777">
        <w:trPr>
          <w:cantSplit/>
          <w:tblHeader/>
          <w:jc w:val="center"/>
        </w:trPr>
        <w:tc>
          <w:tcPr>
            <w:tcW w:w="2476" w:type="dxa"/>
            <w:tcBorders>
              <w:top w:val="single" w:sz="5" w:space="0" w:color="AFC4D2"/>
              <w:left w:val="single" w:sz="5" w:space="0" w:color="AFC4D2"/>
              <w:bottom w:val="single" w:sz="5" w:space="0" w:color="AFC4D2"/>
              <w:right w:val="single" w:sz="5" w:space="0" w:color="AFC4D2"/>
            </w:tcBorders>
            <w:shd w:val="clear" w:color="auto" w:fill="173B5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6FEE9B" w14:textId="77777777" w:rsidR="00F17EAB" w:rsidRDefault="00000000">
            <w:pPr>
              <w:spacing w:after="0" w:line="245" w:lineRule="auto"/>
            </w:pPr>
            <w:r>
              <w:rPr>
                <w:b/>
                <w:color w:val="FFFFFF"/>
                <w:sz w:val="16"/>
              </w:rPr>
              <w:t>Metric group</w:t>
            </w:r>
          </w:p>
        </w:tc>
        <w:tc>
          <w:tcPr>
            <w:tcW w:w="7675" w:type="dxa"/>
            <w:tcBorders>
              <w:top w:val="single" w:sz="5" w:space="0" w:color="AFC4D2"/>
              <w:left w:val="single" w:sz="5" w:space="0" w:color="AFC4D2"/>
              <w:bottom w:val="single" w:sz="5" w:space="0" w:color="AFC4D2"/>
              <w:right w:val="single" w:sz="5" w:space="0" w:color="AFC4D2"/>
            </w:tcBorders>
            <w:shd w:val="clear" w:color="auto" w:fill="173B5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21A1D4" w14:textId="77777777" w:rsidR="00F17EAB" w:rsidRDefault="00000000">
            <w:pPr>
              <w:spacing w:after="0" w:line="245" w:lineRule="auto"/>
            </w:pPr>
            <w:r>
              <w:rPr>
                <w:b/>
                <w:color w:val="FFFFFF"/>
                <w:sz w:val="16"/>
              </w:rPr>
              <w:t>Metrics returned for current and proposed-limit scenarios</w:t>
            </w:r>
          </w:p>
        </w:tc>
      </w:tr>
      <w:tr w:rsidR="00F17EAB" w14:paraId="2FE18A87" w14:textId="77777777">
        <w:trPr>
          <w:cantSplit/>
          <w:jc w:val="center"/>
        </w:trPr>
        <w:tc>
          <w:tcPr>
            <w:tcW w:w="2476" w:type="dxa"/>
            <w:tcBorders>
              <w:top w:val="single" w:sz="5" w:space="0" w:color="AFC4D2"/>
              <w:left w:val="single" w:sz="5" w:space="0" w:color="AFC4D2"/>
              <w:bottom w:val="single" w:sz="5" w:space="0" w:color="AFC4D2"/>
              <w:right w:val="single" w:sz="5" w:space="0" w:color="AFC4D2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6FA808" w14:textId="77777777" w:rsidR="00F17EAB" w:rsidRDefault="00000000">
            <w:pPr>
              <w:spacing w:after="0" w:line="245" w:lineRule="auto"/>
            </w:pPr>
            <w:r>
              <w:rPr>
                <w:sz w:val="16"/>
              </w:rPr>
              <w:t>Payment behaviour</w:t>
            </w:r>
          </w:p>
        </w:tc>
        <w:tc>
          <w:tcPr>
            <w:tcW w:w="7675" w:type="dxa"/>
            <w:tcBorders>
              <w:top w:val="single" w:sz="5" w:space="0" w:color="AFC4D2"/>
              <w:left w:val="single" w:sz="5" w:space="0" w:color="AFC4D2"/>
              <w:bottom w:val="single" w:sz="5" w:space="0" w:color="AFC4D2"/>
              <w:right w:val="single" w:sz="5" w:space="0" w:color="AFC4D2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8E084F" w14:textId="77777777" w:rsidR="00F17EAB" w:rsidRDefault="00000000">
            <w:pPr>
              <w:spacing w:after="0" w:line="245" w:lineRule="auto"/>
            </w:pPr>
            <w:r>
              <w:rPr>
                <w:sz w:val="16"/>
              </w:rPr>
              <w:t>Payment history; overdue ratio; past-due trend; on-time payment ratio</w:t>
            </w:r>
          </w:p>
        </w:tc>
      </w:tr>
      <w:tr w:rsidR="00F17EAB" w14:paraId="4DC07061" w14:textId="77777777">
        <w:trPr>
          <w:cantSplit/>
          <w:jc w:val="center"/>
        </w:trPr>
        <w:tc>
          <w:tcPr>
            <w:tcW w:w="2476" w:type="dxa"/>
            <w:tcBorders>
              <w:top w:val="single" w:sz="5" w:space="0" w:color="AFC4D2"/>
              <w:left w:val="single" w:sz="5" w:space="0" w:color="AFC4D2"/>
              <w:bottom w:val="single" w:sz="5" w:space="0" w:color="AFC4D2"/>
              <w:right w:val="single" w:sz="5" w:space="0" w:color="AFC4D2"/>
            </w:tcBorders>
            <w:shd w:val="clear" w:color="auto" w:fill="ED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8C2FFC" w14:textId="77777777" w:rsidR="00F17EAB" w:rsidRDefault="00000000">
            <w:pPr>
              <w:spacing w:after="0" w:line="245" w:lineRule="auto"/>
            </w:pPr>
            <w:r>
              <w:rPr>
                <w:sz w:val="16"/>
              </w:rPr>
              <w:lastRenderedPageBreak/>
              <w:t>Payment timing</w:t>
            </w:r>
          </w:p>
        </w:tc>
        <w:tc>
          <w:tcPr>
            <w:tcW w:w="7675" w:type="dxa"/>
            <w:tcBorders>
              <w:top w:val="single" w:sz="5" w:space="0" w:color="AFC4D2"/>
              <w:left w:val="single" w:sz="5" w:space="0" w:color="AFC4D2"/>
              <w:bottom w:val="single" w:sz="5" w:space="0" w:color="AFC4D2"/>
              <w:right w:val="single" w:sz="5" w:space="0" w:color="AFC4D2"/>
            </w:tcBorders>
            <w:shd w:val="clear" w:color="auto" w:fill="ED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19D9AB" w14:textId="77777777" w:rsidR="00F17EAB" w:rsidRDefault="00000000">
            <w:pPr>
              <w:spacing w:after="0" w:line="245" w:lineRule="auto"/>
            </w:pPr>
            <w:r>
              <w:rPr>
                <w:sz w:val="16"/>
              </w:rPr>
              <w:t>Average payment days; aging velocity; DSO change; six-month payment threshold</w:t>
            </w:r>
          </w:p>
        </w:tc>
      </w:tr>
      <w:tr w:rsidR="00F17EAB" w14:paraId="629B1ABA" w14:textId="77777777">
        <w:trPr>
          <w:cantSplit/>
          <w:jc w:val="center"/>
        </w:trPr>
        <w:tc>
          <w:tcPr>
            <w:tcW w:w="2476" w:type="dxa"/>
            <w:tcBorders>
              <w:top w:val="single" w:sz="5" w:space="0" w:color="AFC4D2"/>
              <w:left w:val="single" w:sz="5" w:space="0" w:color="AFC4D2"/>
              <w:bottom w:val="single" w:sz="5" w:space="0" w:color="AFC4D2"/>
              <w:right w:val="single" w:sz="5" w:space="0" w:color="AFC4D2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A40B6F" w14:textId="77777777" w:rsidR="00F17EAB" w:rsidRDefault="00000000">
            <w:pPr>
              <w:spacing w:after="0" w:line="245" w:lineRule="auto"/>
            </w:pPr>
            <w:r>
              <w:rPr>
                <w:sz w:val="16"/>
              </w:rPr>
              <w:t>Risk indicators</w:t>
            </w:r>
          </w:p>
        </w:tc>
        <w:tc>
          <w:tcPr>
            <w:tcW w:w="7675" w:type="dxa"/>
            <w:tcBorders>
              <w:top w:val="single" w:sz="5" w:space="0" w:color="AFC4D2"/>
              <w:left w:val="single" w:sz="5" w:space="0" w:color="AFC4D2"/>
              <w:bottom w:val="single" w:sz="5" w:space="0" w:color="AFC4D2"/>
              <w:right w:val="single" w:sz="5" w:space="0" w:color="AFC4D2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578521" w14:textId="77777777" w:rsidR="00F17EAB" w:rsidRDefault="00000000">
            <w:pPr>
              <w:spacing w:after="0" w:line="245" w:lineRule="auto"/>
            </w:pPr>
            <w:r>
              <w:rPr>
                <w:sz w:val="16"/>
              </w:rPr>
              <w:t>Broken PTPs; disputes; delay probability; write-off probability</w:t>
            </w:r>
          </w:p>
        </w:tc>
      </w:tr>
      <w:tr w:rsidR="00F17EAB" w14:paraId="481DA623" w14:textId="77777777">
        <w:trPr>
          <w:cantSplit/>
          <w:jc w:val="center"/>
        </w:trPr>
        <w:tc>
          <w:tcPr>
            <w:tcW w:w="2476" w:type="dxa"/>
            <w:tcBorders>
              <w:top w:val="single" w:sz="5" w:space="0" w:color="AFC4D2"/>
              <w:left w:val="single" w:sz="5" w:space="0" w:color="AFC4D2"/>
              <w:bottom w:val="single" w:sz="5" w:space="0" w:color="AFC4D2"/>
              <w:right w:val="single" w:sz="5" w:space="0" w:color="AFC4D2"/>
            </w:tcBorders>
            <w:shd w:val="clear" w:color="auto" w:fill="ED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5D464E" w14:textId="77777777" w:rsidR="00F17EAB" w:rsidRDefault="00000000">
            <w:pPr>
              <w:spacing w:after="0" w:line="245" w:lineRule="auto"/>
            </w:pPr>
            <w:r>
              <w:rPr>
                <w:sz w:val="16"/>
              </w:rPr>
              <w:t>Commercial exposure</w:t>
            </w:r>
          </w:p>
        </w:tc>
        <w:tc>
          <w:tcPr>
            <w:tcW w:w="7675" w:type="dxa"/>
            <w:tcBorders>
              <w:top w:val="single" w:sz="5" w:space="0" w:color="AFC4D2"/>
              <w:left w:val="single" w:sz="5" w:space="0" w:color="AFC4D2"/>
              <w:bottom w:val="single" w:sz="5" w:space="0" w:color="AFC4D2"/>
              <w:right w:val="single" w:sz="5" w:space="0" w:color="AFC4D2"/>
            </w:tcBorders>
            <w:shd w:val="clear" w:color="auto" w:fill="ED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5F1E63" w14:textId="77777777" w:rsidR="00F17EAB" w:rsidRDefault="00000000">
            <w:pPr>
              <w:spacing w:after="0" w:line="245" w:lineRule="auto"/>
            </w:pPr>
            <w:r>
              <w:rPr>
                <w:sz w:val="16"/>
              </w:rPr>
              <w:t>Utilisation; order volume; customer tenure; exposure versus previous limit</w:t>
            </w:r>
          </w:p>
        </w:tc>
      </w:tr>
    </w:tbl>
    <w:p w14:paraId="347B7551" w14:textId="77777777" w:rsidR="00F17EAB" w:rsidRDefault="00000000">
      <w:pPr>
        <w:spacing w:before="80" w:after="0" w:line="259" w:lineRule="auto"/>
      </w:pPr>
      <w:r>
        <w:rPr>
          <w:color w:val="536573"/>
          <w:sz w:val="17"/>
        </w:rPr>
        <w:t>Every predicted metric must include its unit, ninety-day horizon, confidence or uncertainty indicator, model version, data freshness, and applicable quality flags.</w:t>
      </w:r>
    </w:p>
    <w:p w14:paraId="7F506DC7" w14:textId="77777777" w:rsidR="00F17EAB" w:rsidRDefault="00000000">
      <w:pPr>
        <w:spacing w:after="0"/>
      </w:pPr>
      <w:r>
        <w:br w:type="page"/>
      </w:r>
    </w:p>
    <w:p w14:paraId="1C12DA37" w14:textId="1D6FF526" w:rsidR="00F17EAB" w:rsidRDefault="00000000" w:rsidP="000F3F1A">
      <w:pPr>
        <w:pStyle w:val="Heading1"/>
        <w:spacing w:before="160" w:after="80"/>
      </w:pPr>
      <w:r>
        <w:lastRenderedPageBreak/>
        <w:t>Integration, handover, and acceptance</w:t>
      </w:r>
    </w:p>
    <w:p w14:paraId="1A4A3C56" w14:textId="77777777" w:rsidR="00F17EAB" w:rsidRDefault="00000000">
      <w:pPr>
        <w:pStyle w:val="Heading2"/>
        <w:spacing w:before="120" w:after="80"/>
      </w:pPr>
      <w:r>
        <w:rPr>
          <w:sz w:val="24"/>
        </w:rPr>
        <w:t>Required handover package</w:t>
      </w:r>
    </w:p>
    <w:tbl>
      <w:tblPr>
        <w:tblStyle w:val="TableNormal0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5083"/>
        <w:gridCol w:w="5068"/>
      </w:tblGrid>
      <w:tr w:rsidR="00F17EAB" w14:paraId="41BA5834" w14:textId="77777777">
        <w:trPr>
          <w:cantSplit/>
          <w:tblHeader/>
          <w:jc w:val="center"/>
        </w:trPr>
        <w:tc>
          <w:tcPr>
            <w:tcW w:w="5083" w:type="dxa"/>
            <w:tcBorders>
              <w:top w:val="single" w:sz="5" w:space="0" w:color="AFC4D2"/>
              <w:left w:val="single" w:sz="5" w:space="0" w:color="AFC4D2"/>
              <w:bottom w:val="single" w:sz="5" w:space="0" w:color="AFC4D2"/>
              <w:right w:val="single" w:sz="5" w:space="0" w:color="AFC4D2"/>
            </w:tcBorders>
            <w:shd w:val="clear" w:color="auto" w:fill="173B5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F9663E" w14:textId="77777777" w:rsidR="00F17EAB" w:rsidRDefault="00000000">
            <w:pPr>
              <w:spacing w:after="0" w:line="245" w:lineRule="auto"/>
            </w:pPr>
            <w:r>
              <w:rPr>
                <w:b/>
                <w:color w:val="FFFFFF"/>
                <w:sz w:val="16"/>
              </w:rPr>
              <w:t>Reproducible engineering package</w:t>
            </w:r>
          </w:p>
        </w:tc>
        <w:tc>
          <w:tcPr>
            <w:tcW w:w="5068" w:type="dxa"/>
            <w:tcBorders>
              <w:top w:val="single" w:sz="5" w:space="0" w:color="AFC4D2"/>
              <w:left w:val="single" w:sz="5" w:space="0" w:color="AFC4D2"/>
              <w:bottom w:val="single" w:sz="5" w:space="0" w:color="AFC4D2"/>
              <w:right w:val="single" w:sz="5" w:space="0" w:color="AFC4D2"/>
            </w:tcBorders>
            <w:shd w:val="clear" w:color="auto" w:fill="173B5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D4186F" w14:textId="77777777" w:rsidR="00F17EAB" w:rsidRDefault="00000000">
            <w:pPr>
              <w:spacing w:after="0" w:line="245" w:lineRule="auto"/>
            </w:pPr>
            <w:r>
              <w:rPr>
                <w:b/>
                <w:color w:val="FFFFFF"/>
                <w:sz w:val="16"/>
              </w:rPr>
              <w:t>Evidence and operations package</w:t>
            </w:r>
          </w:p>
        </w:tc>
      </w:tr>
      <w:tr w:rsidR="00F17EAB" w14:paraId="4091C1F4" w14:textId="77777777">
        <w:trPr>
          <w:cantSplit/>
          <w:jc w:val="center"/>
        </w:trPr>
        <w:tc>
          <w:tcPr>
            <w:tcW w:w="5083" w:type="dxa"/>
            <w:tcBorders>
              <w:top w:val="single" w:sz="5" w:space="0" w:color="AFC4D2"/>
              <w:left w:val="single" w:sz="5" w:space="0" w:color="AFC4D2"/>
              <w:bottom w:val="single" w:sz="5" w:space="0" w:color="AFC4D2"/>
              <w:right w:val="single" w:sz="5" w:space="0" w:color="AFC4D2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D6A2BA" w14:textId="77777777" w:rsidR="00F17EAB" w:rsidRDefault="00000000">
            <w:pPr>
              <w:spacing w:after="0" w:line="245" w:lineRule="auto"/>
            </w:pPr>
            <w:r>
              <w:rPr>
                <w:sz w:val="16"/>
              </w:rPr>
              <w:t>Feature-engineering logic; training and inference code; dependency lock files; versioned model artifact; Tanserv-deployable container.</w:t>
            </w:r>
          </w:p>
        </w:tc>
        <w:tc>
          <w:tcPr>
            <w:tcW w:w="5068" w:type="dxa"/>
            <w:tcBorders>
              <w:top w:val="single" w:sz="5" w:space="0" w:color="AFC4D2"/>
              <w:left w:val="single" w:sz="5" w:space="0" w:color="AFC4D2"/>
              <w:bottom w:val="single" w:sz="5" w:space="0" w:color="AFC4D2"/>
              <w:right w:val="single" w:sz="5" w:space="0" w:color="AFC4D2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2D7942" w14:textId="77777777" w:rsidR="00F17EAB" w:rsidRDefault="00000000">
            <w:pPr>
              <w:spacing w:after="0" w:line="245" w:lineRule="auto"/>
            </w:pPr>
            <w:r>
              <w:rPr>
                <w:sz w:val="16"/>
              </w:rPr>
              <w:t>API specification; automated tests; validation report; model documentation; security and privacy evidence.</w:t>
            </w:r>
          </w:p>
        </w:tc>
      </w:tr>
      <w:tr w:rsidR="00F17EAB" w14:paraId="35334AA4" w14:textId="77777777">
        <w:trPr>
          <w:cantSplit/>
          <w:jc w:val="center"/>
        </w:trPr>
        <w:tc>
          <w:tcPr>
            <w:tcW w:w="5083" w:type="dxa"/>
            <w:tcBorders>
              <w:top w:val="single" w:sz="5" w:space="0" w:color="AFC4D2"/>
              <w:left w:val="single" w:sz="5" w:space="0" w:color="AFC4D2"/>
              <w:bottom w:val="single" w:sz="5" w:space="0" w:color="AFC4D2"/>
              <w:right w:val="single" w:sz="5" w:space="0" w:color="AFC4D2"/>
            </w:tcBorders>
            <w:shd w:val="clear" w:color="auto" w:fill="ED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CA737A" w14:textId="77777777" w:rsidR="00F17EAB" w:rsidRDefault="00000000">
            <w:pPr>
              <w:spacing w:after="0" w:line="245" w:lineRule="auto"/>
            </w:pPr>
            <w:r>
              <w:rPr>
                <w:sz w:val="16"/>
              </w:rPr>
              <w:t>A tested retraining pipeline that Tanserv can operate after knowledge transfer.</w:t>
            </w:r>
          </w:p>
        </w:tc>
        <w:tc>
          <w:tcPr>
            <w:tcW w:w="5068" w:type="dxa"/>
            <w:tcBorders>
              <w:top w:val="single" w:sz="5" w:space="0" w:color="AFC4D2"/>
              <w:left w:val="single" w:sz="5" w:space="0" w:color="AFC4D2"/>
              <w:bottom w:val="single" w:sz="5" w:space="0" w:color="AFC4D2"/>
              <w:right w:val="single" w:sz="5" w:space="0" w:color="AFC4D2"/>
            </w:tcBorders>
            <w:shd w:val="clear" w:color="auto" w:fill="ED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BCCDE3" w14:textId="77777777" w:rsidR="00F17EAB" w:rsidRDefault="00000000">
            <w:pPr>
              <w:spacing w:after="0" w:line="245" w:lineRule="auto"/>
            </w:pPr>
            <w:r>
              <w:rPr>
                <w:sz w:val="16"/>
              </w:rPr>
              <w:t>Operating runbook covering deployment, monitoring, rollback, troubleshooting, and model-version recovery.</w:t>
            </w:r>
          </w:p>
        </w:tc>
      </w:tr>
    </w:tbl>
    <w:p w14:paraId="0BC352DE" w14:textId="77777777" w:rsidR="00F17EAB" w:rsidRDefault="00000000">
      <w:pPr>
        <w:pStyle w:val="Heading2"/>
        <w:spacing w:before="120" w:after="80"/>
      </w:pPr>
      <w:r>
        <w:rPr>
          <w:sz w:val="24"/>
        </w:rPr>
        <w:t>Acceptance and pilot gates</w:t>
      </w:r>
    </w:p>
    <w:tbl>
      <w:tblPr>
        <w:tblStyle w:val="TableNormal0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2232"/>
        <w:gridCol w:w="7920"/>
      </w:tblGrid>
      <w:tr w:rsidR="00F17EAB" w14:paraId="37F0CA05" w14:textId="77777777">
        <w:trPr>
          <w:cantSplit/>
          <w:tblHeader/>
          <w:jc w:val="center"/>
        </w:trPr>
        <w:tc>
          <w:tcPr>
            <w:tcW w:w="2232" w:type="dxa"/>
            <w:tcBorders>
              <w:top w:val="single" w:sz="5" w:space="0" w:color="AFC4D2"/>
              <w:left w:val="single" w:sz="5" w:space="0" w:color="AFC4D2"/>
              <w:bottom w:val="single" w:sz="5" w:space="0" w:color="AFC4D2"/>
              <w:right w:val="single" w:sz="5" w:space="0" w:color="AFC4D2"/>
            </w:tcBorders>
            <w:shd w:val="clear" w:color="auto" w:fill="173B5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4EC798" w14:textId="77777777" w:rsidR="00F17EAB" w:rsidRDefault="00000000">
            <w:pPr>
              <w:spacing w:after="0" w:line="245" w:lineRule="auto"/>
            </w:pPr>
            <w:r>
              <w:rPr>
                <w:b/>
                <w:color w:val="FFFFFF"/>
                <w:sz w:val="15"/>
              </w:rPr>
              <w:t>Gate</w:t>
            </w:r>
          </w:p>
        </w:tc>
        <w:tc>
          <w:tcPr>
            <w:tcW w:w="7920" w:type="dxa"/>
            <w:tcBorders>
              <w:top w:val="single" w:sz="5" w:space="0" w:color="AFC4D2"/>
              <w:left w:val="single" w:sz="5" w:space="0" w:color="AFC4D2"/>
              <w:bottom w:val="single" w:sz="5" w:space="0" w:color="AFC4D2"/>
              <w:right w:val="single" w:sz="5" w:space="0" w:color="AFC4D2"/>
            </w:tcBorders>
            <w:shd w:val="clear" w:color="auto" w:fill="173B5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4BEDDB" w14:textId="77777777" w:rsidR="00F17EAB" w:rsidRDefault="00000000">
            <w:pPr>
              <w:spacing w:after="0" w:line="245" w:lineRule="auto"/>
            </w:pPr>
            <w:r>
              <w:rPr>
                <w:b/>
                <w:color w:val="FFFFFF"/>
                <w:sz w:val="15"/>
              </w:rPr>
              <w:t>Release condition</w:t>
            </w:r>
          </w:p>
        </w:tc>
      </w:tr>
      <w:tr w:rsidR="00F17EAB" w14:paraId="26BE40CD" w14:textId="77777777">
        <w:trPr>
          <w:cantSplit/>
          <w:jc w:val="center"/>
        </w:trPr>
        <w:tc>
          <w:tcPr>
            <w:tcW w:w="2232" w:type="dxa"/>
            <w:tcBorders>
              <w:top w:val="single" w:sz="5" w:space="0" w:color="AFC4D2"/>
              <w:left w:val="single" w:sz="5" w:space="0" w:color="AFC4D2"/>
              <w:bottom w:val="single" w:sz="5" w:space="0" w:color="AFC4D2"/>
              <w:right w:val="single" w:sz="5" w:space="0" w:color="AFC4D2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82E507" w14:textId="77777777" w:rsidR="00F17EAB" w:rsidRDefault="00000000">
            <w:pPr>
              <w:spacing w:after="0" w:line="245" w:lineRule="auto"/>
            </w:pPr>
            <w:r>
              <w:rPr>
                <w:sz w:val="15"/>
              </w:rPr>
              <w:t>1  Statistical approval</w:t>
            </w:r>
          </w:p>
        </w:tc>
        <w:tc>
          <w:tcPr>
            <w:tcW w:w="7920" w:type="dxa"/>
            <w:tcBorders>
              <w:top w:val="single" w:sz="5" w:space="0" w:color="AFC4D2"/>
              <w:left w:val="single" w:sz="5" w:space="0" w:color="AFC4D2"/>
              <w:bottom w:val="single" w:sz="5" w:space="0" w:color="AFC4D2"/>
              <w:right w:val="single" w:sz="5" w:space="0" w:color="AFC4D2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9914C2" w14:textId="77777777" w:rsidR="00F17EAB" w:rsidRDefault="00000000">
            <w:pPr>
              <w:spacing w:after="0" w:line="245" w:lineRule="auto"/>
            </w:pPr>
            <w:r>
              <w:rPr>
                <w:sz w:val="15"/>
              </w:rPr>
              <w:t>The model team proposes measurable accuracy, ranking, calibration, coverage, stability, and segment-performance thresholds; Product and Risk approve them before pilot release.</w:t>
            </w:r>
          </w:p>
        </w:tc>
      </w:tr>
      <w:tr w:rsidR="00F17EAB" w14:paraId="21FB61DE" w14:textId="77777777">
        <w:trPr>
          <w:cantSplit/>
          <w:jc w:val="center"/>
        </w:trPr>
        <w:tc>
          <w:tcPr>
            <w:tcW w:w="2232" w:type="dxa"/>
            <w:tcBorders>
              <w:top w:val="single" w:sz="5" w:space="0" w:color="AFC4D2"/>
              <w:left w:val="single" w:sz="5" w:space="0" w:color="AFC4D2"/>
              <w:bottom w:val="single" w:sz="5" w:space="0" w:color="AFC4D2"/>
              <w:right w:val="single" w:sz="5" w:space="0" w:color="AFC4D2"/>
            </w:tcBorders>
            <w:shd w:val="clear" w:color="auto" w:fill="ED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C8C8A5" w14:textId="77777777" w:rsidR="00F17EAB" w:rsidRDefault="00000000">
            <w:pPr>
              <w:spacing w:after="0" w:line="245" w:lineRule="auto"/>
            </w:pPr>
            <w:r>
              <w:rPr>
                <w:sz w:val="15"/>
              </w:rPr>
              <w:t>2  Functional validation</w:t>
            </w:r>
          </w:p>
        </w:tc>
        <w:tc>
          <w:tcPr>
            <w:tcW w:w="7920" w:type="dxa"/>
            <w:tcBorders>
              <w:top w:val="single" w:sz="5" w:space="0" w:color="AFC4D2"/>
              <w:left w:val="single" w:sz="5" w:space="0" w:color="AFC4D2"/>
              <w:bottom w:val="single" w:sz="5" w:space="0" w:color="AFC4D2"/>
              <w:right w:val="single" w:sz="5" w:space="0" w:color="AFC4D2"/>
            </w:tcBorders>
            <w:shd w:val="clear" w:color="auto" w:fill="ED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C6496C" w14:textId="77777777" w:rsidR="00F17EAB" w:rsidRDefault="00000000">
            <w:pPr>
              <w:spacing w:after="0" w:line="245" w:lineRule="auto"/>
            </w:pPr>
            <w:r>
              <w:rPr>
                <w:sz w:val="15"/>
              </w:rPr>
              <w:t>Test current-client-only, combined-history, sparse and stale data, conflicting records, high/low risk, limit increases/decreases, missing fields, extreme values, timeouts, failures, version mismatch, and deterministic replay.</w:t>
            </w:r>
          </w:p>
        </w:tc>
      </w:tr>
      <w:tr w:rsidR="00F17EAB" w14:paraId="6ADE0256" w14:textId="77777777">
        <w:trPr>
          <w:cantSplit/>
          <w:jc w:val="center"/>
        </w:trPr>
        <w:tc>
          <w:tcPr>
            <w:tcW w:w="2232" w:type="dxa"/>
            <w:tcBorders>
              <w:top w:val="single" w:sz="5" w:space="0" w:color="AFC4D2"/>
              <w:left w:val="single" w:sz="5" w:space="0" w:color="AFC4D2"/>
              <w:bottom w:val="single" w:sz="5" w:space="0" w:color="AFC4D2"/>
              <w:right w:val="single" w:sz="5" w:space="0" w:color="AFC4D2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E64CE0" w14:textId="77777777" w:rsidR="00F17EAB" w:rsidRDefault="00000000">
            <w:pPr>
              <w:spacing w:after="0" w:line="245" w:lineRule="auto"/>
            </w:pPr>
            <w:r>
              <w:rPr>
                <w:sz w:val="15"/>
              </w:rPr>
              <w:t>3  Confidentiality and interface</w:t>
            </w:r>
          </w:p>
        </w:tc>
        <w:tc>
          <w:tcPr>
            <w:tcW w:w="7920" w:type="dxa"/>
            <w:tcBorders>
              <w:top w:val="single" w:sz="5" w:space="0" w:color="AFC4D2"/>
              <w:left w:val="single" w:sz="5" w:space="0" w:color="AFC4D2"/>
              <w:bottom w:val="single" w:sz="5" w:space="0" w:color="AFC4D2"/>
              <w:right w:val="single" w:sz="5" w:space="0" w:color="AFC4D2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20154C" w14:textId="77777777" w:rsidR="00F17EAB" w:rsidRDefault="00000000">
            <w:pPr>
              <w:spacing w:after="0" w:line="245" w:lineRule="auto"/>
            </w:pPr>
            <w:r>
              <w:rPr>
                <w:sz w:val="15"/>
              </w:rPr>
              <w:t>Confirm every simulation returns all sixteen metrics with correct units and versions, and that no cross-client identity or raw relationship detail is exposed.</w:t>
            </w:r>
          </w:p>
        </w:tc>
      </w:tr>
      <w:tr w:rsidR="00F17EAB" w14:paraId="2AE25CD8" w14:textId="77777777">
        <w:trPr>
          <w:cantSplit/>
          <w:jc w:val="center"/>
        </w:trPr>
        <w:tc>
          <w:tcPr>
            <w:tcW w:w="2232" w:type="dxa"/>
            <w:tcBorders>
              <w:top w:val="single" w:sz="5" w:space="0" w:color="AFC4D2"/>
              <w:left w:val="single" w:sz="5" w:space="0" w:color="AFC4D2"/>
              <w:bottom w:val="single" w:sz="5" w:space="0" w:color="AFC4D2"/>
              <w:right w:val="single" w:sz="5" w:space="0" w:color="AFC4D2"/>
            </w:tcBorders>
            <w:shd w:val="clear" w:color="auto" w:fill="ED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0C9580" w14:textId="77777777" w:rsidR="00F17EAB" w:rsidRDefault="00000000">
            <w:pPr>
              <w:spacing w:after="0" w:line="245" w:lineRule="auto"/>
            </w:pPr>
            <w:r>
              <w:rPr>
                <w:sz w:val="15"/>
              </w:rPr>
              <w:t>4  Controlled pilot</w:t>
            </w:r>
          </w:p>
        </w:tc>
        <w:tc>
          <w:tcPr>
            <w:tcW w:w="7920" w:type="dxa"/>
            <w:tcBorders>
              <w:top w:val="single" w:sz="5" w:space="0" w:color="AFC4D2"/>
              <w:left w:val="single" w:sz="5" w:space="0" w:color="AFC4D2"/>
              <w:bottom w:val="single" w:sz="5" w:space="0" w:color="AFC4D2"/>
              <w:right w:val="single" w:sz="5" w:space="0" w:color="AFC4D2"/>
            </w:tcBorders>
            <w:shd w:val="clear" w:color="auto" w:fill="ED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D03DDF" w14:textId="77777777" w:rsidR="00F17EAB" w:rsidRDefault="00000000">
            <w:pPr>
              <w:spacing w:after="0" w:line="245" w:lineRule="auto"/>
            </w:pPr>
            <w:r>
              <w:rPr>
                <w:sz w:val="15"/>
              </w:rPr>
              <w:t>Launch with one client; monitor model quality, service performance, prediction distribution, client-level drift, and rollback. Wider rollout requires approved statistical gates, API tests, security review, and business validation.</w:t>
            </w:r>
          </w:p>
        </w:tc>
      </w:tr>
    </w:tbl>
    <w:p w14:paraId="49109339" w14:textId="77777777" w:rsidR="00F17EAB" w:rsidRDefault="00000000">
      <w:pPr>
        <w:spacing w:before="100" w:after="0" w:line="259" w:lineRule="auto"/>
      </w:pPr>
      <w:r>
        <w:rPr>
          <w:color w:val="536573"/>
          <w:sz w:val="16"/>
        </w:rPr>
        <w:t>Key assumptions  INR-only limits per ERP customer account; only matched same-customer history is combined; contractual consent and lawful data-sharing approval exist before cross-client history is supplied.</w:t>
      </w:r>
    </w:p>
    <w:sectPr w:rsidR="00F17EAB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008" w:right="1008" w:bottom="893" w:left="1008" w:header="432" w:footer="432" w:gutter="0"/>
      <w:pgNumType w:start="1"/>
      <w:cols w:space="720"/>
      <w:titlePg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Devashish Rattan" w:date="2026-09-13T12:22:00Z" w:initials="DR">
    <w:p w14:paraId="0F2B3D9E" w14:textId="77777777" w:rsidR="00134FEE" w:rsidRDefault="00134FEE" w:rsidP="00134FEE">
      <w:r>
        <w:rPr>
          <w:rStyle w:val="CommentReference"/>
        </w:rPr>
        <w:annotationRef/>
      </w:r>
      <w:r>
        <w:t>Name of the company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0F2B3D9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0A30B1B5" w16cex:dateUtc="2026-09-13T06:5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0F2B3D9E" w16cid:durableId="0A30B1B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ABF8E77" w14:textId="77777777" w:rsidR="00744B5E" w:rsidRDefault="00744B5E">
      <w:pPr>
        <w:spacing w:after="0" w:line="240" w:lineRule="auto"/>
      </w:pPr>
      <w:r>
        <w:separator/>
      </w:r>
    </w:p>
  </w:endnote>
  <w:endnote w:type="continuationSeparator" w:id="0">
    <w:p w14:paraId="4B7539E2" w14:textId="77777777" w:rsidR="00744B5E" w:rsidRDefault="00744B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20011FD1-BB80-094F-99AD-B3135F98AC42}"/>
    <w:embedBold r:id="rId2" w:fontKey="{C2CBA7B2-1AC8-F445-BB5D-225C379CA7ED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3" w:fontKey="{CE6A6561-DC42-F545-8B2B-2E0699B23D04}"/>
    <w:embedBold r:id="rId4" w:fontKey="{2149416F-8225-D146-AAEF-91E686B72F33}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7" w:fontKey="{348BCB19-A5F7-9440-A27D-B87089296A2F}"/>
    <w:embedBold r:id="rId8" w:fontKey="{C215BAEC-912A-6F48-A0B0-AB3032ED4614}"/>
    <w:embedItalic r:id="rId9" w:fontKey="{9340F811-2B67-D747-8CF8-BA22FD2B57F9}"/>
    <w:embedBoldItalic r:id="rId10" w:fontKey="{640A1E89-CF56-D847-8A99-3C3E7891D162}"/>
  </w:font>
  <w:font w:name="Cambria">
    <w:panose1 w:val="02040503050406030204"/>
    <w:charset w:val="00"/>
    <w:family w:val="roman"/>
    <w:notTrueType/>
    <w:pitch w:val="default"/>
    <w:embedRegular r:id="rId11" w:fontKey="{AC5D5088-0005-A543-B17B-B18D65460DF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1146500" w14:textId="77777777" w:rsidR="00F17EA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60" w:lineRule="auto"/>
      <w:jc w:val="center"/>
      <w:rPr>
        <w:rFonts w:ascii="Arial" w:eastAsia="Arial" w:hAnsi="Arial"/>
        <w:color w:val="5B7085"/>
      </w:rPr>
    </w:pPr>
    <w:r>
      <w:rPr>
        <w:color w:val="536573"/>
        <w:sz w:val="15"/>
      </w:rPr>
      <w:t>Inebura | Credit Limit Prediction Model Executive Summary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EEFEC23" w14:textId="77777777" w:rsidR="00F17EAB" w:rsidRDefault="00F17EA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B50FAA6" w14:textId="77777777" w:rsidR="00744B5E" w:rsidRDefault="00744B5E">
      <w:pPr>
        <w:spacing w:after="0" w:line="240" w:lineRule="auto"/>
      </w:pPr>
      <w:r>
        <w:separator/>
      </w:r>
    </w:p>
  </w:footnote>
  <w:footnote w:type="continuationSeparator" w:id="0">
    <w:p w14:paraId="60A92EB6" w14:textId="77777777" w:rsidR="00744B5E" w:rsidRDefault="00744B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700A9D3" w14:textId="77777777" w:rsidR="00F17EAB" w:rsidRDefault="00F17EA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5553D4F" w14:textId="77777777" w:rsidR="00F17EAB" w:rsidRDefault="00F17EA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D9C0DB7"/>
    <w:multiLevelType w:val="multilevel"/>
    <w:tmpl w:val="AEB4A64E"/>
    <w:lvl w:ilvl="0">
      <w:start w:val="1"/>
      <w:numFmt w:val="lowerLetter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2D043867"/>
    <w:multiLevelType w:val="multilevel"/>
    <w:tmpl w:val="077CA1BA"/>
    <w:lvl w:ilvl="0">
      <w:start w:val="1"/>
      <w:numFmt w:val="lowerLetter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4B4E27EF"/>
    <w:multiLevelType w:val="multilevel"/>
    <w:tmpl w:val="8608861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7910247E"/>
    <w:multiLevelType w:val="multilevel"/>
    <w:tmpl w:val="5AFCD162"/>
    <w:lvl w:ilvl="0">
      <w:start w:val="1"/>
      <w:numFmt w:val="lowerLetter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 w15:restartNumberingAfterBreak="0">
    <w:nsid w:val="7FBB0EA2"/>
    <w:multiLevelType w:val="hybridMultilevel"/>
    <w:tmpl w:val="3D9C1D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3774707">
    <w:abstractNumId w:val="2"/>
  </w:num>
  <w:num w:numId="2" w16cid:durableId="253251117">
    <w:abstractNumId w:val="0"/>
  </w:num>
  <w:num w:numId="3" w16cid:durableId="162548087">
    <w:abstractNumId w:val="1"/>
  </w:num>
  <w:num w:numId="4" w16cid:durableId="356350177">
    <w:abstractNumId w:val="3"/>
  </w:num>
  <w:num w:numId="5" w16cid:durableId="209920068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Devashish Rattan">
    <w15:presenceInfo w15:providerId="AD" w15:userId="S::Devashish.rattan@tanserv.com::9e4cbe36-5af6-41e8-9e18-7eb8b6a86a46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7EAB"/>
    <w:rsid w:val="000F3F1A"/>
    <w:rsid w:val="00134FEE"/>
    <w:rsid w:val="00141016"/>
    <w:rsid w:val="00744B5E"/>
    <w:rsid w:val="00DD6925"/>
    <w:rsid w:val="00F17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9EDD93"/>
  <w15:docId w15:val="{DFBE4E60-451F-4E41-82D3-B43403339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color w:val="233447"/>
        <w:lang w:val="en" w:eastAsia="en-US" w:bidi="ar-SA"/>
      </w:rPr>
    </w:rPrDefault>
    <w:pPrDefault>
      <w:pPr>
        <w:spacing w:after="11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76" w:lineRule="auto"/>
    </w:pPr>
    <w:rPr>
      <w:rFonts w:ascii="Helvetica Neue" w:eastAsia="Helvetica Neue" w:hAnsi="Helvetica Neue"/>
      <w:color w:val="1F293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one" w:sz="0" w:space="2" w:color="2F6B9A"/>
        <w:left w:val="none" w:sz="0" w:space="2" w:color="2F6B9A"/>
        <w:bottom w:val="none" w:sz="0" w:space="2" w:color="2F6B9A"/>
        <w:right w:val="none" w:sz="0" w:space="2" w:color="2F6B9A"/>
      </w:pBdr>
      <w:spacing w:before="240" w:line="285" w:lineRule="auto"/>
      <w:outlineLvl w:val="0"/>
    </w:pPr>
    <w:rPr>
      <w:b/>
      <w:bCs/>
      <w:color w:val="000000"/>
      <w:sz w:val="34"/>
      <w:szCs w:val="27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40"/>
      <w:outlineLvl w:val="1"/>
    </w:pPr>
    <w:rPr>
      <w:rFonts w:cs="Calibri"/>
      <w:b/>
      <w:bCs/>
      <w:smallCaps/>
      <w:color w:val="000000"/>
      <w:sz w:val="26"/>
      <w:szCs w:val="19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40"/>
      <w:outlineLvl w:val="2"/>
    </w:pPr>
    <w:rPr>
      <w:rFonts w:cs="Helvetica Neue"/>
      <w:b/>
      <w:bCs/>
      <w:color w:val="000000"/>
      <w:sz w:val="2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082A4A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082A4A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082A4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150"/>
    </w:pPr>
    <w:rPr>
      <w:b/>
      <w:bCs/>
      <w:color w:val="000000"/>
      <w:sz w:val="44"/>
      <w:szCs w:val="44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082A4A"/>
      <w:sz w:val="24"/>
      <w:szCs w:val="24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134FE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34FEE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34FEE"/>
    <w:rPr>
      <w:rFonts w:ascii="Helvetica Neue" w:eastAsia="Helvetica Neue" w:hAnsi="Helvetica Neue"/>
      <w:color w:val="1F2937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34FE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34FEE"/>
    <w:rPr>
      <w:rFonts w:ascii="Helvetica Neue" w:eastAsia="Helvetica Neue" w:hAnsi="Helvetica Neue"/>
      <w:b/>
      <w:bCs/>
      <w:color w:val="1F2937"/>
    </w:rPr>
  </w:style>
  <w:style w:type="paragraph" w:styleId="ListParagraph">
    <w:name w:val="List Paragraph"/>
    <w:basedOn w:val="Normal"/>
    <w:uiPriority w:val="34"/>
    <w:qFormat/>
    <w:rsid w:val="000F3F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719</Words>
  <Characters>4942</Characters>
  <Application>Microsoft Office Word</Application>
  <DocSecurity>0</DocSecurity>
  <Lines>112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Credit Limit Prediction Model Executive Summary</vt:lpstr>
    </vt:vector>
  </TitlesOfParts>
  <Company/>
  <LinksUpToDate>false</LinksUpToDate>
  <CharactersWithSpaces>5570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Credit Limit Prediction Model Executive Summary</dc:title>
  <dc:subject>Summary feature requirements for the external credit limit prediction model team</dc:subject>
  <dc:creator>Tanserv Product</dc:creator>
  <cp:keywords>Inebura, credit limit, credit score, prediction model, FRD</cp:keywords>
  <dc:description>Business-facing requirements for external model development and Tanserv handover</dc:description>
  <cp:lastModifiedBy>Devashish Rattan</cp:lastModifiedBy>
  <cp:revision>2</cp:revision>
  <dcterms:created xsi:type="dcterms:W3CDTF">2026-09-13T06:35:00Z</dcterms:created>
  <dcterms:modified xsi:type="dcterms:W3CDTF">2026-09-13T07:05:00Z</dcterms:modified>
</cp:coreProperties>
</file>