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 Master</w:t>
        <w:br/>
        <w:t>Business Requirements</w:t>
      </w:r>
    </w:p>
    <w:p>
      <w:r>
        <w:t>Stakeholder design reference | Final requirements | 16 October 2026</w:t>
      </w:r>
    </w:p>
    <w:p>
      <w:r>
        <w:t>This document describes the Invoice Master design and the agreed behaviour for the Inebura team. It covers invoice details, uploads, corrections and reallocation.</w:t>
      </w:r>
    </w:p>
    <w:p>
      <w:r>
        <w:t>The mockup is for reference only and must not be treated as a development benchmark. This document records the final business requirements; it does not confirm that these changes are implemented or available in production.</w:t>
      </w:r>
    </w:p>
    <w:p>
      <w:pPr>
        <w:pStyle w:val="Heading1"/>
      </w:pPr>
      <w:r>
        <w:t>1 Purpose and scope</w:t>
      </w:r>
    </w:p>
    <w:p>
      <w:r>
        <w:rPr>
          <w:b w:val="0"/>
        </w:rPr>
        <w:t>The workspace has three tabs in this order: Invoice Details, Invoice Upload and Invoice Reallocation. Users can find an invoice, inspect its information and activity, maintain permitted data, process Excel files and resolve missing assignments.</w:t>
      </w:r>
    </w:p>
    <w:tbl>
      <w:tblPr>
        <w:tblW w:type="auto" w:w="0"/>
        <w:jc w:val="center"/>
        <w:tblLayout w:type="fixed"/>
        <w:tblLook w:firstColumn="1" w:firstRow="1" w:lastColumn="0" w:lastRow="0" w:noHBand="0" w:noVBand="1" w:val="04A0"/>
      </w:tblPr>
      <w:tblGrid>
        <w:gridCol w:w="2088"/>
        <w:gridCol w:w="7992"/>
      </w:tblGrid>
      <w:tr>
        <w:trPr>
          <w:tblHeade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Area</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Included design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Details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Default uploaded data and Limbo; invoice search; cards, summary and activity trail; edit, reallocate, export, delete and Bulk Update.</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Upload</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Create New, Bulk Upload, upload history, results, Limbo corrections and download actions.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Reallocation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Invoices missing Agent or Manager; search, sorting and row-level reallocation.</w:t>
            </w:r>
          </w:p>
        </w:tc>
      </w:tr>
    </w:tbl>
    <w:p>
      <w:r>
        <w:rPr>
          <w:b w:val="0"/>
        </w:rPr>
      </w:r>
    </w:p>
    <w:p>
      <w:pPr>
        <w:pStyle w:val="Heading2"/>
      </w:pPr>
      <w:r>
        <w:t>Users and access</w:t>
      </w:r>
    </w:p>
    <w:p>
      <w:r>
        <w:rPr>
          <w:b w:val="0"/>
        </w:rPr>
        <w:t>Admin and Backend are the intended user groups in the product guidance. Being assigned as Agent, Manager, KAM or KAS does not itself grant administrative access. Production access by action and company must be agreed and enforced.</w:t>
      </w:r>
    </w:p>
    <w:p>
      <w:pPr>
        <w:pStyle w:val="Heading2"/>
      </w:pPr>
      <w:r>
        <w:t>Existing delivery constraints</w:t>
      </w:r>
    </w:p>
    <w:p>
      <w:pPr>
        <w:pStyle w:val="ListBullet"/>
        <w:spacing w:after="80"/>
      </w:pPr>
      <w:r>
        <w:t>INEB-89 is the existing Invoice Master epic. This reference does not replace the scope of its existing work items.</w:t>
      </w:r>
    </w:p>
    <w:p>
      <w:pPr>
        <w:pStyle w:val="ListBullet"/>
        <w:spacing w:after="80"/>
      </w:pPr>
      <w:r>
        <w:t>All Invoice Master section and Bulk Update requirements are consolidated under INEB-11. The protected-field policy in section 5 applies to individual edits and updates to existing invoices through either Excel flow.</w:t>
      </w:r>
    </w:p>
    <w:p>
      <w:pPr>
        <w:pStyle w:val="ListBullet"/>
        <w:spacing w:after="80"/>
      </w:pPr>
      <w:r>
        <w:t>Preserve INEB-15: Business Unit is mandatory when creating invoices for WBS-mapped clients, including manual creation, bulk upload and correction through Limbo Edit.</w:t>
      </w:r>
    </w:p>
    <w:p>
      <w:r>
        <w:t>This version includes the approved default Upload data/Limbo view and field-level warnings for attempted protected-field changes. Earlier requirement changes are recorded in a separate tracker.</w:t>
      </w:r>
    </w:p>
    <w:p>
      <w:pPr>
        <w:spacing w:before="0" w:after="0" w:line="20" w:lineRule="exact"/>
      </w:pPr>
      <w:r>
        <w:rPr>
          <w:sz w:val="2"/>
        </w:rPr>
        <w:br w:type="page"/>
      </w:r>
    </w:p>
    <w:p>
      <w:pPr>
        <w:pStyle w:val="Heading1"/>
      </w:pPr>
      <w:r>
        <w:t>2 Invoice Details and individual actions</w:t>
      </w:r>
    </w:p>
    <w:p>
      <w:pPr>
        <w:pStyle w:val="Heading2"/>
      </w:pPr>
      <w:r>
        <w:t>Find and view an invoice</w:t>
      </w:r>
    </w:p>
    <w:p>
      <w:r>
        <w:t>Before an invoice is searched, show uploaded data and Limbo by default, with the invoice-number search available above them. Uploaded data shows upload history and results. Limbo shows pending invoice rows needing correction, the reason and the existing Edit action. Search or Enter opens the matching invoice within the current company. A missing match shows Invoice not found. Clear removes the search and returns to uploaded data and Limbo without deleting data.</w:t>
      </w:r>
    </w:p>
    <w:p>
      <w:r>
        <w:rPr>
          <w:b w:val="0"/>
        </w:rPr>
        <w:t>Sample invoice: INV-2026-1042 appears below the search and opens that example when selected. Bulk Update is available before searching and sits at the right of the same desktop search row.</w:t>
      </w:r>
    </w:p>
    <w:p>
      <w:r>
        <w:rPr>
          <w:b w:val="0"/>
        </w:rPr>
        <w:t>A found invoice shows its number, current status and customer identification. The desktop layout gives approximately 70% of the space to invoice details and 30% to the activity trail. Assignees and Invoice amounts sit side by side, with the two-column Invoice summary below. Smaller screens stack the content; tables scroll within their containers.</w:t>
      </w:r>
    </w:p>
    <w:p>
      <w:pPr>
        <w:pStyle w:val="Heading2"/>
      </w:pPr>
      <w:r>
        <w:t>Displayed information</w:t>
      </w:r>
    </w:p>
    <w:p>
      <w:pPr>
        <w:pStyle w:val="ListBullet"/>
        <w:spacing w:after="80"/>
      </w:pPr>
      <w:r>
        <w:t>Assignees: Agent, Manager, KAM and KAS. Assignee in forms and tables means Agent.</w:t>
      </w:r>
    </w:p>
    <w:p>
      <w:pPr>
        <w:pStyle w:val="ListBullet"/>
        <w:spacing w:after="80"/>
      </w:pPr>
      <w:r>
        <w:t>Invoice amounts: Invoice Value, Amount for the month, Net Due and Collection in month. Unavailable amounts show a dash, not an assumed zero.</w:t>
      </w:r>
    </w:p>
    <w:p>
      <w:pPr>
        <w:pStyle w:val="ListBullet"/>
        <w:spacing w:after="80"/>
      </w:pPr>
      <w:r>
        <w:t>Invoice summary: the other 41 template fields and four protected statuses. Appendix A lists the 42 template fields, including Invoice Value. The total presentation contains 53 fields.</w:t>
      </w:r>
    </w:p>
    <w:p>
      <w:pPr>
        <w:pStyle w:val="Heading2"/>
      </w:pPr>
      <w:r>
        <w:t>Edit and export</w:t>
      </w:r>
    </w:p>
    <w:p>
      <w:r>
        <w:t>Edit invoice opens prefilled invoice information. Protected fields remain visible and read only; only the permitted template fields can be changed. Save changes validates the allowed changes and refreshes details and the trail. Cancel or close discards changes. An unchanged save creates no event. If the record has changed since opening, ask the user to reopen it before saving.</w:t>
      </w:r>
    </w:p>
    <w:p>
      <w:r>
        <w:t>Invoice No cannot be renamed. Customer identity, original invoice dates, protected amounts and the four system statuses remain unchanged; section 5 lists all protected fields. Assignment changes use Reallocate. Monthly financial figures are view only.</w:t>
      </w:r>
    </w:p>
    <w:p>
      <w:r>
        <w:rPr>
          <w:b w:val="0"/>
        </w:rPr>
        <w:t>Export downloads the displayed invoice as CSV with the 42 template fields followed by the 11 additional assignment, financial and status fields. The filename includes the invoice number. Export does not change the invoice.</w:t>
      </w:r>
    </w:p>
    <w:p>
      <w:pPr>
        <w:pStyle w:val="Heading2"/>
      </w:pPr>
      <w:r>
        <w:t>Delete</w:t>
      </w:r>
    </w:p>
    <w:p>
      <w:r>
        <w:t>Delete opens a confirmation naming the invoice and requiring a nonblank reason. Delete invoice confirms removal; Cancel or close preserves it. Return to the default uploaded data and Limbo view after deletion. Confirm deletion rights, recovery and handling of linked records before release.</w:t>
      </w:r>
    </w:p>
    <w:p>
      <w:pPr>
        <w:spacing w:before="0" w:after="0" w:line="20" w:lineRule="exact"/>
      </w:pPr>
      <w:r>
        <w:rPr>
          <w:sz w:val="2"/>
        </w:rPr>
        <w:br w:type="page"/>
      </w:r>
    </w:p>
    <w:p>
      <w:pPr>
        <w:pStyle w:val="Heading1"/>
      </w:pPr>
      <w:r>
        <w:t>3 Create invoices and resolve assignments</w:t>
      </w:r>
    </w:p>
    <w:p>
      <w:pPr>
        <w:pStyle w:val="Heading2"/>
      </w:pPr>
      <w:r>
        <w:t>Create New</w:t>
      </w:r>
    </w:p>
    <w:p>
      <w:r>
        <w:t>Create New opens the documented form. Select the customer and Business Unit; mapped Agent, Manager, KAM and KAS values are shown through the assignment controls. Preserve existing creation checks. For WBS-mapped clients, a missing Business Unit prevents creation and must be corrected, including through Limbo Edit where applicable.</w:t>
      </w:r>
    </w:p>
    <w:p>
      <w:r>
        <w:rPr>
          <w:b w:val="0"/>
        </w:rPr>
        <w:t>The form shows required markers for Customer, City, Invoice No, Invoice Date, Credit Period, Invoice Due Date, Invoice Value, Total Outstanding and Product Category. Saving also applies the shared requirements in section 5. Currency is set to INR in the mockup because the form has no Currency control. Customer Code is required when saving despite the marker difference.</w:t>
      </w:r>
    </w:p>
    <w:p>
      <w:r>
        <w:rPr>
          <w:b w:val="0"/>
        </w:rPr>
        <w:t>Description has a 3,000-character limit in this form. Date controls provide month navigation, Today and Clear. The due-date calculation must be resolved before production: the mockup adds Credit Period to Invoice Date, while earlier guidance counts the invoice date as day one.</w:t>
      </w:r>
    </w:p>
    <w:p>
      <w:pPr>
        <w:pStyle w:val="Heading2"/>
      </w:pPr>
      <w:r>
        <w:t>Reallocate from Invoice Details</w:t>
      </w:r>
    </w:p>
    <w:p>
      <w:r>
        <w:rPr>
          <w:b w:val="0"/>
        </w:rPr>
        <w:t>Choose one role, Agent, Manager, KAM or KAS; select a new assignee; enter a reason; and select Confirm reallocation. A blank assignee or reason, or selecting the person already in that role, is rejected. Success updates the Assignees card and trail. Cancel or close makes no change.</w:t>
      </w:r>
    </w:p>
    <w:p>
      <w:pPr>
        <w:pStyle w:val="Heading2"/>
      </w:pPr>
      <w:r>
        <w:t>Reallocate from the queue</w:t>
      </w:r>
    </w:p>
    <w:p>
      <w:r>
        <w:rPr>
          <w:b w:val="0"/>
        </w:rPr>
        <w:t>The queue contains invoices missing Agent, Manager or both. Whitespace-only values count as missing. Missing KAM or KAS alone does not qualify. An invoice leaves the queue when Agent and Manager are both present.</w:t>
      </w:r>
    </w:p>
    <w:p>
      <w:r>
        <w:rPr>
          <w:b w:val="0"/>
        </w:rPr>
        <w:t>Search covers invoice number, customer code or name and client or company identification, without case sensitivity. The table has sorting, ten-row pagination and an empty-result state.</w:t>
      </w:r>
    </w:p>
    <w:p>
      <w:r>
        <w:rPr>
          <w:b w:val="0"/>
        </w:rPr>
        <w:t>Each row has Reallocate, opening a full Edit Invoice pop-up. Invoice information is view only; assignments are editable. Agent and Manager are required; KAM and KAS are optional. Users choose valid search results and select Update. Several roles can change together, including replacing existing assignments. A stale record blocks the update. This form has no reason field; the difference from Details reallocation needs a product decision.</w:t>
      </w:r>
    </w:p>
    <w:p>
      <w:pPr>
        <w:pStyle w:val="Heading2"/>
      </w:pPr>
      <w:r>
        <w:t>Queue columns</w:t>
      </w:r>
    </w:p>
    <w:p>
      <w:r>
        <w:rPr>
          <w:b w:val="0"/>
        </w:rPr>
        <w:t>Client Code, Customer Code, Customer Name, Invoice No, Invoice Value, Outstanding, Assignee, Manager, KAM, KAS, Action.</w:t>
      </w:r>
    </w:p>
    <w:p>
      <w:pPr>
        <w:pStyle w:val="Heading2"/>
      </w:pPr>
      <w:r>
        <w:t>Form coverage</w:t>
      </w:r>
    </w:p>
    <w:p>
      <w:r>
        <w:rPr>
          <w:b w:val="0"/>
        </w:rPr>
        <w:t>Create and queue reallocation use 35 controls, rather than all 53 displayed fields. State, Region and Key Account appear in these forms but are outside the template and Details field set. Their persistence and display need confirmation. Appendix B records the form controls.</w:t>
      </w:r>
    </w:p>
    <w:p>
      <w:pPr>
        <w:spacing w:before="0" w:after="0" w:line="20" w:lineRule="exact"/>
      </w:pPr>
      <w:r>
        <w:rPr>
          <w:sz w:val="2"/>
        </w:rPr>
        <w:br w:type="page"/>
      </w:r>
    </w:p>
    <w:p>
      <w:pPr>
        <w:pStyle w:val="Heading1"/>
      </w:pPr>
      <w:r>
        <w:t>4 Excel upload and bulk update</w:t>
      </w:r>
    </w:p>
    <w:tbl>
      <w:tblPr>
        <w:tblW w:type="auto" w:w="0"/>
        <w:jc w:val="center"/>
        <w:tblLayout w:type="fixed"/>
        <w:tblLook w:firstColumn="1" w:firstRow="1" w:lastColumn="0" w:lastRow="0" w:noHBand="0" w:noVBand="1" w:val="04A0"/>
      </w:tblPr>
      <w:tblGrid>
        <w:gridCol w:w="1728"/>
        <w:gridCol w:w="4176"/>
        <w:gridCol w:w="4176"/>
      </w:tblGrid>
      <w:tr>
        <w:trPr>
          <w:tblHeade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Bulk Upload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Bulk Update</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Location</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Upload tab</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Details search row</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Purpose</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Add new invoices and update existing ones</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Update existing invoices only</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Match</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No within the current company</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No within the current company</w:t>
            </w:r>
          </w:p>
        </w:tc>
      </w:tr>
      <w:tr>
        <w:trPr>
          <w:cantSplit/>
          <w:cantSplit/>
          <w:cantSplit/>
        </w:trPr>
        <w:tc>
          <w:tcPr>
            <w:tcW w:type="dxa" w:w="17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Unknown Invoice No</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Creates a new invoice if valid</w:t>
            </w:r>
          </w:p>
        </w:tc>
        <w:tc>
          <w:tcPr>
            <w:tcW w:type="dxa" w:w="41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Rejects the row; does not create an invoice</w:t>
            </w:r>
          </w:p>
        </w:tc>
      </w:tr>
    </w:tbl>
    <w:p>
      <w:r>
        <w:rPr>
          <w:b w:val="0"/>
        </w:rPr>
      </w:r>
    </w:p>
    <w:p>
      <w:pPr>
        <w:pStyle w:val="Heading2"/>
      </w:pPr>
      <w:r>
        <w:t>Visible workflow</w:t>
      </w:r>
    </w:p>
    <w:p>
      <w:r>
        <w:rPr>
          <w:b w:val="0"/>
        </w:rPr>
        <w:t>Both pop-ups accept Excel files only, .xlsx or .xls, up to 10 MB. Users drag a file into the drop area or browse, and can download the invoice_upload_template.xlsx template. Upload starts disabled and enables after a valid selection. Cancel closes without processing; Upload validates and processes the file directly.</w:t>
      </w:r>
    </w:p>
    <w:p>
      <w:r>
        <w:rPr>
          <w:b w:val="0"/>
        </w:rPr>
        <w:t>The final Bulk Invoice Update pop-up has an Excel label, dashed drop area, template download control and Cancel and Upload footer. There is no separate Review file, preview or Apply updates step in either current flow.</w:t>
      </w:r>
    </w:p>
    <w:p>
      <w:pPr>
        <w:pStyle w:val="Heading2"/>
      </w:pPr>
      <w:r>
        <w:t>Matching and updates</w:t>
      </w:r>
    </w:p>
    <w:p>
      <w:pPr>
        <w:pStyle w:val="ListBullet"/>
        <w:spacing w:after="80"/>
      </w:pPr>
      <w:r>
        <w:t>Matching uses Invoice No alone within the company, not Customer Code plus Invoice No.</w:t>
      </w:r>
    </w:p>
    <w:p>
      <w:pPr>
        <w:pStyle w:val="ListBullet"/>
        <w:spacing w:after="80"/>
      </w:pPr>
      <w:r>
        <w:t>Blank update cells preserve existing values; they do not clear fields. An explicit zero is saved only for an allowed numeric field. Neither zero nor a blank cell can change a protected field.</w:t>
      </w:r>
    </w:p>
    <w:p>
      <w:pPr>
        <w:pStyle w:val="ListBullet"/>
        <w:spacing w:after="80"/>
      </w:pPr>
      <w:r>
        <w:t>Duplicate Invoice No rows in one file are rejected; there is no last-row-wins behaviour. Empty rows are skipped.</w:t>
      </w:r>
    </w:p>
    <w:p>
      <w:pPr>
        <w:pStyle w:val="ListBullet"/>
        <w:spacing w:after="80"/>
      </w:pPr>
      <w:r>
        <w:t>Validate the resulting invoice using its saved values plus the allowed changes. Discard attempted protected-field changes with field-specific warnings, then save valid allowed changes in the same row. Unchanged protected reference values are not written back and need no warning.</w:t>
      </w:r>
    </w:p>
    <w:p>
      <w:pPr>
        <w:pStyle w:val="ListBullet"/>
        <w:spacing w:after="80"/>
      </w:pPr>
      <w:r>
        <w:t>If an invoice changes during processing, do not overwrite the newer data; ask the user to retry. A row with only discarded protected changes makes no invoice change and must not be reported as an updated invoice.</w:t>
      </w:r>
    </w:p>
    <w:p>
      <w:pPr>
        <w:pStyle w:val="Heading2"/>
      </w:pPr>
      <w:r>
        <w:t>File and row checks</w:t>
      </w:r>
    </w:p>
    <w:p>
      <w:r>
        <w:t>Read the first worksheet. Invoice No is a mandatory header. Reject duplicate or unsupported columns, empty or headers-only files and rows with extra values beyond the headings. Known columns may be supplied without every optional column; confirm whether exact template order is required before release.</w:t>
      </w:r>
    </w:p>
    <w:p>
      <w:r>
        <w:t>Agent, Manager, KAM and KAS are outside the invoice template. Change them through Reallocate, not through either Excel flow.</w:t>
      </w:r>
    </w:p>
    <w:p>
      <w:pPr>
        <w:pStyle w:val="Heading2"/>
      </w:pPr>
      <w:r>
        <w:t>Results</w:t>
      </w:r>
    </w:p>
    <w:p>
      <w:r>
        <w:t>Process valid rows and reject rows with invalid allowed values, duplicate invoice numbers or unknown invoices in Bulk Update. Show successful, rejected, unchanged and warning outcomes clearly. Warnings name the row, invoice and discarded fields. A successful row can also have warnings; warnings are not additional rows. Provide failed-row and warning details for correction. An all-rejected file makes no invoice changes.</w:t>
      </w:r>
    </w:p>
    <w:p>
      <w:pPr>
        <w:spacing w:before="0" w:after="0" w:line="20" w:lineRule="exact"/>
      </w:pPr>
      <w:r>
        <w:rPr>
          <w:sz w:val="2"/>
        </w:rPr>
        <w:br w:type="page"/>
      </w:r>
    </w:p>
    <w:p>
      <w:pPr>
        <w:pStyle w:val="Heading1"/>
      </w:pPr>
      <w:r>
        <w:t>5 Validation and protected information</w:t>
      </w:r>
    </w:p>
    <w:p>
      <w:pPr>
        <w:pStyle w:val="Heading2"/>
      </w:pPr>
      <w:r>
        <w:t>Shared edit and import requirements</w:t>
      </w:r>
    </w:p>
    <w:tbl>
      <w:tblPr>
        <w:tblW w:type="auto" w:w="0"/>
        <w:jc w:val="center"/>
        <w:tblLayout w:type="fixed"/>
        <w:tblLook w:firstColumn="1" w:firstRow="1" w:lastColumn="0" w:lastRow="0" w:noHBand="0" w:noVBand="1" w:val="04A0"/>
      </w:tblPr>
      <w:tblGrid>
        <w:gridCol w:w="2304"/>
        <w:gridCol w:w="7776"/>
      </w:tblGrid>
      <w:tr>
        <w:trPr>
          <w:tblHeade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Rule</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Fields or behaviour</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Required</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Code, Customer Name, Invoice No, Invoice Date, Invoice Due Date, Invoice Value, Currency.</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numbers</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Value, Total Outstanding, Tax Value, Base Value, Convertor, Doc Curr Amount.</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Dates</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Date, Invoice Due Date, Invoice Handover Date, Billing Start Date, Billing End Date, Customer Due Date, Client Due Date.</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Date order</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Due Date must not precede Invoice Date. Billing End Date must not precede Billing Start Date.</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Identity</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Invoice No is unique within the company and is the mandatory update match key; it cannot be renamed.</w:t>
            </w:r>
          </w:p>
        </w:tc>
      </w:tr>
      <w:tr>
        <w:trPr>
          <w:cantSplit/>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Text and zero</w:t>
            </w:r>
          </w:p>
        </w:tc>
        <w:tc>
          <w:tcPr>
            <w:tcW w:type="dxa" w:w="77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Trim text; preserve leading-zero identifiers supplied as text. Zero is an entered value only for allowed numeric updates.</w:t>
            </w:r>
          </w:p>
        </w:tc>
      </w:tr>
    </w:tbl>
    <w:p>
      <w:r>
        <w:rPr>
          <w:b w:val="0"/>
        </w:rPr>
      </w:r>
    </w:p>
    <w:p>
      <w:r>
        <w:t>Accept valid dates using the agreed date format and reject impossible dates. A single date interpretation must be confirmed to avoid ambiguous input.</w:t>
      </w:r>
    </w:p>
    <w:p>
      <w:pPr>
        <w:pStyle w:val="Heading2"/>
      </w:pPr>
      <w:r>
        <w:t>Protected fields for existing invoices</w:t>
      </w:r>
    </w:p>
    <w:p>
      <w:r>
        <w:t>These 15 fields are view only for existing invoices in Edit, Bulk Update and Invoice Upload updates. New-invoice creation retains its own required information and validation.</w:t>
      </w:r>
    </w:p>
    <w:tbl>
      <w:tblPr>
        <w:tblW w:type="auto" w:w="0"/>
        <w:jc w:val="center"/>
        <w:tblLayout w:type="fixed"/>
        <w:tblLook w:firstColumn="1" w:firstRow="1" w:lastColumn="0" w:lastRow="0" w:noHBand="0" w:noVBand="1" w:val="04A0"/>
      </w:tblPr>
      <w:tblGrid>
        <w:gridCol w:w="2664"/>
        <w:gridCol w:w="7416"/>
      </w:tblGrid>
      <w:tr>
        <w:trPr>
          <w:tblHeade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60" w:line="240" w:lineRule="auto"/>
            </w:pPr>
            <w:r>
              <w:rPr>
                <w:b/>
              </w:rPr>
              <w:t>Protected group</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60" w:line="240" w:lineRule="auto"/>
            </w:pPr>
            <w:r>
              <w:rPr>
                <w:b/>
              </w:rPr>
              <w:t>Fields that cannot be edited</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Customer identity</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Customer Code, Customer Name</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60" w:line="240" w:lineRule="auto"/>
            </w:pPr>
            <w:r>
              <w:t>Invoice identity and dates</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60" w:line="240" w:lineRule="auto"/>
            </w:pPr>
            <w:r>
              <w:t>Invoice No, Invoice Date, Invoice Due Date</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Invoice and financial amounts</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Invoice Value (invoice amount), Tax Value, Base Value, Net Due, Amount for the month, Collection in month</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System statuses</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40" w:lineRule="auto"/>
            </w:pPr>
            <w:r>
              <w:t>Invoice Status, Broad Status, Primary Status, Substatus</w:t>
            </w:r>
          </w:p>
        </w:tc>
      </w:tr>
    </w:tbl>
    <w:p>
      <w:r>
        <w:t>In Excel, discard a changed protected value, keep the saved value and warn which field was ignored. Save valid allowed changes in that row. Blank or unchanged protected reference values are ignored without warning. Invoice No is always required as the matching key and never renames an invoice. Client Status remains a separate editable field; assignments use Reallocate.</w:t>
      </w:r>
    </w:p>
    <w:p>
      <w:pPr>
        <w:pStyle w:val="Heading2"/>
      </w:pPr>
      <w:r>
        <w:t>Create consistency and assignment requirements</w:t>
      </w:r>
    </w:p>
    <w:p>
      <w:r>
        <w:t>Show required creation information consistently. Update-only rules do not remove information required to create an invoice.</w:t>
      </w:r>
    </w:p>
    <w:p>
      <w:r>
        <w:t>For WBS-mapped clients, INEB-15 requires Business Unit. Missing values block creation, with an error and manual-field highlight. Correct failed upload rows in the file or through Limbo Edit, then reprocess. Bulk Update never creates an unknown invoice or a new Limbo invoice.</w:t>
      </w:r>
    </w:p>
    <w:p>
      <w:pPr>
        <w:spacing w:before="0" w:after="0" w:line="20" w:lineRule="exact"/>
      </w:pPr>
      <w:r>
        <w:rPr>
          <w:sz w:val="2"/>
        </w:rPr>
        <w:br w:type="page"/>
      </w:r>
    </w:p>
    <w:p>
      <w:pPr>
        <w:pStyle w:val="Heading1"/>
      </w:pPr>
      <w:r>
        <w:t>6 Upload history and activity trail</w:t>
      </w:r>
    </w:p>
    <w:p>
      <w:pPr>
        <w:pStyle w:val="Heading2"/>
      </w:pPr>
      <w:r>
        <w:t>Upload history</w:t>
      </w:r>
    </w:p>
    <w:p>
      <w:r>
        <w:rPr>
          <w:b w:val="0"/>
        </w:rPr>
        <w:t>The Invoice Upload tab shows File Name, Status, Upload Date, Total, Success, Rejected, Progress and Actions, in that order. It includes sorting, ten-row pagination with previous and next controls, status indicators, progress bars and download icons.</w:t>
      </w:r>
    </w:p>
    <w:p>
      <w:r>
        <w:t>History must reflect actual outcomes, including completion with warnings. Keep rejected rows distinct from discarded protected-field changes. A row saved with warnings counts once as a successful row and is also identifiable in warning details. A protected-only attempt is unchanged with a warning. Progress shows processing completion, not that every row succeeded.</w:t>
      </w:r>
    </w:p>
    <w:p>
      <w:r>
        <w:t>Keep original-file and failed-row download actions. Provide warning details identifying the row, Invoice No, protected field and ignored change, so users understand what was saved. File retention and completed downloads must be verified before release.</w:t>
      </w:r>
    </w:p>
    <w:p>
      <w:pPr>
        <w:pStyle w:val="Heading2"/>
      </w:pPr>
      <w:r>
        <w:t>Activity trail</w:t>
      </w:r>
    </w:p>
    <w:p>
      <w:r>
        <w:rPr>
          <w:b w:val="0"/>
        </w:rPr>
        <w:t>The right-hand panel displays saved invoice activity newest first. The newest event opens initially, and event headings expand or collapse. The trail is view only here and has an explicit no-activity state when empty.</w:t>
      </w:r>
    </w:p>
    <w:p>
      <w:r>
        <w:rPr>
          <w:b w:val="0"/>
        </w:rPr>
        <w:t>Events can include invoice or status updates, collection details, emails, issues, administrative edits, reallocations and uploads. Available details can include activity type, status hierarchy, actor, remarks, promise-to-pay date, payment instrument, bank or reference, transfer date, amount, TDS or LD and PDC information.</w:t>
      </w:r>
    </w:p>
    <w:p>
      <w:r>
        <w:t>Record saved changes with before/after values, the user and relevant reasons. Discarded protected values must never appear as saved invoice changes. Cancelled, unchanged and protected-only attempts create no false change event.</w:t>
      </w:r>
    </w:p>
    <w:p>
      <w:pPr>
        <w:pStyle w:val="Heading2"/>
      </w:pPr>
      <w:r>
        <w:t>Financial display</w:t>
      </w:r>
    </w:p>
    <w:p>
      <w:r>
        <w:t>Missing financial values display a dash. Invoice Value, Tax Value, Base Value, Net Due, Amount for the month and Collection in month are protected for existing invoices. Their sources and calculation periods require confirmation; general edits must not recalculate or overwrite them.</w:t>
      </w:r>
    </w:p>
    <w:p>
      <w:pPr>
        <w:pStyle w:val="Heading2"/>
      </w:pPr>
      <w:r>
        <w:t>Continuity and responsive behaviour</w:t>
      </w:r>
    </w:p>
    <w:p>
      <w:r>
        <w:rPr>
          <w:b w:val="0"/>
        </w:rPr>
        <w:t>Switching tabs retains the selected invoice and avoids the earlier flicker or layout movement. On smaller screens, sections stack and controls remain usable. Wide tables scroll inside their own containers rather than forcing the whole page sideways.</w:t>
      </w:r>
    </w:p>
    <w:p>
      <w:pPr>
        <w:pStyle w:val="Heading2"/>
      </w:pPr>
      <w:r>
        <w:t>Evidence boundary</w:t>
      </w:r>
    </w:p>
    <w:p>
      <w:r>
        <w:t>The reference demonstrates the visible flows. This revision records the final default-view and protected-field requirements; updating this document does not establish implementation or production availability. Test the final requirements before release.</w:t>
      </w:r>
    </w:p>
    <w:p>
      <w:pPr>
        <w:spacing w:before="0" w:after="0" w:line="20" w:lineRule="exact"/>
      </w:pPr>
      <w:r>
        <w:rPr>
          <w:sz w:val="2"/>
        </w:rPr>
        <w:br w:type="page"/>
      </w:r>
    </w:p>
    <w:p>
      <w:pPr>
        <w:pStyle w:val="Heading1"/>
      </w:pPr>
      <w:r>
        <w:t>7 Acceptance checklist</w:t>
      </w:r>
    </w:p>
    <w:p>
      <w:r>
        <w:t>Use these checks to verify the final agreed behaviour. Resolve the remaining business decisions in section 8 before releasing affected journeys.</w:t>
      </w:r>
    </w:p>
    <w:tbl>
      <w:tblPr>
        <w:tblW w:type="auto" w:w="0"/>
        <w:jc w:val="center"/>
        <w:tblLayout w:type="fixed"/>
        <w:tblLook w:firstColumn="1" w:firstRow="1" w:lastColumn="0" w:lastRow="0" w:noHBand="0" w:noVBand="1" w:val="04A0"/>
      </w:tblPr>
      <w:tblGrid>
        <w:gridCol w:w="936"/>
        <w:gridCol w:w="9144"/>
      </w:tblGrid>
      <w:tr>
        <w:trPr>
          <w:tblHeade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ID</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Expected outcome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AC01</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Tabs appear as Details, Upload, Reallocation; switching retains the selected invoice and avoids flicker.</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AC02</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Before search and after Clear, show uploaded data and Limbo. Search/Enter opens a matching invoice; no match shows feedback without displaying another invoice. Sample INV-2026-1042 is easy to find in the reference.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AC03</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 found invoice displays all 53 fields in the three groups and the responsive details and trail layout; missing financial amounts show a dash.</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AC04</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Edit shows protected fields read only. Save validates allowed changes and refreshes details/trail. Cancel saves nothing; unchanged saves create no event; stale records cannot overwrite newer data.</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AC05</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All 15 protected fields in section 5 stay unchanged through Edit and either Excel update flow. Invoice No is match-only. Client Status remains editable; assignments use Reallocate.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AC06</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Bulk Update rejects unknown or other-company invoice numbers and never creates or renames an invoice. Duplicate invoice rows are rejected.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AC07</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Details reallocation requires a role, a different assignee and a reason; Cancel changes nothing.</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AC08</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The queue contains missing Agent or Manager cases only; KAM or KAS absence alone does not qualify. Both required assignments remove an invoice from the queue.</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AC09</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Queue reallocation keeps invoice data read only, requires Agent and Manager and permits optional KAM and KAS. A stale update is blocked.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AC10</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Create uses the 35-control form and retains INEB-15: Business Unit is mandatory for WBS-mapped clients; missing values are corrected in the file or through Limbo Edit before reprocessing.</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AC11</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Bulk Upload adds or updates; Bulk Update updates only and rejects unknown invoices. Both use company-scoped Invoice No matching.</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AC12</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Both Excel flows provide template download, Cancel and Upload without Review file. Non-Excel files and files above 10 MB are rejected.</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AC13</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Blank updates preserve values; zero applies only to allowed numeric fields. A row changing City and Customer Name saves valid City, keeps Customer Name and warns. A protected-only row is unchanged with a warning; invalid allowed values reject the row.</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AC14</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Export contains 53 fields as CSV. Delete requires confirmation and a reason; Cancel preserves the record. Confirmed deletion returns to uploaded data and Limbo, subject to the agreed deletion policy.</w:t>
            </w:r>
          </w:p>
        </w:tc>
      </w:tr>
      <w:tr>
        <w:trPr>
          <w:cantSplit/>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AC15</w:t>
            </w:r>
          </w:p>
        </w:tc>
        <w:tc>
          <w:tcPr>
            <w:tcW w:type="dxa" w:w="91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The trail is newest first and records saved changes only. History distinguishes success, rejection, unchanged and warnings; downloads and mobile controls are verified before release.</w:t>
            </w:r>
          </w:p>
        </w:tc>
      </w:tr>
    </w:tbl>
    <w:p>
      <w:r>
        <w:rPr>
          <w:b w:val="0"/>
        </w:rPr>
      </w:r>
    </w:p>
    <w:p>
      <w:pPr>
        <w:spacing w:before="0" w:after="0" w:line="20" w:lineRule="exact"/>
      </w:pPr>
      <w:r>
        <w:rPr>
          <w:sz w:val="2"/>
        </w:rPr>
        <w:br w:type="page"/>
      </w:r>
    </w:p>
    <w:p>
      <w:pPr>
        <w:pStyle w:val="Heading1"/>
      </w:pPr>
      <w:r>
        <w:t>8 Decisions and exclusions</w:t>
      </w:r>
    </w:p>
    <w:p>
      <w:r>
        <w:t>The following business decisions remain to be confirmed for the affected journeys. The protected-field list, default uploaded data/Limbo view and mixed-row warning behaviour are agreed requirements, not open decisions.</w:t>
      </w:r>
    </w:p>
    <w:tbl>
      <w:tblPr>
        <w:tblW w:type="auto" w:w="0"/>
        <w:jc w:val="center"/>
        <w:tblLayout w:type="fixed"/>
        <w:tblLook w:firstColumn="1" w:firstRow="1" w:lastColumn="0" w:lastRow="0" w:noHBand="0" w:noVBand="1" w:val="04A0"/>
      </w:tblPr>
      <w:tblGrid>
        <w:gridCol w:w="2088"/>
        <w:gridCol w:w="7992"/>
      </w:tblGrid>
      <w:tr>
        <w:trPr>
          <w:tblHeade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Decision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 clarification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Protected-data corrections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Confirm who may correct original protected data through a separate approved process. General Invoice Master edit and bulk update cannot change it.</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Permissions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Confirm action rights, company boundaries, valid user directory, role eligibility and assignment identifiers.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Creation and dates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Retain INEB-15 for WBS-mapped clients. Align visible required markers and decide the due-date day-one rule versus Invoice Date plus Credit Period.</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Reallocation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Decide whether both journeys require reasons and whether returned invoices retaining Agent and Manager need a separate queue flag.</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Financial data</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Define financial sources, monthly periods, currency rules and recalculation. Confirm master-data and classification validation.</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File processing</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Confirm strict template order, safe retries, duplicate submission handling, concurrent changes and large-file limits. Valid rows may succeed independently; protected changes are discarded with warnings.</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Downloads and deletion</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Confirm download completion, file retention, delete rights, reversibility, record retention and effects on dependent activity.</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Extra form fields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Confirm persistence and display of State, Region and Key Account. Key Account is not fully persisted by the reference creation flow.</w:t>
            </w:r>
          </w:p>
        </w:tc>
      </w:tr>
      <w:tr>
        <w:trPr>
          <w:cantSplit/>
          <w:cantSplit/>
        </w:trPr>
        <w:tc>
          <w:tcPr>
            <w:tcW w:type="dxa" w:w="20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API and CSV</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Confirm API-origin upload visibility separately. The approved bulk pop-ups accept Excel only; CSV import is outside this design.</w:t>
            </w:r>
          </w:p>
        </w:tc>
      </w:tr>
    </w:tbl>
    <w:p>
      <w:r>
        <w:rPr>
          <w:b w:val="0"/>
        </w:rPr>
      </w:r>
    </w:p>
    <w:p>
      <w:pPr>
        <w:pStyle w:val="Heading2"/>
      </w:pPr>
      <w:r>
        <w:t>Excluded from this design baseline</w:t>
      </w:r>
    </w:p>
    <w:p>
      <w:pPr>
        <w:pStyle w:val="ListBullet"/>
        <w:spacing w:after="80"/>
      </w:pPr>
      <w:r>
        <w:t>Selected-row or multi-select bulk reallocation, missing-role-only allocation and the old mandatory-reason queue flow.</w:t>
      </w:r>
    </w:p>
    <w:p>
      <w:pPr>
        <w:pStyle w:val="ListBullet"/>
        <w:spacing w:after="80"/>
      </w:pPr>
      <w:r>
        <w:t>A separate Review file or Apply updates stage, CSV in the current bulk pop-ups, or the old generic upload button in Invoice Details.</w:t>
      </w:r>
    </w:p>
    <w:p>
      <w:pPr>
        <w:pStyle w:val="ListBullet"/>
        <w:spacing w:after="80"/>
      </w:pPr>
      <w:r>
        <w:t>Bulk deletion or a separate Invoice Deletion tab.</w:t>
      </w:r>
    </w:p>
    <w:p>
      <w:pPr>
        <w:pStyle w:val="ListBullet"/>
        <w:spacing w:after="80"/>
      </w:pPr>
      <w:r>
        <w:t>Production access, data connections and enforcement remain delivery responsibilities. The reference alone does not establish that these are complete.</w:t>
      </w:r>
    </w:p>
    <w:p>
      <w:pPr>
        <w:pStyle w:val="Heading2"/>
      </w:pPr>
      <w:r>
        <w:t>Related delivery work</w:t>
      </w:r>
    </w:p>
    <w:p>
      <w:r>
        <w:t>Keep existing calendar, search and tooltip improvements: INEB-19, INEB-17 and INEB-25. Preserve the creation and Limbo correction rule in INEB-15.</w:t>
      </w:r>
    </w:p>
    <w:p>
      <w:pPr>
        <w:spacing w:before="0" w:after="0" w:line="20" w:lineRule="exact"/>
      </w:pPr>
      <w:r>
        <w:rPr>
          <w:sz w:val="2"/>
        </w:rPr>
        <w:br w:type="page"/>
      </w:r>
    </w:p>
    <w:p>
      <w:pPr>
        <w:pStyle w:val="Heading1"/>
      </w:pPr>
      <w:r>
        <w:t>Appendix A Invoice template fields 1 to 21</w:t>
      </w:r>
    </w:p>
    <w:p>
      <w:r>
        <w:t>Required refers to information needed for a valid invoice, including creation. For existing invoices, protected fields stay read only; only other permitted template fields are editable. Blank update cells preserve saved values.</w:t>
      </w:r>
    </w:p>
    <w:tbl>
      <w:tblPr>
        <w:tblW w:type="auto" w:w="0"/>
        <w:jc w:val="center"/>
        <w:tblLayout w:type="fixed"/>
        <w:tblLook w:firstColumn="1" w:firstRow="1" w:lastColumn="0" w:lastRow="0" w:noHBand="0" w:noVBand="1" w:val="04A0"/>
      </w:tblPr>
      <w:tblGrid>
        <w:gridCol w:w="576"/>
        <w:gridCol w:w="3240"/>
        <w:gridCol w:w="1008"/>
        <w:gridCol w:w="5256"/>
      </w:tblGrid>
      <w:tr>
        <w:trPr>
          <w:tblHeade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No</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Exact field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Reference validation</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Code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Protected on updates; Preserve leading zeros when supplied as text</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Customer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Protected on updates; 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GSTN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City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Pincode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Preserve leading zeros when supplied as text</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No</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Protected on updates; mandatory company match key; no renaming.</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Protected on updates; 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Credit Period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Protected on updates; 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Invoice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Protected on updates; 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Total Outstanding</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Tax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t>Protected on updates; 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Base Value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Protected on updates; 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PO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Convertor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Currency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Yes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Client Status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Editable status; distinct from protected statuses</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18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Sales Order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19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Industry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Product Category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Description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bl>
    <w:p>
      <w:r>
        <w:rPr>
          <w:b w:val="0"/>
        </w:rPr>
      </w:r>
    </w:p>
    <w:p>
      <w:r>
        <w:rPr>
          <w:b w:val="0"/>
        </w:rPr>
        <w:t>Names are intentional, including Convertor, Pincode and Reference Key 3. Blank update cells preserve current values; the template is not a mechanism for clearing fields.</w:t>
      </w:r>
    </w:p>
    <w:p>
      <w:pPr>
        <w:spacing w:before="0" w:after="0" w:line="20" w:lineRule="exact"/>
      </w:pPr>
      <w:r>
        <w:rPr>
          <w:sz w:val="2"/>
        </w:rPr>
        <w:br w:type="page"/>
      </w:r>
    </w:p>
    <w:p>
      <w:pPr>
        <w:pStyle w:val="Heading1"/>
      </w:pPr>
      <w:r>
        <w:t>Appendix A Invoice template fields 22 to 42</w:t>
      </w:r>
    </w:p>
    <w:p>
      <w:r>
        <w:t>Required refers to information needed for a valid invoice, including creation. For existing invoices, protected fields stay read only; only other permitted template fields are editable. Blank update cells preserve saved values.</w:t>
      </w:r>
    </w:p>
    <w:tbl>
      <w:tblPr>
        <w:tblW w:type="auto" w:w="0"/>
        <w:jc w:val="center"/>
        <w:tblLayout w:type="fixed"/>
        <w:tblLook w:firstColumn="1" w:firstRow="1" w:lastColumn="0" w:lastRow="0" w:noHBand="0" w:noVBand="1" w:val="04A0"/>
      </w:tblPr>
      <w:tblGrid>
        <w:gridCol w:w="576"/>
        <w:gridCol w:w="3240"/>
        <w:gridCol w:w="1008"/>
        <w:gridCol w:w="5256"/>
      </w:tblGrid>
      <w:tr>
        <w:trPr>
          <w:tblHeade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No</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Exact field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Required</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Reference validation</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Handover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Bill to Address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Ship To Address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Profit Center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Business Unit</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If WBS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t>Required for WBS-mapped clients on creation and Limbo correction (INEB-15).</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Billing Start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28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Billing End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29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Equipment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Equipment Name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Job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Sub Job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33</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Business</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34</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Document Number</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35</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Document Type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36</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Reference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37</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Reference Key 3</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38</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Customer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39</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Doc Curr Amount</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Nonnegative number</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40</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Client Due Date</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Valid date</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41</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Customer Credit Period</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No additional field-specific check established</w:t>
            </w:r>
          </w:p>
        </w:tc>
      </w:tr>
      <w:tr>
        <w:trPr>
          <w:cantSplit/>
          <w:cantSplit/>
          <w:cantSplit/>
          <w:cantSplit/>
        </w:trPr>
        <w:tc>
          <w:tcPr>
            <w:tcW w:type="dxa" w:w="5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42</w:t>
            </w:r>
          </w:p>
        </w:tc>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Classification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No additional field-specific check established</w:t>
            </w:r>
          </w:p>
        </w:tc>
      </w:tr>
    </w:tbl>
    <w:p>
      <w:r>
        <w:rPr>
          <w:b w:val="0"/>
        </w:rPr>
      </w:r>
    </w:p>
    <w:p>
      <w:r>
        <w:rPr>
          <w:b w:val="0"/>
        </w:rPr>
        <w:t>Names are intentional, including Convertor, Pincode and Reference Key 3. Blank update cells preserve current values; the template is not a mechanism for clearing fields.</w:t>
      </w:r>
    </w:p>
    <w:p>
      <w:pPr>
        <w:spacing w:before="0" w:after="0" w:line="20" w:lineRule="exact"/>
      </w:pPr>
      <w:r>
        <w:rPr>
          <w:sz w:val="2"/>
        </w:rPr>
        <w:br w:type="page"/>
      </w:r>
    </w:p>
    <w:p>
      <w:pPr>
        <w:pStyle w:val="Heading1"/>
      </w:pPr>
      <w:r>
        <w:t>Appendix B Form and display coverage</w:t>
      </w:r>
    </w:p>
    <w:p>
      <w:pPr>
        <w:pStyle w:val="Heading2"/>
      </w:pPr>
      <w:r>
        <w:t>Create form order</w:t>
      </w:r>
    </w:p>
    <w:p>
      <w:r>
        <w:rPr>
          <w:b w:val="0"/>
        </w:rPr>
        <w:t>The 35 controls appear in the following order. This is a screen inventory, not an additional import template.</w:t>
      </w:r>
    </w:p>
    <w:p>
      <w:r>
        <w:rPr>
          <w:b w:val="0"/>
        </w:rPr>
        <w:t>1 Customer • 2 Customer Code • 3 Pincode • 4 City • 5 State • 6 Region • 7 Business Unit</w:t>
      </w:r>
    </w:p>
    <w:p>
      <w:r>
        <w:rPr>
          <w:b w:val="0"/>
        </w:rPr>
        <w:t>8 Assignee • 9 Manager • 10 KAM • 11 KAS • 12 Invoice No • 13 Invoice Date • 14 Credit Period</w:t>
      </w:r>
    </w:p>
    <w:p>
      <w:r>
        <w:rPr>
          <w:b w:val="0"/>
        </w:rPr>
        <w:t>15 Invoice Due Date • 16 Invoice Value • 17 Total Outstanding • 18 Tax Value • 19 Base Value • 20 PO Number • 21 Sale Order Number</w:t>
      </w:r>
    </w:p>
    <w:p>
      <w:r>
        <w:rPr>
          <w:b w:val="0"/>
        </w:rPr>
        <w:t>22 Industry Type • 23 Key Account • 24 Product Category • 25 Description • 26 Invoice Handover Date • 27 Bill To Address • 28 Ship To Address</w:t>
      </w:r>
    </w:p>
    <w:p>
      <w:r>
        <w:rPr>
          <w:b w:val="0"/>
        </w:rPr>
        <w:t>29 Profit Center • 30 Billing Start Date • 31 Billing End Date • 32 Equipment Number • 33 Equipment Name • 34 Job Type • 35 Sub Job Type</w:t>
      </w:r>
    </w:p>
    <w:p>
      <w:r>
        <w:rPr>
          <w:b w:val="0"/>
        </w:rPr>
        <w:t>The queue reallocation form moves Business Unit below Profit Center and keeps invoice information disabled. The form label Sale Order Number differs from the template label Sales Order Number. Assignee means Agent.</w:t>
      </w:r>
    </w:p>
    <w:p>
      <w:pPr>
        <w:pStyle w:val="Heading2"/>
      </w:pPr>
      <w:r>
        <w:t>Additional fields in Details</w:t>
      </w:r>
    </w:p>
    <w:tbl>
      <w:tblPr>
        <w:tblW w:type="auto" w:w="0"/>
        <w:jc w:val="center"/>
        <w:tblLayout w:type="fixed"/>
        <w:tblLook w:firstColumn="1" w:firstRow="1" w:lastColumn="0" w:lastRow="0" w:noHBand="0" w:noVBand="1" w:val="04A0"/>
      </w:tblPr>
      <w:tblGrid>
        <w:gridCol w:w="2664"/>
        <w:gridCol w:w="7416"/>
      </w:tblGrid>
      <w:tr>
        <w:trPr>
          <w:tblHeade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Group</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4E9EF"/>
          </w:tcPr>
          <w:p>
            <w:pPr>
              <w:spacing w:after="0" w:line="240" w:lineRule="auto"/>
            </w:pPr>
            <w:r>
              <w:rPr>
                <w:b/>
                <w:sz w:val="19"/>
              </w:rPr>
              <w:t>Fields beyond the 42-column template</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Assignments</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Agent, Manager, KAM, KAS</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Monthly financial display</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6F7F9"/>
          </w:tcPr>
          <w:p>
            <w:pPr>
              <w:spacing w:after="0" w:line="240" w:lineRule="auto"/>
            </w:pPr>
            <w:r>
              <w:rPr>
                <w:b w:val="0"/>
                <w:sz w:val="19"/>
              </w:rPr>
              <w:t>Amount for the month, Net Due, Collection in month</w:t>
            </w:r>
          </w:p>
        </w:tc>
      </w:tr>
      <w:tr>
        <w:trPr>
          <w:cantSplit/>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Protected status display</w:t>
            </w:r>
          </w:p>
        </w:tc>
        <w:tc>
          <w:tcPr>
            <w:tcW w:type="dxa" w:w="74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pPr>
            <w:r>
              <w:rPr>
                <w:b w:val="0"/>
                <w:sz w:val="19"/>
              </w:rPr>
              <w:t>Invoice Status, Broad Status, Primary Status, Substatus</w:t>
            </w:r>
          </w:p>
        </w:tc>
      </w:tr>
    </w:tbl>
    <w:p>
      <w:r>
        <w:rPr>
          <w:b w:val="0"/>
        </w:rPr>
      </w:r>
    </w:p>
    <w:p>
      <w:r>
        <w:rPr>
          <w:b w:val="0"/>
        </w:rPr>
        <w:t>Together these 11 fields and the 42 template fields form the 53-field Details view. Invoice Value is shown in Invoice amounts; the remaining template fields appear in Invoice summary.</w:t>
      </w:r>
    </w:p>
    <w:p>
      <w:pPr>
        <w:pStyle w:val="Heading2"/>
      </w:pPr>
      <w:r>
        <w:t>Summary placement</w:t>
      </w:r>
    </w:p>
    <w:p>
      <w:r>
        <w:rPr>
          <w:b w:val="0"/>
        </w:rPr>
        <w:t>Left column: the four protected statuses, Client Status, Invoice No, Invoice Date, Invoice Due Date, Credit Period, Tax Value, Base Value, Total Outstanding, Currency, Convertor, Doc Curr Amount, Invoice Handover Date, Billing Start Date, Billing End Date, Customer Due Date, Client Due Date and Customer Credit Period.</w:t>
      </w:r>
    </w:p>
    <w:p>
      <w:r>
        <w:rPr>
          <w:b w:val="0"/>
        </w:rPr>
        <w:t>Right column: Customer Code, Customer Name, Customer GSTN, City, Pincode, PO Number, Sales Order Number, Industry Type, Product Category, Description, Bill to Address, Ship To Address, Profit Center, Business Unit, Equipment Number, Equipment Name, Job Type, Sub Job Type, Business, Document Number, Document Type, Reference, Reference Key 3 and Classification.</w:t>
      </w:r>
    </w:p>
    <w:p>
      <w:pPr>
        <w:pStyle w:val="Heading2"/>
      </w:pPr>
      <w:r>
        <w:t>Implementation tracking</w:t>
      </w:r>
    </w:p>
    <w:p>
      <w:r>
        <w:t>INEB-11 is the single requirement ticket for the Invoice Master section and Bulk Update. INEB-114 is consolidated into INEB-11 and closed as a duplicate. The separate change tracker records earlier decisions and completed documentation/ticket updates; it does not mark development complete.</w:t>
      </w:r>
    </w:p>
    <w:p>
      <w:r>
        <w:t>Requirement ticket: https://inebura.atlassian.net/browse/INEB-11</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Invoice Master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Master Business Requirements</dc:title>
  <dc:subject>Stakeholder reference for the Invoice Master design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