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 Master</w:t>
        <w:br/>
        <w:t>Business Requirements</w:t>
      </w:r>
    </w:p>
    <w:p>
      <w:r>
        <w:rPr>
          <w:b/>
        </w:rPr>
        <w:t>Stakeholder design reference | 15 October 2026</w:t>
      </w:r>
    </w:p>
    <w:p>
      <w:r>
        <w:rPr>
          <w:b w:val="0"/>
        </w:rPr>
        <w:t>Invoice Master brings invoice lookup, invoice maintenance, Excel processing and assignment correction into one workspace. This document describes the ready reference design for the Inebura team and identifies the business decisions needed before production implementation.</w:t>
      </w:r>
    </w:p>
    <w:p>
      <w:r>
        <w:rPr>
          <w:b w:val="0"/>
        </w:rPr>
        <w:t>The design is a reference mockup. It does not establish production availability, access permissions or financial accuracy. The requirements below distinguish visible design behaviour from existing delivery constraints and decisions still requiring approval.</w:t>
      </w:r>
    </w:p>
    <w:p>
      <w:pPr>
        <w:pStyle w:val="Heading1"/>
      </w:pPr>
      <w:r>
        <w:t>1 Purpose and scope</w:t>
      </w:r>
    </w:p>
    <w:p>
      <w:r>
        <w:rPr>
          <w:b w:val="0"/>
        </w:rPr>
        <w:t>The workspace has three tabs in this order: Invoice Details, Invoice Upload and Invoice Reallocation. Users can find an invoice, inspect its information and activity, maintain permitted data, process Excel files and resolve missing assignments.</w:t>
      </w:r>
    </w:p>
    <w:tbl>
      <w:tblPr>
        <w:tblW w:type="auto" w:w="0"/>
        <w:jc w:val="center"/>
        <w:tblLayout w:type="fixed"/>
        <w:tblLook w:firstColumn="1" w:firstRow="1" w:lastColumn="0" w:lastRow="0" w:noHBand="0" w:noVBand="1" w:val="04A0"/>
      </w:tblPr>
      <w:tblGrid>
        <w:gridCol w:w="2088"/>
        <w:gridCol w:w="7992"/>
      </w:tblGrid>
      <w:tr>
        <w:trPr>
          <w:tblHeade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Area</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Included design</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Details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Search first; invoice cards and summary; activity trail; edit, reallocate, export, delete and Bulk Update.</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Upload</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Create New, Bulk Upload, upload history, processing results and download actions.</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Reallocation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Invoices missing Agent or Manager; search, sorting and row-level reallocation.</w:t>
            </w:r>
          </w:p>
        </w:tc>
      </w:tr>
    </w:tbl>
    <w:p>
      <w:r>
        <w:rPr>
          <w:b w:val="0"/>
        </w:rPr>
      </w:r>
    </w:p>
    <w:p>
      <w:pPr>
        <w:pStyle w:val="Heading2"/>
      </w:pPr>
      <w:r>
        <w:t>Users and access</w:t>
      </w:r>
    </w:p>
    <w:p>
      <w:r>
        <w:rPr>
          <w:b w:val="0"/>
        </w:rPr>
        <w:t>Admin and Backend are the intended user groups in the product guidance. Being assigned as Agent, Manager, KAM or KAS does not itself grant administrative access. Production access by action and company must be agreed and enforced.</w:t>
      </w:r>
    </w:p>
    <w:p>
      <w:pPr>
        <w:pStyle w:val="Heading2"/>
      </w:pPr>
      <w:r>
        <w:t>Existing delivery constraints</w:t>
      </w:r>
    </w:p>
    <w:p>
      <w:pPr>
        <w:pStyle w:val="ListBullet"/>
        <w:spacing w:after="80"/>
      </w:pPr>
      <w:r>
        <w:t>INEB-89 is the existing Invoice Master epic. This reference does not replace the scope of its existing work items.</w:t>
      </w:r>
    </w:p>
    <w:p>
      <w:pPr>
        <w:pStyle w:val="ListBullet"/>
        <w:spacing w:after="80"/>
      </w:pPr>
      <w:r>
        <w:t>INEB-11 covers a narrower 21-field Edit and Delete scope. The mockup exposes 42 editable template fields, including Invoice No. The approved production edit list must be reconciled before implementation.</w:t>
      </w:r>
    </w:p>
    <w:p>
      <w:pPr>
        <w:pStyle w:val="ListBullet"/>
        <w:spacing w:after="80"/>
      </w:pPr>
      <w:r>
        <w:t>INEB-15 requires the configured role assignment key, such as Business Unit, during creation across creation channels. This takes precedence over the mockup permitting a new or unmapped Business Unit. It is a creation constraint, not a new retrospective validation or reallocation rule.</w:t>
      </w:r>
    </w:p>
    <w:p>
      <w:r>
        <w:rPr>
          <w:b w:val="0"/>
        </w:rPr>
        <w:t>Basis: consolidated Invoice Master handoff dated 15 October 2026, including the final Bulk Update changes approved on 14 October. Earlier preview and queue interactions are superseded where this document says so.</w:t>
      </w:r>
    </w:p>
    <w:p>
      <w:r>
        <w:br w:type="page"/>
      </w:r>
    </w:p>
    <w:p>
      <w:pPr>
        <w:pStyle w:val="Heading1"/>
      </w:pPr>
      <w:r>
        <w:t>2 Invoice Details and individual actions</w:t>
      </w:r>
    </w:p>
    <w:p>
      <w:pPr>
        <w:pStyle w:val="Heading2"/>
      </w:pPr>
      <w:r>
        <w:t>Find and view an invoice</w:t>
      </w:r>
    </w:p>
    <w:p>
      <w:r>
        <w:rPr>
          <w:b w:val="0"/>
        </w:rPr>
        <w:t>The initial screen contains an invoice-number search and guidance, with no invoice list. Search or Enter opens a matching invoice. The mockup trims surrounding spaces and uses an exact, case-sensitive match within the current company. A missing match shows Invoice not found. Clear removes the search and displayed details without deleting data.</w:t>
      </w:r>
    </w:p>
    <w:p>
      <w:r>
        <w:rPr>
          <w:b w:val="0"/>
        </w:rPr>
        <w:t>Sample invoice: INV-2026-1042 appears below the search and opens that example when selected. Bulk Update is available before searching and sits at the right of the same desktop search row.</w:t>
      </w:r>
    </w:p>
    <w:p>
      <w:r>
        <w:rPr>
          <w:b w:val="0"/>
        </w:rPr>
        <w:t>A found invoice shows its number, current status and customer identification. The desktop layout gives approximately 70% of the space to invoice details and 30% to the activity trail. Assignees and Invoice amounts sit side by side, with the two-column Invoice summary below. Smaller screens stack the content; tables scroll within their containers.</w:t>
      </w:r>
    </w:p>
    <w:p>
      <w:pPr>
        <w:pStyle w:val="Heading2"/>
      </w:pPr>
      <w:r>
        <w:t>Displayed information</w:t>
      </w:r>
    </w:p>
    <w:p>
      <w:pPr>
        <w:pStyle w:val="ListBullet"/>
        <w:spacing w:after="80"/>
      </w:pPr>
      <w:r>
        <w:t>Assignees: Agent, Manager, KAM and KAS. Assignee in forms and tables means Agent.</w:t>
      </w:r>
    </w:p>
    <w:p>
      <w:pPr>
        <w:pStyle w:val="ListBullet"/>
        <w:spacing w:after="80"/>
      </w:pPr>
      <w:r>
        <w:t>Invoice amounts: Invoice Value, Amount for the month, Net Due and Collection in month. Unavailable amounts show a dash, not an assumed zero.</w:t>
      </w:r>
    </w:p>
    <w:p>
      <w:pPr>
        <w:pStyle w:val="ListBullet"/>
        <w:spacing w:after="80"/>
      </w:pPr>
      <w:r>
        <w:t>Invoice summary: the other 41 template fields and four protected statuses. Appendix A lists the 42 template fields, including Invoice Value. The total presentation contains 53 fields.</w:t>
      </w:r>
    </w:p>
    <w:p>
      <w:pPr>
        <w:pStyle w:val="Heading2"/>
      </w:pPr>
      <w:r>
        <w:t>Edit and export</w:t>
      </w:r>
    </w:p>
    <w:p>
      <w:r>
        <w:rPr>
          <w:b w:val="0"/>
        </w:rPr>
        <w:t>Edit invoice opens the 42 template fields, prefilled, with required markers. Save changes validates and refreshes the details and trail with before and after values. Cancel or close discards the changes. An unchanged save creates no change event. A detected intervening change blocks saving and asks the user to reopen the record.</w:t>
      </w:r>
    </w:p>
    <w:p>
      <w:r>
        <w:rPr>
          <w:b w:val="0"/>
        </w:rPr>
        <w:t>The mockup permits Invoice No changes if the new number is unique within the company; the search updates and earlier history remains linked. Production permission to rename an invoice and the allowed edit list remain decisions. Assignments and monthly financial figures are outside this edit form.</w:t>
      </w:r>
    </w:p>
    <w:p>
      <w:r>
        <w:rPr>
          <w:b w:val="0"/>
        </w:rPr>
        <w:t>Export downloads the displayed invoice as CSV with the 42 template fields followed by the 11 additional assignment, financial and status fields. The filename includes the invoice number. Export does not change the invoice.</w:t>
      </w:r>
    </w:p>
    <w:p>
      <w:pPr>
        <w:pStyle w:val="Heading2"/>
      </w:pPr>
      <w:r>
        <w:t>Delete</w:t>
      </w:r>
    </w:p>
    <w:p>
      <w:r>
        <w:rPr>
          <w:b w:val="0"/>
        </w:rPr>
        <w:t>Delete opens a confirmation naming the invoice and requiring a nonblank reason. Only Delete invoice in this confirmation removes it; Cancel or close preserves it. The screen then returns to the search-first view. Production deletion rights, recovery, retention and effects on linked records must be agreed before release.</w:t>
      </w:r>
    </w:p>
    <w:p>
      <w:r>
        <w:br w:type="page"/>
      </w:r>
    </w:p>
    <w:p>
      <w:pPr>
        <w:pStyle w:val="Heading1"/>
      </w:pPr>
      <w:r>
        <w:t>3 Create invoices and resolve assignments</w:t>
      </w:r>
    </w:p>
    <w:p>
      <w:pPr>
        <w:pStyle w:val="Heading2"/>
      </w:pPr>
      <w:r>
        <w:t>Create New</w:t>
      </w:r>
    </w:p>
    <w:p>
      <w:r>
        <w:rPr>
          <w:b w:val="0"/>
        </w:rPr>
        <w:t>Invoice Upload opens the Create Invoice form. Selecting a customer fills related customer information. Selecting a mapped Business Unit fills Agent, Manager, KAM and KAS; these assignment fields are disabled during creation. The mockup permits typing a new Business Unit, but INEB-15 remains the governing production creation constraint.</w:t>
      </w:r>
    </w:p>
    <w:p>
      <w:r>
        <w:rPr>
          <w:b w:val="0"/>
        </w:rPr>
        <w:t>The form shows required markers for Customer, City, Invoice No, Invoice Date, Credit Period, Invoice Due Date, Invoice Value, Total Outstanding and Product Category. Saving also applies the shared requirements in section 5. Currency is set to INR in the mockup because the form has no Currency control. Customer Code is required when saving despite the marker difference.</w:t>
      </w:r>
    </w:p>
    <w:p>
      <w:r>
        <w:rPr>
          <w:b w:val="0"/>
        </w:rPr>
        <w:t>Description has a 3,000-character limit in this form. Date controls provide month navigation, Today and Clear. The due-date calculation must be resolved before production: the mockup adds Credit Period to Invoice Date, while earlier guidance counts the invoice date as day one.</w:t>
      </w:r>
    </w:p>
    <w:p>
      <w:pPr>
        <w:pStyle w:val="Heading2"/>
      </w:pPr>
      <w:r>
        <w:t>Reallocate from Invoice Details</w:t>
      </w:r>
    </w:p>
    <w:p>
      <w:r>
        <w:rPr>
          <w:b w:val="0"/>
        </w:rPr>
        <w:t>Choose one role, Agent, Manager, KAM or KAS; select a new assignee; enter a reason; and select Confirm reallocation. A blank assignee or reason, or selecting the person already in that role, is rejected. Success updates the Assignees card and trail. Cancel or close makes no change.</w:t>
      </w:r>
    </w:p>
    <w:p>
      <w:pPr>
        <w:pStyle w:val="Heading2"/>
      </w:pPr>
      <w:r>
        <w:t>Reallocate from the queue</w:t>
      </w:r>
    </w:p>
    <w:p>
      <w:r>
        <w:rPr>
          <w:b w:val="0"/>
        </w:rPr>
        <w:t>The queue contains invoices missing Agent, Manager or both. Whitespace-only values count as missing. Missing KAM or KAS alone does not qualify. An invoice leaves the queue when Agent and Manager are both present.</w:t>
      </w:r>
    </w:p>
    <w:p>
      <w:r>
        <w:rPr>
          <w:b w:val="0"/>
        </w:rPr>
        <w:t>Search covers invoice number, customer code or name and client or company identification, without case sensitivity. The table has sorting, ten-row pagination and an empty-result state.</w:t>
      </w:r>
    </w:p>
    <w:p>
      <w:r>
        <w:rPr>
          <w:b w:val="0"/>
        </w:rPr>
        <w:t>Each row has Reallocate, opening a full Edit Invoice pop-up. Invoice information is view only; assignments are editable. Agent and Manager are required; KAM and KAS are optional. Users choose valid search results and select Update. Several roles can change together, including replacing existing assignments. A stale record blocks the update. This form has no reason field; the difference from Details reallocation needs a product decision.</w:t>
      </w:r>
    </w:p>
    <w:p>
      <w:pPr>
        <w:pStyle w:val="Heading2"/>
      </w:pPr>
      <w:r>
        <w:t>Queue columns</w:t>
      </w:r>
    </w:p>
    <w:p>
      <w:r>
        <w:rPr>
          <w:b w:val="0"/>
        </w:rPr>
        <w:t>Client Code, Customer Code, Customer Name, Invoice No, Invoice Value, Outstanding, Assignee, Manager, KAM, KAS, Action.</w:t>
      </w:r>
    </w:p>
    <w:p>
      <w:pPr>
        <w:pStyle w:val="Heading2"/>
      </w:pPr>
      <w:r>
        <w:t>Form coverage</w:t>
      </w:r>
    </w:p>
    <w:p>
      <w:r>
        <w:rPr>
          <w:b w:val="0"/>
        </w:rPr>
        <w:t>Create and queue reallocation use 35 controls, rather than all 53 displayed fields. State, Region and Key Account appear in these forms but are outside the template and Details field set. Their persistence and display need confirmation. Appendix B records the form controls.</w:t>
      </w:r>
    </w:p>
    <w:p>
      <w:r>
        <w:br w:type="page"/>
      </w:r>
    </w:p>
    <w:p>
      <w:pPr>
        <w:pStyle w:val="Heading1"/>
      </w:pPr>
      <w:r>
        <w:t>4 Excel upload and bulk update</w:t>
      </w:r>
    </w:p>
    <w:tbl>
      <w:tblPr>
        <w:tblW w:type="auto" w:w="0"/>
        <w:jc w:val="center"/>
        <w:tblLayout w:type="fixed"/>
        <w:tblLook w:firstColumn="1" w:firstRow="1" w:lastColumn="0" w:lastRow="0" w:noHBand="0" w:noVBand="1" w:val="04A0"/>
      </w:tblPr>
      <w:tblGrid>
        <w:gridCol w:w="1728"/>
        <w:gridCol w:w="4176"/>
        <w:gridCol w:w="4176"/>
      </w:tblGrid>
      <w:tr>
        <w:trPr>
          <w:tblHeade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Bulk Upload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Bulk Update</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Location</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Upload tab</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Details search row</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Purpose</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Add new invoices and update existing ones</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Update existing invoices only</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Match</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No within the current company</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No within the current company</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Unknown Invoice No</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Creates a new invoice if valid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Rejects the row; does not create an invoice</w:t>
            </w:r>
          </w:p>
        </w:tc>
      </w:tr>
    </w:tbl>
    <w:p>
      <w:r>
        <w:rPr>
          <w:b w:val="0"/>
        </w:rPr>
      </w:r>
    </w:p>
    <w:p>
      <w:pPr>
        <w:pStyle w:val="Heading2"/>
      </w:pPr>
      <w:r>
        <w:t>Visible workflow</w:t>
      </w:r>
    </w:p>
    <w:p>
      <w:r>
        <w:rPr>
          <w:b w:val="0"/>
        </w:rPr>
        <w:t>Both pop-ups accept Excel files only, .xlsx or .xls, up to 10 MB. Users drag a file into the drop area or browse, and can download the invoice_upload_template.xlsx template. Upload starts disabled and enables after a valid selection. Cancel closes without processing; Upload validates and processes the file directly.</w:t>
      </w:r>
    </w:p>
    <w:p>
      <w:r>
        <w:rPr>
          <w:b w:val="0"/>
        </w:rPr>
        <w:t>The final Bulk Invoice Update pop-up has an Excel label, dashed drop area, template download control and Cancel and Upload footer. There is no separate Review file, preview or Apply updates step in either current flow.</w:t>
      </w:r>
    </w:p>
    <w:p>
      <w:pPr>
        <w:pStyle w:val="Heading2"/>
      </w:pPr>
      <w:r>
        <w:t>Matching and updates</w:t>
      </w:r>
    </w:p>
    <w:p>
      <w:pPr>
        <w:pStyle w:val="ListBullet"/>
        <w:spacing w:after="80"/>
      </w:pPr>
      <w:r>
        <w:t>Matching uses Invoice No alone within the company, not Customer Code plus Invoice No.</w:t>
      </w:r>
    </w:p>
    <w:p>
      <w:pPr>
        <w:pStyle w:val="ListBullet"/>
        <w:spacing w:after="80"/>
      </w:pPr>
      <w:r>
        <w:t>Blank update cells preserve existing values and cannot clear a field. An explicit zero replaces the prior numeric value.</w:t>
      </w:r>
    </w:p>
    <w:p>
      <w:pPr>
        <w:pStyle w:val="ListBullet"/>
        <w:spacing w:after="80"/>
      </w:pPr>
      <w:r>
        <w:t>Duplicate Invoice No rows in one file are rejected; there is no last-row-wins behaviour. Empty rows are skipped.</w:t>
      </w:r>
    </w:p>
    <w:p>
      <w:pPr>
        <w:pStyle w:val="ListBullet"/>
        <w:spacing w:after="80"/>
      </w:pPr>
      <w:r>
        <w:t>Existing records are revalidated after nonblank changes are applied. Valid unchanged rows count as successes without creating change events.</w:t>
      </w:r>
    </w:p>
    <w:p>
      <w:pPr>
        <w:pStyle w:val="ListBullet"/>
        <w:spacing w:after="80"/>
      </w:pPr>
      <w:r>
        <w:t>Detected concurrent changes block persistence rather than deliberately overwriting another change. Production retry and partial-success guarantees remain to be agreed.</w:t>
      </w:r>
    </w:p>
    <w:p>
      <w:pPr>
        <w:pStyle w:val="Heading2"/>
      </w:pPr>
      <w:r>
        <w:t>File and row checks</w:t>
      </w:r>
    </w:p>
    <w:p>
      <w:r>
        <w:rPr>
          <w:b w:val="0"/>
        </w:rPr>
        <w:t>Only the first worksheet is read. Invoice No is a mandatory header. Duplicate headers, unknown columns and empty or headers-only files are rejected. Rows with more values than headers are rejected. The current parser accepts known headers after normalization and permits sparse or reordered columns; whether production must require the exact template remains open.</w:t>
      </w:r>
    </w:p>
    <w:p>
      <w:r>
        <w:rPr>
          <w:b w:val="0"/>
        </w:rPr>
        <w:t>The 42-column template has no Agent, Manager, KAM or KAS columns. Those are unknown columns and currently fail file validation. Customer Bulk Upload assignment conventions do not automatically apply to invoice imports.</w:t>
      </w:r>
    </w:p>
    <w:p>
      <w:pPr>
        <w:pStyle w:val="Heading2"/>
      </w:pPr>
      <w:r>
        <w:t>Results</w:t>
      </w:r>
    </w:p>
    <w:p>
      <w:r>
        <w:rPr>
          <w:b w:val="0"/>
        </w:rPr>
        <w:t>Valid rows are processed and invalid rows are excluded. Results appear in upload history with total, success and rejected counts. A file containing only invalid rows can finish with zero success. Users download rejected rows, correct the errors and upload again. Production partial-success, retry and duplicate-submission behaviour must be confirmed.</w:t>
      </w:r>
    </w:p>
    <w:p>
      <w:r>
        <w:br w:type="page"/>
      </w:r>
    </w:p>
    <w:p>
      <w:pPr>
        <w:pStyle w:val="Heading1"/>
      </w:pPr>
      <w:r>
        <w:t>5 Validation and protected information</w:t>
      </w:r>
    </w:p>
    <w:p>
      <w:pPr>
        <w:pStyle w:val="Heading2"/>
      </w:pPr>
      <w:r>
        <w:t>Shared edit and import requirements</w:t>
      </w:r>
    </w:p>
    <w:tbl>
      <w:tblPr>
        <w:tblW w:type="auto" w:w="0"/>
        <w:jc w:val="center"/>
        <w:tblLayout w:type="fixed"/>
        <w:tblLook w:firstColumn="1" w:firstRow="1" w:lastColumn="0" w:lastRow="0" w:noHBand="0" w:noVBand="1" w:val="04A0"/>
      </w:tblPr>
      <w:tblGrid>
        <w:gridCol w:w="2304"/>
        <w:gridCol w:w="7776"/>
      </w:tblGrid>
      <w:tr>
        <w:trPr>
          <w:tblHeade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Rule</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Fields or behaviour</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Required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Code, Customer Name, Invoice No, Invoice Date, Invoice Due Date, Invoice Value, Currency.</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Nonnegative numbers</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Value, Total Outstanding, Tax Value, Base Value, Convertor, Doc Curr Amount.</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Dates</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Date, Invoice Due Date, Invoice Handover Date, Billing Start Date, Billing End Date, Customer Due Date, Client Due Date.</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Date order</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Due Date must not precede Invoice Date. Billing End Date must not precede Billing Start Date.</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Identity</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numbers must be unique within a company.</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Text and zero</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Text is trimmed. Leading-zero identifiers are preserved when supplied as text. Zero is a real value, not a missing value.</w:t>
            </w:r>
          </w:p>
        </w:tc>
      </w:tr>
    </w:tbl>
    <w:p>
      <w:r>
        <w:rPr>
          <w:b w:val="0"/>
        </w:rPr>
      </w:r>
    </w:p>
    <w:p>
      <w:r>
        <w:rPr>
          <w:b w:val="0"/>
        </w:rPr>
        <w:t>Import conversion accepts YYYY-MM-DD, day/month/year formats, DD Mon YYYY and Excel date cells. Impossible dates are rejected. A single production date interpretation should be confirmed to avoid ambiguous input.</w:t>
      </w:r>
    </w:p>
    <w:p>
      <w:pPr>
        <w:pStyle w:val="Heading2"/>
      </w:pPr>
      <w:r>
        <w:t>Protected status fields</w:t>
      </w:r>
    </w:p>
    <w:p>
      <w:r>
        <w:rPr>
          <w:b w:val="0"/>
        </w:rPr>
        <w:t>Invoice Status, Broad Status, Primary Status and Substatus are view only. They cannot be changed through the individual edit form or either current Excel operation. A nonblank protected-status value in a file rejects the row, even if it repeats the current value. Blank protected-status cells are ignored.</w:t>
      </w:r>
    </w:p>
    <w:p>
      <w:r>
        <w:rPr>
          <w:b w:val="0"/>
        </w:rPr>
        <w:t>Client Status is a separate, editable template field. It must not be confused with the four protected statuses.</w:t>
      </w:r>
    </w:p>
    <w:p>
      <w:pPr>
        <w:pStyle w:val="Heading2"/>
      </w:pPr>
      <w:r>
        <w:t>Create consistency and assignment requirements</w:t>
      </w:r>
    </w:p>
    <w:p>
      <w:r>
        <w:rPr>
          <w:b w:val="0"/>
        </w:rPr>
        <w:t>Create has a different set of visible required markers from the shared save requirements. The production form, template and validation messages must be reconciled so users can see all required information before saving.</w:t>
      </w:r>
    </w:p>
    <w:p>
      <w:r>
        <w:rPr>
          <w:b w:val="0"/>
        </w:rPr>
        <w:t>Apply the configured creation assignment-key constraint in INEB-15 across creation channels. The mockup allowing unmapped Business Units and sending the resulting invoice to the queue is not authority to weaken that constraint. This existing requirement does not by itself authorize retroactive validation of old records or broader reallocation changes.</w:t>
      </w:r>
    </w:p>
    <w:p>
      <w:pPr>
        <w:pStyle w:val="Heading2"/>
      </w:pPr>
      <w:r>
        <w:t>Rules not established by the mockup</w:t>
      </w:r>
    </w:p>
    <w:p>
      <w:r>
        <w:rPr>
          <w:b w:val="0"/>
        </w:rPr>
        <w:t>The reference does not validate GSTN structure, PIN length, approved currency lists, reconciliation between Base Value, Tax Value and Invoice Value, or the full set of customer and master-data restrictions. Those checks and the permitted classifications require production decisions. No additional checks should be treated as approved solely because they seem customary.</w:t>
      </w:r>
    </w:p>
    <w:p>
      <w:r>
        <w:br w:type="page"/>
      </w:r>
    </w:p>
    <w:p>
      <w:pPr>
        <w:pStyle w:val="Heading1"/>
      </w:pPr>
      <w:r>
        <w:t>6 Upload history and activity trail</w:t>
      </w:r>
    </w:p>
    <w:p>
      <w:pPr>
        <w:pStyle w:val="Heading2"/>
      </w:pPr>
      <w:r>
        <w:t>Upload history</w:t>
      </w:r>
    </w:p>
    <w:p>
      <w:r>
        <w:rPr>
          <w:b w:val="0"/>
        </w:rPr>
        <w:t>The Invoice Upload tab shows File Name, Status, Upload Date, Total, Success, Rejected, Progress and Actions, in that order. It includes sorting, ten-row pagination with previous and next controls, status indicators, progress bars and download icons.</w:t>
      </w:r>
    </w:p>
    <w:p>
      <w:r>
        <w:rPr>
          <w:b w:val="0"/>
        </w:rPr>
        <w:t>Completed and Completed with Validation Failures distinguish all-valid and partially rejected results. Finished batches show 100% progress. Show API uploads controls whether API-origin batches are included in the displayed history; this filter does not establish that an API feed has been integrated.</w:t>
      </w:r>
    </w:p>
    <w:p>
      <w:r>
        <w:rPr>
          <w:b w:val="0"/>
        </w:rPr>
        <w:t>The design provides original-file and failed-row downloads. Failed-row output contains the row number, Invoice No and error text. File retention, reliable download completion and access controls need production handling.</w:t>
      </w:r>
    </w:p>
    <w:p>
      <w:pPr>
        <w:pStyle w:val="Heading2"/>
      </w:pPr>
      <w:r>
        <w:t>Activity trail</w:t>
      </w:r>
    </w:p>
    <w:p>
      <w:r>
        <w:rPr>
          <w:b w:val="0"/>
        </w:rPr>
        <w:t>The right-hand panel displays saved invoice activity newest first. The newest event opens initially, and event headings expand or collapse. The trail is view only here and has an explicit no-activity state when empty.</w:t>
      </w:r>
    </w:p>
    <w:p>
      <w:r>
        <w:rPr>
          <w:b w:val="0"/>
        </w:rPr>
        <w:t>Events can include invoice or status updates, collection details, emails, issues, administrative edits, reallocations and uploads. Available details can include activity type, status hierarchy, actor, remarks, promise-to-pay date, payment instrument, bank or reference, transfer date, amount, TDS or LD and PDC information.</w:t>
      </w:r>
    </w:p>
    <w:p>
      <w:r>
        <w:rPr>
          <w:b w:val="0"/>
        </w:rPr>
        <w:t>Administrative edits show before and after values. The Details reallocation reason appears with the event. The production trail must use authenticated attribution and agreed retention; the demo identity is not evidence of either.</w:t>
      </w:r>
    </w:p>
    <w:p>
      <w:pPr>
        <w:pStyle w:val="Heading2"/>
      </w:pPr>
      <w:r>
        <w:t>Financial display</w:t>
      </w:r>
    </w:p>
    <w:p>
      <w:r>
        <w:rPr>
          <w:b w:val="0"/>
        </w:rPr>
        <w:t>Net Due, Amount for the month and Collection in month are displayed separately from editable template amounts. They are not guaranteed to recalculate after an edit in the reference design. Their definitions, data sources, monthly boundaries, source priority, currency treatment and recalculation rules require approval.</w:t>
      </w:r>
    </w:p>
    <w:p>
      <w:pPr>
        <w:pStyle w:val="Heading2"/>
      </w:pPr>
      <w:r>
        <w:t>Continuity and responsive behaviour</w:t>
      </w:r>
    </w:p>
    <w:p>
      <w:r>
        <w:rPr>
          <w:b w:val="0"/>
        </w:rPr>
        <w:t>Switching tabs retains the selected invoice and avoids the earlier flicker or layout movement. On smaller screens, sections stack and controls remain usable. Wide tables scroll inside their own containers rather than forcing the whole page sideways.</w:t>
      </w:r>
    </w:p>
    <w:p>
      <w:pPr>
        <w:pStyle w:val="Heading2"/>
      </w:pPr>
      <w:r>
        <w:t>Evidence boundary</w:t>
      </w:r>
    </w:p>
    <w:p>
      <w:r>
        <w:rPr>
          <w:b w:val="0"/>
        </w:rPr>
        <w:t>The current handoff records local design checks, including a Bulk Update with one successful existing invoice and one rejected unknown invoice. Production availability of the consolidated Details screen and the new Bulk Update action has not been verified. Download completion also remains a release check.</w:t>
      </w:r>
    </w:p>
    <w:p>
      <w:r>
        <w:br w:type="page"/>
      </w:r>
    </w:p>
    <w:p>
      <w:pPr>
        <w:pStyle w:val="Heading1"/>
      </w:pPr>
      <w:r>
        <w:t>7 Acceptance checklist</w:t>
      </w:r>
    </w:p>
    <w:p>
      <w:r>
        <w:rPr>
          <w:b w:val="0"/>
        </w:rPr>
        <w:t>Use these checks for design review and implementation planning. They describe the reference behaviour; any check affected by section 8 or the existing delivery constraints requires a decision before it becomes a production release condition.</w:t>
      </w:r>
    </w:p>
    <w:tbl>
      <w:tblPr>
        <w:tblW w:type="auto" w:w="0"/>
        <w:jc w:val="center"/>
        <w:tblLayout w:type="fixed"/>
        <w:tblLook w:firstColumn="1" w:firstRow="1" w:lastColumn="0" w:lastRow="0" w:noHBand="0" w:noVBand="1" w:val="04A0"/>
      </w:tblPr>
      <w:tblGrid>
        <w:gridCol w:w="936"/>
        <w:gridCol w:w="9144"/>
      </w:tblGrid>
      <w:tr>
        <w:trPr>
          <w:tblHeade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ID</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Expected outcome</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AC01</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Tabs appear as Details, Upload, Reallocation; switching retains the selected invoice and avoids flicker.</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AC02</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Details starts without a list. Search, Enter, not-found feedback, Clear and the sample link work as described.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AC03</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 found invoice displays all 53 fields in the three groups and the responsive details and trail layout; missing financial amounts show a dash.</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AC04</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Edit is prefilled; validation blocks invalid values; Save updates details and history; Cancel saves nothing; unchanged saves create no event. Resolve the production edit list first.</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AC05</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The four protected statuses cannot be changed through edit or Excel. Client Status remains a distinct template field.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AC06</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Company-scoped duplicate Invoice No values are rejected. Rename behaviour is subject to approval.</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AC07</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Details reallocation requires a role, a different assignee and a reason; Cancel changes nothing.</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AC08</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The queue contains missing Agent or Manager cases only; KAM or KAS absence alone does not qualify. Both required assignments remove an invoice from the queue.</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AC09</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Queue reallocation keeps invoice data read only, requires Agent and Manager and permits optional KAM and KAS. A stale update is blocked.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AC10</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Create matches the 35-control form and mapped assignment behaviour, while retaining the approved creation assignment-key constraint.</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AC11</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Bulk Upload adds or updates; Bulk Update updates only and rejects unknown invoices. Both use company-scoped Invoice No matching.</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AC12</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Both Excel flows provide template download, Cancel and Upload without Review file. Non-Excel files and files above 10 MB are rejected.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AC13</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Blank updates preserve values; zero updates values; duplicates and invalid rows are excluded; history reports success and rejected counts.</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AC14</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Export contains 53 fields as CSV. Delete requires confirmation and reason, while Cancel preserves the record, subject to production deletion policy.</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AC15</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The trail is newest first, expandable and view only. Upload downloads and mobile controls work end to end before release.</w:t>
            </w:r>
          </w:p>
        </w:tc>
      </w:tr>
    </w:tbl>
    <w:p>
      <w:r>
        <w:rPr>
          <w:b w:val="0"/>
        </w:rPr>
      </w:r>
    </w:p>
    <w:p>
      <w:r>
        <w:br w:type="page"/>
      </w:r>
    </w:p>
    <w:p>
      <w:pPr>
        <w:pStyle w:val="Heading1"/>
      </w:pPr>
      <w:r>
        <w:t>8 Decisions and exclusions</w:t>
      </w:r>
    </w:p>
    <w:p>
      <w:r>
        <w:rPr>
          <w:b w:val="0"/>
        </w:rPr>
        <w:t>The following items need explicit agreement. They are not additional approved scope.</w:t>
      </w:r>
    </w:p>
    <w:tbl>
      <w:tblPr>
        <w:tblW w:type="auto" w:w="0"/>
        <w:jc w:val="center"/>
        <w:tblLayout w:type="fixed"/>
        <w:tblLook w:firstColumn="1" w:firstRow="1" w:lastColumn="0" w:lastRow="0" w:noHBand="0" w:noVBand="1" w:val="04A0"/>
      </w:tblPr>
      <w:tblGrid>
        <w:gridCol w:w="2088"/>
        <w:gridCol w:w="7992"/>
      </w:tblGrid>
      <w:tr>
        <w:trPr>
          <w:tblHeade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Decision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Required clarification</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Edit and identity</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Reconcile INEB-11’s 21-field policy with the 42-field reference. Decide whether Invoice No may change after downstream activity and preserve linked history.</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Permissions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Confirm action rights, company boundaries, valid user directory, role eligibility and assignment identifiers.</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Creation and dates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Retain INEB-15. Reconcile visible required markers, unmapped Business Unit handling and the due-date day-one discrepancy.</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Reallocation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Decide whether both journeys require reasons and whether returned invoices retaining Agent and Manager need a separate queue flag.</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Financial data</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Define financial sources, monthly periods, currency rules and recalculation. Confirm master-data and classification validation.</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File processing</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Decide strict template use, row-level partial success, retries, duplicate submissions, concurrency and large-file processing guarantees.</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Downloads and deletion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Confirm download completion, file retention, delete rights, reversibility, record retention and effects on dependent activity.</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Extra form fields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Confirm persistence and display of State, Region and Key Account. Key Account is not fully persisted by the reference creation flow.</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API and CSV</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Confirm API-origin integration separately. Current pop-ups are Excel only; legacy CSV parsing does not approve CSV upload.</w:t>
            </w:r>
          </w:p>
        </w:tc>
      </w:tr>
    </w:tbl>
    <w:p>
      <w:r>
        <w:rPr>
          <w:b w:val="0"/>
        </w:rPr>
      </w:r>
    </w:p>
    <w:p>
      <w:pPr>
        <w:pStyle w:val="Heading2"/>
      </w:pPr>
      <w:r>
        <w:t>Excluded from this design baseline</w:t>
      </w:r>
    </w:p>
    <w:p>
      <w:pPr>
        <w:pStyle w:val="ListBullet"/>
        <w:spacing w:after="80"/>
      </w:pPr>
      <w:r>
        <w:t>Selected-row or multi-select bulk reallocation, missing-role-only allocation and the old mandatory-reason queue flow.</w:t>
      </w:r>
    </w:p>
    <w:p>
      <w:pPr>
        <w:pStyle w:val="ListBullet"/>
        <w:spacing w:after="80"/>
      </w:pPr>
      <w:r>
        <w:t>A separate Review file or Apply updates stage, CSV in the current bulk pop-ups, or the old generic upload button in Invoice Details.</w:t>
      </w:r>
    </w:p>
    <w:p>
      <w:pPr>
        <w:pStyle w:val="ListBullet"/>
        <w:spacing w:after="80"/>
      </w:pPr>
      <w:r>
        <w:t>Bulk deletion or a separate Invoice Deletion tab.</w:t>
      </w:r>
    </w:p>
    <w:p>
      <w:pPr>
        <w:pStyle w:val="ListBullet"/>
        <w:spacing w:after="80"/>
      </w:pPr>
      <w:r>
        <w:t>New backend or authentication infrastructure, production authorization enforcement, external deployment or an actual API feed as completed capabilities.</w:t>
      </w:r>
    </w:p>
    <w:p>
      <w:pPr>
        <w:pStyle w:val="Heading2"/>
      </w:pPr>
      <w:r>
        <w:t>Related delivery work</w:t>
      </w:r>
    </w:p>
    <w:p>
      <w:r>
        <w:rPr>
          <w:b w:val="0"/>
        </w:rPr>
        <w:t>Existing date-picker, delete-search and API upload UI work should be checked for overlap before implementation. This document does not assign owners, deadlines or completion status to that work. Product review should resolve the decisions above and preserve the boundaries of existing approved requirements.</w:t>
      </w:r>
    </w:p>
    <w:p>
      <w:r>
        <w:br w:type="page"/>
      </w:r>
    </w:p>
    <w:p>
      <w:pPr>
        <w:pStyle w:val="Heading1"/>
      </w:pPr>
      <w:r>
        <w:t>Appendix A Invoice template fields 1 to 21</w:t>
      </w:r>
    </w:p>
    <w:p>
      <w:r>
        <w:rPr>
          <w:b w:val="0"/>
        </w:rPr>
        <w:t>Exact 42-column template order. Required refers to shared edit and import validation; Create markers differ. The listed checks describe the reference and do not resolve the production edit policy.</w:t>
      </w:r>
    </w:p>
    <w:tbl>
      <w:tblPr>
        <w:tblW w:type="auto" w:w="0"/>
        <w:jc w:val="center"/>
        <w:tblLayout w:type="fixed"/>
        <w:tblLook w:firstColumn="1" w:firstRow="1" w:lastColumn="0" w:lastRow="0" w:noHBand="0" w:noVBand="1" w:val="04A0"/>
      </w:tblPr>
      <w:tblGrid>
        <w:gridCol w:w="576"/>
        <w:gridCol w:w="3240"/>
        <w:gridCol w:w="1008"/>
        <w:gridCol w:w="5256"/>
      </w:tblGrid>
      <w:tr>
        <w:trPr>
          <w:tblHeade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No</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Exact field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Required</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Reference validation</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Code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Preserve leading zeros when supplied as text</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Customer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GSTN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City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Pincode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Preserve leading zeros when supplied as text</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No</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Unique within company; import match key</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Credit Period</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Due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Value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Total Outstanding</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Tax Value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Base Value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PO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Convertor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Currency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Client Status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Editable status; distinct from protected statuses</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Sales Order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Industry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Product Category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Description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bl>
    <w:p>
      <w:r>
        <w:rPr>
          <w:b w:val="0"/>
        </w:rPr>
      </w:r>
    </w:p>
    <w:p>
      <w:r>
        <w:rPr>
          <w:b w:val="0"/>
        </w:rPr>
        <w:t>Names are intentional, including Convertor, Pincode and Reference Key 3. Blank update cells preserve current values; the template is not a mechanism for clearing fields.</w:t>
      </w:r>
    </w:p>
    <w:p>
      <w:r>
        <w:br w:type="page"/>
      </w:r>
    </w:p>
    <w:p>
      <w:pPr>
        <w:pStyle w:val="Heading1"/>
      </w:pPr>
      <w:r>
        <w:t>Appendix A Invoice template fields 22 to 42</w:t>
      </w:r>
    </w:p>
    <w:p>
      <w:r>
        <w:rPr>
          <w:b w:val="0"/>
        </w:rPr>
        <w:t>Exact 42-column template order. Required refers to shared edit and import validation; Create markers differ. The listed checks describe the reference and do not resolve the production edit policy.</w:t>
      </w:r>
    </w:p>
    <w:tbl>
      <w:tblPr>
        <w:tblW w:type="auto" w:w="0"/>
        <w:jc w:val="center"/>
        <w:tblLayout w:type="fixed"/>
        <w:tblLook w:firstColumn="1" w:firstRow="1" w:lastColumn="0" w:lastRow="0" w:noHBand="0" w:noVBand="1" w:val="04A0"/>
      </w:tblPr>
      <w:tblGrid>
        <w:gridCol w:w="576"/>
        <w:gridCol w:w="3240"/>
        <w:gridCol w:w="1008"/>
        <w:gridCol w:w="5256"/>
      </w:tblGrid>
      <w:tr>
        <w:trPr>
          <w:tblHeade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No</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Exact field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Required</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Reference validation</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Handover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Bill to Address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Ship To Address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Profit Center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Business Unit</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Billing Start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Billing End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Equipment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Equipment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Job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Sub Job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Business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Document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Document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Reference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Reference Key 3</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Due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Doc Curr Amount</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40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Client Due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41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Customer Credit Period</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42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Classification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bl>
    <w:p>
      <w:r>
        <w:rPr>
          <w:b w:val="0"/>
        </w:rPr>
      </w:r>
    </w:p>
    <w:p>
      <w:r>
        <w:rPr>
          <w:b w:val="0"/>
        </w:rPr>
        <w:t>Names are intentional, including Convertor, Pincode and Reference Key 3. Blank update cells preserve current values; the template is not a mechanism for clearing fields.</w:t>
      </w:r>
    </w:p>
    <w:p>
      <w:r>
        <w:br w:type="page"/>
      </w:r>
    </w:p>
    <w:p>
      <w:pPr>
        <w:pStyle w:val="Heading1"/>
      </w:pPr>
      <w:r>
        <w:t>Appendix B Form and display coverage</w:t>
      </w:r>
    </w:p>
    <w:p>
      <w:pPr>
        <w:pStyle w:val="Heading2"/>
      </w:pPr>
      <w:r>
        <w:t>Create form order</w:t>
      </w:r>
    </w:p>
    <w:p>
      <w:r>
        <w:rPr>
          <w:b w:val="0"/>
        </w:rPr>
        <w:t>The 35 controls appear in the following order. This is a screen inventory, not an additional import template.</w:t>
      </w:r>
    </w:p>
    <w:p>
      <w:r>
        <w:rPr>
          <w:b w:val="0"/>
        </w:rPr>
        <w:t>1 Customer • 2 Customer Code • 3 Pincode • 4 City • 5 State • 6 Region • 7 Business Unit</w:t>
      </w:r>
    </w:p>
    <w:p>
      <w:r>
        <w:rPr>
          <w:b w:val="0"/>
        </w:rPr>
        <w:t>8 Assignee • 9 Manager • 10 KAM • 11 KAS • 12 Invoice No • 13 Invoice Date • 14 Credit Period</w:t>
      </w:r>
    </w:p>
    <w:p>
      <w:r>
        <w:rPr>
          <w:b w:val="0"/>
        </w:rPr>
        <w:t>15 Invoice Due Date • 16 Invoice Value • 17 Total Outstanding • 18 Tax Value • 19 Base Value • 20 PO Number • 21 Sale Order Number</w:t>
      </w:r>
    </w:p>
    <w:p>
      <w:r>
        <w:rPr>
          <w:b w:val="0"/>
        </w:rPr>
        <w:t>22 Industry Type • 23 Key Account • 24 Product Category • 25 Description • 26 Invoice Handover Date • 27 Bill To Address • 28 Ship To Address</w:t>
      </w:r>
    </w:p>
    <w:p>
      <w:r>
        <w:rPr>
          <w:b w:val="0"/>
        </w:rPr>
        <w:t>29 Profit Center • 30 Billing Start Date • 31 Billing End Date • 32 Equipment Number • 33 Equipment Name • 34 Job Type • 35 Sub Job Type</w:t>
      </w:r>
    </w:p>
    <w:p>
      <w:r>
        <w:rPr>
          <w:b w:val="0"/>
        </w:rPr>
        <w:t>The queue reallocation form moves Business Unit below Profit Center and keeps invoice information disabled. The form label Sale Order Number differs from the template label Sales Order Number. Assignee means Agent.</w:t>
      </w:r>
    </w:p>
    <w:p>
      <w:pPr>
        <w:pStyle w:val="Heading2"/>
      </w:pPr>
      <w:r>
        <w:t>Additional fields in Details</w:t>
      </w:r>
    </w:p>
    <w:tbl>
      <w:tblPr>
        <w:tblW w:type="auto" w:w="0"/>
        <w:jc w:val="center"/>
        <w:tblLayout w:type="fixed"/>
        <w:tblLook w:firstColumn="1" w:firstRow="1" w:lastColumn="0" w:lastRow="0" w:noHBand="0" w:noVBand="1" w:val="04A0"/>
      </w:tblPr>
      <w:tblGrid>
        <w:gridCol w:w="2664"/>
        <w:gridCol w:w="7416"/>
      </w:tblGrid>
      <w:tr>
        <w:trPr>
          <w:tblHeade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Group</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Fields beyond the 42-column template</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Assignments</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Agent, Manager, KAM, KAS</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Monthly financial display</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Amount for the month, Net Due, Collection in month</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Protected status display</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Status, Broad Status, Primary Status, Substatus</w:t>
            </w:r>
          </w:p>
        </w:tc>
      </w:tr>
    </w:tbl>
    <w:p>
      <w:r>
        <w:rPr>
          <w:b w:val="0"/>
        </w:rPr>
      </w:r>
    </w:p>
    <w:p>
      <w:r>
        <w:rPr>
          <w:b w:val="0"/>
        </w:rPr>
        <w:t>Together these 11 fields and the 42 template fields form the 53-field Details view. Invoice Value is shown in Invoice amounts; the remaining template fields appear in Invoice summary.</w:t>
      </w:r>
    </w:p>
    <w:p>
      <w:pPr>
        <w:pStyle w:val="Heading2"/>
      </w:pPr>
      <w:r>
        <w:t>Summary placement</w:t>
      </w:r>
    </w:p>
    <w:p>
      <w:r>
        <w:rPr>
          <w:b w:val="0"/>
        </w:rPr>
        <w:t>Left column: the four protected statuses, Client Status, Invoice No, Invoice Date, Invoice Due Date, Credit Period, Tax Value, Base Value, Total Outstanding, Currency, Convertor, Doc Curr Amount, Invoice Handover Date, Billing Start Date, Billing End Date, Customer Due Date, Client Due Date and Customer Credit Period.</w:t>
      </w:r>
    </w:p>
    <w:p>
      <w:r>
        <w:rPr>
          <w:b w:val="0"/>
        </w:rPr>
        <w:t>Right column: Customer Code, Customer Name, Customer GSTN, City, Pincode, PO Number, Sales Order Number, Industry Type, Product Category, Description, Bill to Address, Ship To Address, Profit Center, Business Unit, Equipment Number, Equipment Name, Job Type, Sub Job Type, Business, Document Number, Document Type, Reference, Reference Key 3 and Classification.</w:t>
      </w:r>
    </w:p>
    <w:p>
      <w:pPr>
        <w:pStyle w:val="Heading2"/>
      </w:pPr>
      <w:r>
        <w:t>Implementation tracking</w:t>
      </w:r>
    </w:p>
    <w:p>
      <w:r>
        <w:rPr>
          <w:b w:val="0"/>
        </w:rPr>
        <w:t>INEB-114 — Invoice Master implementation tracking under epic INEB-89. Existing INEB-11 and INEB-15 constraints remain separate and unchanged.</w:t>
      </w:r>
    </w:p>
    <w:p>
      <w:r>
        <w:rPr>
          <w:b w:val="0"/>
        </w:rPr>
        <w:t>https://inebura.atlassian.net/browse/INEB-114</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Invoice Master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Master Business Requirements</dc:title>
  <dc:subject>Stakeholder reference for the Invoice Master design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