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C4" w:rsidRPr="003E3E68" w:rsidRDefault="00901FC4" w:rsidP="00901FC4">
      <w:pPr>
        <w:spacing w:line="360" w:lineRule="auto"/>
        <w:rPr>
          <w:b/>
          <w:sz w:val="32"/>
          <w:szCs w:val="32"/>
        </w:rPr>
      </w:pPr>
      <w:r w:rsidRPr="003E3E68">
        <w:rPr>
          <w:b/>
          <w:sz w:val="32"/>
          <w:szCs w:val="32"/>
        </w:rPr>
        <w:t>Task 1</w:t>
      </w:r>
    </w:p>
    <w:p w:rsidR="00901FC4" w:rsidRPr="003E3E68" w:rsidRDefault="00901FC4" w:rsidP="00901FC4">
      <w:pPr>
        <w:spacing w:line="360" w:lineRule="auto"/>
        <w:rPr>
          <w:sz w:val="28"/>
          <w:szCs w:val="28"/>
          <w:u w:val="single"/>
        </w:rPr>
      </w:pPr>
      <w:r w:rsidRPr="003E3E68">
        <w:rPr>
          <w:sz w:val="28"/>
          <w:szCs w:val="28"/>
          <w:u w:val="single"/>
        </w:rPr>
        <w:t>Part 1</w:t>
      </w:r>
    </w:p>
    <w:p w:rsidR="00901FC4" w:rsidRDefault="00901FC4" w:rsidP="00901FC4">
      <w:pPr>
        <w:spacing w:line="360" w:lineRule="auto"/>
      </w:pPr>
      <w:r>
        <w:t xml:space="preserve">First part includes generating Geometric Brownian </w:t>
      </w:r>
      <w:proofErr w:type="gramStart"/>
      <w:r>
        <w:t>Motion(</w:t>
      </w:r>
      <w:proofErr w:type="gramEnd"/>
      <w:r>
        <w:t xml:space="preserve">GBM) and simulating 1000 runs. The following is the result of 5 realizations of the GBM: </w:t>
      </w:r>
    </w:p>
    <w:p w:rsidR="00901FC4" w:rsidRDefault="00901FC4" w:rsidP="00901FC4">
      <w:r>
        <w:rPr>
          <w:noProof/>
          <w:lang w:val="en-MY"/>
        </w:rPr>
        <w:drawing>
          <wp:inline distT="0" distB="0" distL="0" distR="0" wp14:anchorId="43B605B8" wp14:editId="39062A6D">
            <wp:extent cx="4916020" cy="3442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C4" w:rsidRPr="00114CC7" w:rsidRDefault="00901FC4" w:rsidP="00901FC4">
      <w:r w:rsidRPr="00114CC7">
        <w:t>Expected Value: E[</w:t>
      </w:r>
      <w:proofErr w:type="gramStart"/>
      <w:r w:rsidRPr="00114CC7">
        <w:t>S(</w:t>
      </w:r>
      <w:proofErr w:type="gramEnd"/>
      <w:r w:rsidRPr="00114CC7">
        <w:t>3)] = 54.181878144</w:t>
      </w:r>
    </w:p>
    <w:p w:rsidR="00901FC4" w:rsidRPr="00114CC7" w:rsidRDefault="00901FC4" w:rsidP="00901FC4">
      <w:r w:rsidRPr="00114CC7">
        <w:t xml:space="preserve">Variance: </w:t>
      </w:r>
      <w:proofErr w:type="spellStart"/>
      <w:r w:rsidRPr="00114CC7">
        <w:t>Var</w:t>
      </w:r>
      <w:proofErr w:type="spellEnd"/>
      <w:r w:rsidRPr="00114CC7">
        <w:t>[</w:t>
      </w:r>
      <w:proofErr w:type="gramStart"/>
      <w:r w:rsidRPr="00114CC7">
        <w:t>S(</w:t>
      </w:r>
      <w:proofErr w:type="gramEnd"/>
      <w:r w:rsidRPr="00114CC7">
        <w:t>3)] = 696.245121673</w:t>
      </w:r>
    </w:p>
    <w:p w:rsidR="00901FC4" w:rsidRPr="00114CC7" w:rsidRDefault="00901FC4" w:rsidP="00901FC4">
      <w:r w:rsidRPr="00114CC7">
        <w:t>P[</w:t>
      </w:r>
      <w:proofErr w:type="gramStart"/>
      <w:r w:rsidRPr="00114CC7">
        <w:t>S(</w:t>
      </w:r>
      <w:proofErr w:type="gramEnd"/>
      <w:r w:rsidRPr="00114CC7">
        <w:t>3)&gt; 39] = 0.68</w:t>
      </w:r>
    </w:p>
    <w:p w:rsidR="00901FC4" w:rsidRDefault="00901FC4" w:rsidP="00901FC4">
      <w:r w:rsidRPr="00114CC7">
        <w:t>E[</w:t>
      </w:r>
      <w:proofErr w:type="gramStart"/>
      <w:r w:rsidRPr="00114CC7">
        <w:t>S(</w:t>
      </w:r>
      <w:proofErr w:type="gramEnd"/>
      <w:r w:rsidRPr="00114CC7">
        <w:t>3) | S(3) &gt; 39] = 65.6829854995</w:t>
      </w:r>
    </w:p>
    <w:p w:rsidR="00901FC4" w:rsidRDefault="00901FC4" w:rsidP="00901FC4">
      <w:proofErr w:type="spellStart"/>
      <w:r>
        <w:t>Numpy</w:t>
      </w:r>
      <w:proofErr w:type="spellEnd"/>
      <w:r>
        <w:t xml:space="preserve"> function </w:t>
      </w:r>
      <w:proofErr w:type="spellStart"/>
      <w:r>
        <w:t>np.mean</w:t>
      </w:r>
      <w:proofErr w:type="spellEnd"/>
      <w:r>
        <w:t xml:space="preserve"> and </w:t>
      </w:r>
      <w:proofErr w:type="spellStart"/>
      <w:r>
        <w:t>np.var</w:t>
      </w:r>
      <w:proofErr w:type="spellEnd"/>
      <w:r>
        <w:t xml:space="preserve"> are used to find expectation value and variance of </w:t>
      </w:r>
      <w:proofErr w:type="gramStart"/>
      <w:r>
        <w:t>S(</w:t>
      </w:r>
      <w:proofErr w:type="gramEnd"/>
      <w:r>
        <w:t xml:space="preserve">3). Next, using sum to find total number of S3&gt;39 and dividing it by the length of the number using </w:t>
      </w:r>
      <w:proofErr w:type="spellStart"/>
      <w:r>
        <w:t>len</w:t>
      </w:r>
      <w:proofErr w:type="spellEnd"/>
      <w:r>
        <w:t xml:space="preserve">. To find the </w:t>
      </w:r>
      <w:r w:rsidRPr="00114CC7">
        <w:t>E[</w:t>
      </w:r>
      <w:proofErr w:type="gramStart"/>
      <w:r w:rsidRPr="00114CC7">
        <w:t>S(</w:t>
      </w:r>
      <w:proofErr w:type="gramEnd"/>
      <w:r w:rsidRPr="00114CC7">
        <w:t>3) | S(3) &gt; 39]</w:t>
      </w:r>
      <w:r>
        <w:t>, first find the sum of S3 array multiplying S3&gt;39 array, then dividing it by the sum of S3&gt;39.</w:t>
      </w:r>
    </w:p>
    <w:p w:rsidR="00901FC4" w:rsidRDefault="00901FC4" w:rsidP="00901FC4"/>
    <w:p w:rsidR="00901FC4" w:rsidRPr="003E3E68" w:rsidRDefault="00901FC4" w:rsidP="00901FC4">
      <w:pPr>
        <w:rPr>
          <w:sz w:val="28"/>
          <w:szCs w:val="28"/>
          <w:u w:val="single"/>
        </w:rPr>
      </w:pPr>
      <w:r w:rsidRPr="003E3E68">
        <w:rPr>
          <w:sz w:val="28"/>
          <w:szCs w:val="28"/>
          <w:u w:val="single"/>
        </w:rPr>
        <w:t>Part 2</w:t>
      </w:r>
    </w:p>
    <w:p w:rsidR="00901FC4" w:rsidRDefault="00901FC4" w:rsidP="00901FC4">
      <w:r>
        <w:t xml:space="preserve">The second part is simulating mean reversal process and producing a 1000 runs of it. The following is the result of 5 realizations of the mean reversal </w:t>
      </w:r>
      <w:proofErr w:type="gramStart"/>
      <w:r>
        <w:t>process :</w:t>
      </w:r>
      <w:proofErr w:type="gramEnd"/>
      <w:r>
        <w:t xml:space="preserve"> </w:t>
      </w:r>
    </w:p>
    <w:p w:rsidR="00901FC4" w:rsidRDefault="00901FC4" w:rsidP="00901FC4">
      <w:r>
        <w:rPr>
          <w:noProof/>
          <w:lang w:val="en-MY"/>
        </w:rPr>
        <w:lastRenderedPageBreak/>
        <w:drawing>
          <wp:inline distT="0" distB="0" distL="0" distR="0" wp14:anchorId="3C96757C" wp14:editId="7325E05F">
            <wp:extent cx="5004940" cy="3823571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C4" w:rsidRPr="00F20BCE" w:rsidRDefault="00901FC4" w:rsidP="00901FC4">
      <w:r w:rsidRPr="00F20BCE">
        <w:t>Expected Value: E[</w:t>
      </w:r>
      <w:proofErr w:type="gramStart"/>
      <w:r w:rsidRPr="00F20BCE">
        <w:t>R(</w:t>
      </w:r>
      <w:proofErr w:type="gramEnd"/>
      <w:r w:rsidRPr="00F20BCE">
        <w:t>1)] = 1.13287929036</w:t>
      </w:r>
    </w:p>
    <w:p w:rsidR="00901FC4" w:rsidRDefault="00901FC4" w:rsidP="00901FC4">
      <w:r w:rsidRPr="00F20BCE">
        <w:t>P[</w:t>
      </w:r>
      <w:proofErr w:type="gramStart"/>
      <w:r w:rsidRPr="00F20BCE">
        <w:t>R(</w:t>
      </w:r>
      <w:proofErr w:type="gramEnd"/>
      <w:r w:rsidRPr="00F20BCE">
        <w:t>1)&gt; 2] = 0.011</w:t>
      </w:r>
    </w:p>
    <w:p w:rsidR="00901FC4" w:rsidRDefault="00901FC4" w:rsidP="00901FC4">
      <w:r>
        <w:t xml:space="preserve">Same </w:t>
      </w:r>
      <w:proofErr w:type="spellStart"/>
      <w:r>
        <w:t>numpy</w:t>
      </w:r>
      <w:proofErr w:type="spellEnd"/>
      <w:r>
        <w:t xml:space="preserve"> function of </w:t>
      </w:r>
      <w:proofErr w:type="spellStart"/>
      <w:r>
        <w:t>np.mean</w:t>
      </w:r>
      <w:proofErr w:type="spellEnd"/>
      <w:r>
        <w:t xml:space="preserve"> is used to find the expectation value of </w:t>
      </w:r>
      <w:proofErr w:type="gramStart"/>
      <w:r>
        <w:t>R(</w:t>
      </w:r>
      <w:proofErr w:type="gramEnd"/>
      <w:r>
        <w:t xml:space="preserve">1). In order to find </w:t>
      </w:r>
      <w:r w:rsidRPr="00F20BCE">
        <w:t>P[</w:t>
      </w:r>
      <w:proofErr w:type="gramStart"/>
      <w:r w:rsidRPr="00F20BCE">
        <w:t>R(</w:t>
      </w:r>
      <w:proofErr w:type="gramEnd"/>
      <w:r w:rsidRPr="00F20BCE">
        <w:t>1)&gt; 2]</w:t>
      </w:r>
      <w:r>
        <w:t xml:space="preserve">, again using sum to find the total number of R1&gt;2 and dividing it by the </w:t>
      </w:r>
      <w:proofErr w:type="spellStart"/>
      <w:r>
        <w:t>n_path</w:t>
      </w:r>
      <w:proofErr w:type="spellEnd"/>
      <w:r>
        <w:t xml:space="preserve"> (1000).</w:t>
      </w:r>
    </w:p>
    <w:p w:rsidR="00901FC4" w:rsidRDefault="00901FC4" w:rsidP="00901FC4"/>
    <w:p w:rsidR="00901FC4" w:rsidRPr="003E3E68" w:rsidRDefault="00901FC4" w:rsidP="00901FC4">
      <w:pPr>
        <w:rPr>
          <w:b/>
          <w:sz w:val="32"/>
          <w:szCs w:val="32"/>
        </w:rPr>
      </w:pPr>
      <w:r w:rsidRPr="003E3E68">
        <w:rPr>
          <w:b/>
          <w:sz w:val="32"/>
          <w:szCs w:val="32"/>
        </w:rPr>
        <w:t>Task 2</w:t>
      </w:r>
    </w:p>
    <w:p w:rsidR="00901FC4" w:rsidRPr="003E3E68" w:rsidRDefault="00901FC4" w:rsidP="00901FC4">
      <w:pPr>
        <w:rPr>
          <w:sz w:val="28"/>
          <w:szCs w:val="28"/>
          <w:u w:val="single"/>
        </w:rPr>
      </w:pPr>
      <w:r w:rsidRPr="003E3E68">
        <w:rPr>
          <w:sz w:val="28"/>
          <w:szCs w:val="28"/>
          <w:u w:val="single"/>
        </w:rPr>
        <w:t>Part 1</w:t>
      </w:r>
    </w:p>
    <w:p w:rsidR="00901FC4" w:rsidRDefault="00901FC4" w:rsidP="00901FC4">
      <w:r>
        <w:t xml:space="preserve">There are a total of 30 components in the FTSE Bursa Malaysia KLCI Index. </w:t>
      </w:r>
    </w:p>
    <w:tbl>
      <w:tblPr>
        <w:tblW w:w="1000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991"/>
        <w:gridCol w:w="2362"/>
        <w:gridCol w:w="1238"/>
        <w:gridCol w:w="866"/>
        <w:gridCol w:w="1852"/>
      </w:tblGrid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Stock Name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Stock Code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Stock Sector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 xml:space="preserve">Weightage in FTSEKLCI 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PE Ratio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Net Market Capital (</w:t>
            </w:r>
            <w:proofErr w:type="spellStart"/>
            <w:r>
              <w:t>B,as</w:t>
            </w:r>
            <w:proofErr w:type="spellEnd"/>
            <w:r>
              <w:t xml:space="preserve"> billion)</w:t>
            </w:r>
          </w:p>
        </w:tc>
      </w:tr>
      <w:tr w:rsidR="00901FC4" w:rsidTr="00454F7D">
        <w:trPr>
          <w:trHeight w:val="325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 xml:space="preserve">Public Bank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1295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11.6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15.21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  <w:rPr>
                <w:b/>
                <w:bCs/>
              </w:rPr>
            </w:pPr>
            <w:r>
              <w:t>73.368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Malayan Banking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1155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9.32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12.4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  <w:rPr>
                <w:b/>
                <w:bCs/>
              </w:rPr>
            </w:pPr>
            <w:r>
              <w:t>88.041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5347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Alternative Electricity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9.28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9.15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69.304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CIMB Group Holdings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1023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5.76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17.52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46.694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Axiata</w:t>
            </w:r>
            <w:proofErr w:type="spellEnd"/>
            <w:r>
              <w:t xml:space="preserve"> Group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6888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Mobile Telecommunications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5.62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24.3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55.349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Sime</w:t>
            </w:r>
            <w:proofErr w:type="spellEnd"/>
            <w:r>
              <w:t xml:space="preserve"> Darby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4197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Diversified Industrials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5.51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21.89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52.671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Digi.com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6947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Mobile Telecommunications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4.16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21.02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41.830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lastRenderedPageBreak/>
              <w:t>Genting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3182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Hotels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3.68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19.30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30.748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 xml:space="preserve">PETRONAS Chemicals Group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5183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Commodity Chemicals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3.55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21.83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50.640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 xml:space="preserve">Maxis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6012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Mobile Telecommunications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3.45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30.05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49.409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Petronas</w:t>
            </w:r>
            <w:proofErr w:type="spellEnd"/>
            <w:r>
              <w:t xml:space="preserve"> Gas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6033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Exploration &amp; Production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3.4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22.79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42.741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IHH Healthcare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5225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Health Care Providers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3.28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63.15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48.758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IOI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1961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Farming &amp; Fishing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2.99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73.65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26.731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Telekom Malaysia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4863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Fixed Line Telecommunications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2.96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32.34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24.195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Genting</w:t>
            </w:r>
            <w:proofErr w:type="spellEnd"/>
            <w:r>
              <w:t xml:space="preserve"> Malaysia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4715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Hotels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2.5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20.21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24.097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MISC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3816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Marine Transportation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2.45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15.99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35.264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AMMB Holdings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1015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2.38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8.82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16.970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Kuala Lumpur Kepong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2445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Farming &amp; Fishing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2.28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29.21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23.983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SapuraKencana</w:t>
            </w:r>
            <w:proofErr w:type="spellEnd"/>
            <w:r>
              <w:t xml:space="preserve"> Petroleum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5218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Oil Equipment &amp; Services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1.98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12.08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14.321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PBB Group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4065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Food Products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1.8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18.13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18.233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British American Tobacco (Malaysia)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4162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Tobacco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1.7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20.06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18.445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Hong Leong Bank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5819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1.67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11.19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24.572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YTL Corp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4677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Multiutilities</w:t>
            </w:r>
            <w:proofErr w:type="spellEnd"/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1.63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14.95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16.670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UMW Holdings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4588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Automobiles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1.37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20.41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11.987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Astro</w:t>
            </w:r>
            <w:proofErr w:type="spellEnd"/>
            <w:r>
              <w:t xml:space="preserve"> Malaysia Holdings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6399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Broadcasting &amp; Entertainment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1.22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28.06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15.761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Petronas</w:t>
            </w:r>
            <w:proofErr w:type="spellEnd"/>
            <w:r>
              <w:t xml:space="preserve"> </w:t>
            </w:r>
            <w:proofErr w:type="spellStart"/>
            <w:r>
              <w:t>Dagangan</w:t>
            </w:r>
            <w:proofErr w:type="spellEnd"/>
            <w:r>
              <w:t xml:space="preserve"> </w:t>
            </w:r>
            <w:proofErr w:type="spellStart"/>
            <w:r>
              <w:t>Bhd</w:t>
            </w:r>
            <w:proofErr w:type="spellEnd"/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5681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Intrgrated</w:t>
            </w:r>
            <w:proofErr w:type="spellEnd"/>
            <w:r>
              <w:t xml:space="preserve"> Oil &amp; Gas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1.21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37.05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20.445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RHB Capital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1066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1.06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9.18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19.129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proofErr w:type="spellStart"/>
            <w:r>
              <w:t>Westports</w:t>
            </w:r>
            <w:proofErr w:type="spellEnd"/>
            <w:r>
              <w:t xml:space="preserve"> Holdings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5246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Transportation Services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0.93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26.84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14.356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>Hong Leong Financial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1082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Banks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0.64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9.92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16.255</w:t>
            </w:r>
          </w:p>
        </w:tc>
      </w:tr>
      <w:tr w:rsidR="00901FC4" w:rsidTr="00454F7D">
        <w:trPr>
          <w:trHeight w:val="300"/>
        </w:trPr>
        <w:tc>
          <w:tcPr>
            <w:tcW w:w="2699" w:type="dxa"/>
          </w:tcPr>
          <w:p w:rsidR="00901FC4" w:rsidRDefault="00901FC4" w:rsidP="00454F7D">
            <w:pPr>
              <w:spacing w:after="0" w:line="240" w:lineRule="auto"/>
            </w:pPr>
            <w:r>
              <w:t xml:space="preserve">KLCC Prop &amp; </w:t>
            </w:r>
            <w:proofErr w:type="spellStart"/>
            <w:r>
              <w:t>Reits</w:t>
            </w:r>
            <w:proofErr w:type="spellEnd"/>
            <w:r>
              <w:t xml:space="preserve"> - Stapled Sec</w:t>
            </w:r>
          </w:p>
        </w:tc>
        <w:tc>
          <w:tcPr>
            <w:tcW w:w="991" w:type="dxa"/>
          </w:tcPr>
          <w:p w:rsidR="00901FC4" w:rsidRDefault="00901FC4" w:rsidP="00454F7D">
            <w:pPr>
              <w:spacing w:after="0" w:line="240" w:lineRule="auto"/>
            </w:pPr>
            <w:r>
              <w:t>5235SS</w:t>
            </w:r>
          </w:p>
        </w:tc>
        <w:tc>
          <w:tcPr>
            <w:tcW w:w="2362" w:type="dxa"/>
          </w:tcPr>
          <w:p w:rsidR="00901FC4" w:rsidRDefault="00901FC4" w:rsidP="00454F7D">
            <w:pPr>
              <w:spacing w:after="0" w:line="240" w:lineRule="auto"/>
            </w:pPr>
            <w:r>
              <w:t>Real Estate Holding &amp; Development</w:t>
            </w:r>
          </w:p>
        </w:tc>
        <w:tc>
          <w:tcPr>
            <w:tcW w:w="1238" w:type="dxa"/>
          </w:tcPr>
          <w:p w:rsidR="00901FC4" w:rsidRDefault="00901FC4" w:rsidP="00454F7D">
            <w:pPr>
              <w:spacing w:after="0" w:line="240" w:lineRule="auto"/>
            </w:pPr>
            <w:r>
              <w:t>0.63</w:t>
            </w:r>
          </w:p>
        </w:tc>
        <w:tc>
          <w:tcPr>
            <w:tcW w:w="866" w:type="dxa"/>
          </w:tcPr>
          <w:p w:rsidR="00901FC4" w:rsidRDefault="00901FC4" w:rsidP="00454F7D">
            <w:pPr>
              <w:spacing w:after="0" w:line="240" w:lineRule="auto"/>
            </w:pPr>
            <w:r>
              <w:t>13.63</w:t>
            </w:r>
          </w:p>
        </w:tc>
        <w:tc>
          <w:tcPr>
            <w:tcW w:w="1852" w:type="dxa"/>
          </w:tcPr>
          <w:p w:rsidR="00901FC4" w:rsidRDefault="00901FC4" w:rsidP="00454F7D">
            <w:pPr>
              <w:spacing w:after="0" w:line="240" w:lineRule="auto"/>
            </w:pPr>
            <w:r>
              <w:t>12.637</w:t>
            </w:r>
          </w:p>
        </w:tc>
      </w:tr>
    </w:tbl>
    <w:p w:rsidR="00901FC4" w:rsidRDefault="00901FC4" w:rsidP="00901FC4"/>
    <w:p w:rsidR="00901FC4" w:rsidRDefault="00901FC4" w:rsidP="00901FC4">
      <w:r>
        <w:t xml:space="preserve">The information above was extracted on date 24/7/2015. </w:t>
      </w:r>
    </w:p>
    <w:p w:rsidR="00901FC4" w:rsidRDefault="00901FC4" w:rsidP="00901FC4"/>
    <w:p w:rsidR="00901FC4" w:rsidRPr="003E3E68" w:rsidRDefault="00901FC4" w:rsidP="00901FC4">
      <w:pPr>
        <w:rPr>
          <w:sz w:val="28"/>
          <w:szCs w:val="28"/>
          <w:u w:val="single"/>
        </w:rPr>
      </w:pPr>
      <w:r w:rsidRPr="003E3E68">
        <w:rPr>
          <w:sz w:val="28"/>
          <w:szCs w:val="28"/>
          <w:u w:val="single"/>
        </w:rPr>
        <w:t>Part 2</w:t>
      </w:r>
    </w:p>
    <w:p w:rsidR="00901FC4" w:rsidRDefault="00901FC4" w:rsidP="00901FC4">
      <w:r>
        <w:t>I have chosen Digi.com (code</w:t>
      </w:r>
      <w:proofErr w:type="gramStart"/>
      <w:r>
        <w:t>:6947</w:t>
      </w:r>
      <w:proofErr w:type="gramEnd"/>
      <w:r>
        <w:t xml:space="preserve">) </w:t>
      </w:r>
      <w:r>
        <w:rPr>
          <w:rFonts w:eastAsiaTheme="minorEastAsia"/>
          <w:lang w:eastAsia="zh-CN"/>
        </w:rPr>
        <w:t>and</w:t>
      </w:r>
      <w:r>
        <w:t xml:space="preserve"> downloaded its daily data within 01/01/2011 to 20</w:t>
      </w:r>
      <w:r>
        <w:rPr>
          <w:rFonts w:eastAsiaTheme="minorEastAsia"/>
          <w:lang w:eastAsia="zh-CN"/>
        </w:rPr>
        <w:t>/0</w:t>
      </w:r>
      <w:r>
        <w:t>7</w:t>
      </w:r>
      <w:r>
        <w:rPr>
          <w:rFonts w:eastAsiaTheme="minorEastAsia"/>
          <w:lang w:eastAsia="zh-CN"/>
        </w:rPr>
        <w:t xml:space="preserve">/2015 from </w:t>
      </w:r>
      <w:proofErr w:type="spellStart"/>
      <w:r>
        <w:rPr>
          <w:rFonts w:eastAsiaTheme="minorEastAsia"/>
          <w:lang w:eastAsia="zh-CN"/>
        </w:rPr>
        <w:t>Yahoo!Finance</w:t>
      </w:r>
      <w:proofErr w:type="spellEnd"/>
      <w:r>
        <w:rPr>
          <w:rFonts w:eastAsiaTheme="minorEastAsia"/>
          <w:lang w:eastAsia="zh-CN"/>
        </w:rPr>
        <w:t>.</w:t>
      </w:r>
      <w:r>
        <w:t xml:space="preserve"> The following is the output of 5-day moving average of </w:t>
      </w:r>
      <w:proofErr w:type="gramStart"/>
      <w:r>
        <w:t>Digi.com :</w:t>
      </w:r>
      <w:proofErr w:type="gramEnd"/>
    </w:p>
    <w:p w:rsidR="00901FC4" w:rsidRDefault="00901FC4" w:rsidP="00901FC4">
      <w:r>
        <w:rPr>
          <w:noProof/>
          <w:lang w:val="en-MY"/>
        </w:rPr>
        <w:lastRenderedPageBreak/>
        <w:drawing>
          <wp:inline distT="0" distB="0" distL="0" distR="0" wp14:anchorId="0F1DA3E9" wp14:editId="7F25DDCF">
            <wp:extent cx="4966832" cy="376005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C4" w:rsidRDefault="00901FC4" w:rsidP="00901FC4">
      <w:r>
        <w:t xml:space="preserve">The 5-day moving average is calculated by dividing the total 5-day closing prices of Digi.com by 5 with the help of </w:t>
      </w:r>
      <w:proofErr w:type="spellStart"/>
      <w:r>
        <w:t>pd.rolling_mean</w:t>
      </w:r>
      <w:proofErr w:type="spellEnd"/>
      <w:r>
        <w:t xml:space="preserve"> function. T</w:t>
      </w:r>
      <w:r w:rsidRPr="004B0139">
        <w:rPr>
          <w:rFonts w:eastAsiaTheme="minorEastAsia"/>
          <w:lang w:eastAsia="zh-CN"/>
        </w:rPr>
        <w:t>he daily data of FTSEKLCI</w:t>
      </w:r>
      <w:r>
        <w:t xml:space="preserve"> is also downloaded and correlation between Digi.com and FTSEKLCI is calculated.</w:t>
      </w:r>
    </w:p>
    <w:p w:rsidR="00901FC4" w:rsidRDefault="00901FC4" w:rsidP="00901FC4"/>
    <w:p w:rsidR="00901FC4" w:rsidRPr="00904E81" w:rsidRDefault="00901FC4" w:rsidP="00901FC4">
      <w:r w:rsidRPr="00904E81">
        <w:t xml:space="preserve">Correlation between Digi.com and FTSEKLCI:  </w:t>
      </w:r>
    </w:p>
    <w:p w:rsidR="00901FC4" w:rsidRPr="00904E81" w:rsidRDefault="00901FC4" w:rsidP="00901FC4">
      <w:r w:rsidRPr="00904E81">
        <w:t xml:space="preserve">          6947</w:t>
      </w:r>
      <w:proofErr w:type="gramStart"/>
      <w:r w:rsidRPr="00904E81">
        <w:t>.KL</w:t>
      </w:r>
      <w:proofErr w:type="gramEnd"/>
      <w:r w:rsidRPr="00904E81">
        <w:t xml:space="preserve">     ^KLSE</w:t>
      </w:r>
    </w:p>
    <w:p w:rsidR="00901FC4" w:rsidRPr="00904E81" w:rsidRDefault="00901FC4" w:rsidP="00901FC4">
      <w:r w:rsidRPr="00904E81">
        <w:t>6947</w:t>
      </w:r>
      <w:proofErr w:type="gramStart"/>
      <w:r w:rsidRPr="00904E81">
        <w:t>.KL</w:t>
      </w:r>
      <w:proofErr w:type="gramEnd"/>
      <w:r w:rsidRPr="00904E81">
        <w:t xml:space="preserve">  1.000000  0.832388</w:t>
      </w:r>
    </w:p>
    <w:p w:rsidR="00901FC4" w:rsidRDefault="00901FC4" w:rsidP="00901FC4">
      <w:r w:rsidRPr="00904E81">
        <w:t xml:space="preserve">^KLSE    </w:t>
      </w:r>
      <w:proofErr w:type="gramStart"/>
      <w:r w:rsidRPr="00904E81">
        <w:t>0.832388  1.000000</w:t>
      </w:r>
      <w:proofErr w:type="gramEnd"/>
    </w:p>
    <w:p w:rsidR="00901FC4" w:rsidRDefault="00901FC4" w:rsidP="00901FC4"/>
    <w:p w:rsidR="00901FC4" w:rsidRPr="00114CC7" w:rsidRDefault="00901FC4" w:rsidP="00901FC4"/>
    <w:p w:rsidR="00B56EF7" w:rsidRDefault="00B56EF7">
      <w:bookmarkStart w:id="0" w:name="_GoBack"/>
      <w:bookmarkEnd w:id="0"/>
    </w:p>
    <w:sectPr w:rsidR="00B5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901FC4"/>
    <w:rsid w:val="00B56EF7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8107E-38A7-47EB-A196-A5E52091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2015-07-13T01:39:00Z</dcterms:created>
  <dcterms:modified xsi:type="dcterms:W3CDTF">2015-07-26T20:48:00Z</dcterms:modified>
</cp:coreProperties>
</file>