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Dàn ý bài báo: Map với PI, PID</w:t>
      </w:r>
    </w:p>
    <w:p>
      <w:r>
        <w:rPr>
          <w:i/>
        </w:rPr>
        <w:t>Dàn ý, chưa lý luận sâu. Bài so sánh công bằng giữa bản đồ trợ lực Map và bộ hồi tiếp tuyến tính (PI, PID) trên cùng mô hình và cùng nhiễu cảm biến. SMC để dành cho luận văn.</w:t>
      </w:r>
    </w:p>
    <w:p>
      <w:pPr>
        <w:pStyle w:val="Heading2"/>
      </w:pPr>
      <w:r>
        <w:t>Đóng góp chính</w:t>
      </w:r>
    </w:p>
    <w:p>
      <w:pPr>
        <w:pStyle w:val="ListBullet"/>
      </w:pPr>
      <w:r>
        <w:t>Quy chuẩn đặt cổng trước khi chạy, có cổng chống rung (không bang-bang).</w:t>
      </w:r>
    </w:p>
    <w:p>
      <w:pPr>
        <w:pStyle w:val="ListBullet"/>
      </w:pPr>
      <w:r>
        <w:t>So cả mặt Pareto (đường đánh đổi giữa bám và êm), không chỉ một điểm.</w:t>
      </w:r>
    </w:p>
    <w:p>
      <w:pPr>
        <w:pStyle w:val="ListBullet"/>
      </w:pPr>
      <w:r>
        <w:t>Phân tích cộng hưởng cột lái khoảng 6.2 Hz giới hạn PI.</w:t>
      </w:r>
    </w:p>
    <w:p>
      <w:pPr>
        <w:pStyle w:val="Heading1"/>
      </w:pPr>
      <w:r>
        <w:t>I. Giới thiệu</w:t>
      </w:r>
    </w:p>
    <w:p>
      <w:pPr>
        <w:pStyle w:val="ListBullet"/>
      </w:pPr>
      <w:r>
        <w:t>Trợ lực thừa khi mu đổi; bản đồ trợ lực là thực hành chuẩn; thiếu so sánh công bằng với hồi tiếp dưới nhiễu cảm biến; ba đóng góp.</w:t>
      </w:r>
    </w:p>
    <w:p>
      <w:pPr>
        <w:pStyle w:val="Heading1"/>
      </w:pPr>
      <w:r>
        <w:t>II. Mô hình và giá trị đặt</w:t>
      </w:r>
    </w:p>
    <w:p>
      <w:pPr>
        <w:pStyle w:val="ListBullet"/>
      </w:pPr>
      <w:r>
        <w:t>PRSM tóm tắt: cột lái, lốp, 2-DOF, Actuator có T_a,max(v) và trễ 100 Hz, cảm biến có nhiễu và lượng tử; giá trị đặt T_d,ref(v, a_y).</w:t>
      </w:r>
    </w:p>
    <w:p>
      <w:pPr>
        <w:jc w:val="center"/>
      </w:pPr>
      <w:r>
        <w:drawing>
          <wp:inline xmlns:a="http://schemas.openxmlformats.org/drawingml/2006/main" xmlns:pic="http://schemas.openxmlformats.org/drawingml/2006/picture">
            <wp:extent cx="4320000" cy="3044667"/>
            <wp:docPr id="1" name="Picture 1"/>
            <wp:cNvGraphicFramePr>
              <a:graphicFrameLocks noChangeAspect="1"/>
            </wp:cNvGraphicFramePr>
            <a:graphic>
              <a:graphicData uri="http://schemas.openxmlformats.org/drawingml/2006/picture">
                <pic:pic>
                  <pic:nvPicPr>
                    <pic:cNvPr id="0" name="Reference_Tdref_table4_vs_ay_by_speed.png"/>
                    <pic:cNvPicPr/>
                  </pic:nvPicPr>
                  <pic:blipFill>
                    <a:blip r:embed="rId9"/>
                    <a:stretch>
                      <a:fillRect/>
                    </a:stretch>
                  </pic:blipFill>
                  <pic:spPr>
                    <a:xfrm>
                      <a:off x="0" y="0"/>
                      <a:ext cx="4320000" cy="3044667"/>
                    </a:xfrm>
                    <a:prstGeom prst="rect"/>
                  </pic:spPr>
                </pic:pic>
              </a:graphicData>
            </a:graphic>
          </wp:inline>
        </w:drawing>
      </w:r>
    </w:p>
    <w:p>
      <w:pPr>
        <w:jc w:val="center"/>
      </w:pPr>
      <w:r>
        <w:rPr>
          <w:i/>
        </w:rPr>
        <w:t>Hình 1: Bảng giá trị đặt T_d,ref</w:t>
      </w:r>
    </w:p>
    <w:p>
      <w:r>
        <w:rPr>
          <w:i/>
        </w:rPr>
        <w:t>[Chưa có] Sơ đồ khối vòng kín (vẽ tay).</w:t>
      </w:r>
    </w:p>
    <w:p>
      <w:pPr>
        <w:pStyle w:val="Heading1"/>
      </w:pPr>
      <w:r>
        <w:t>III. Quy chuẩn đánh giá</w:t>
      </w:r>
    </w:p>
    <w:p>
      <w:pPr>
        <w:pStyle w:val="ListBullet"/>
      </w:pPr>
      <w:r>
        <w:t>Ca TK và TC1-TC6; chỉ tiêu R, S, TV, e_rel, trợ lực thừa; cổng đặt trước (ổn định, PM &gt;= 45, GM &gt;= 2, không bang-bang, e_rel &lt;= 3 %); quy tắc chọn (R trong 5 % rồi S nhỏ nhất); seed local và seed chung 99999.</w:t>
      </w:r>
    </w:p>
    <w:p>
      <w:pPr>
        <w:pStyle w:val="Heading1"/>
      </w:pPr>
      <w:r>
        <w:t>IV. Các bộ điều khiển</w:t>
      </w:r>
    </w:p>
    <w:p>
      <w:pPr>
        <w:pStyle w:val="ListBullet"/>
      </w:pPr>
      <w:r>
        <w:t>Map: bản đồ M(v, |T_s|) + lead (z = 59.8, p = 1666 rad/s), K_max = 6.75, một tham số chỉnh.</w:t>
      </w:r>
    </w:p>
    <w:p>
      <w:pPr>
        <w:pStyle w:val="ListBullet"/>
      </w:pPr>
      <w:r>
        <w:t>PI: Kp = 1.25, Ki = 3 1/s (hai tham số chỉnh).</w:t>
      </w:r>
    </w:p>
    <w:p>
      <w:r>
        <w:rPr>
          <w:i/>
        </w:rPr>
        <w:t>[Chưa có] PID (Kp, Ki, Kd, Tf): chờ khung Linear.</w:t>
      </w:r>
    </w:p>
    <w:p>
      <w:pPr>
        <w:pStyle w:val="Heading1"/>
      </w:pPr>
      <w:r>
        <w:t>V. Kết quả</w:t>
      </w:r>
    </w:p>
    <w:p>
      <w:pPr>
        <w:pStyle w:val="ListBullet"/>
      </w:pPr>
      <w:r>
        <w:t>Phân tích cộng hưởng: tần số tự nhiên 39.7 rad/s (6.32 Hz), zeta 0.155; giới hạn băng thông PI.</w:t>
      </w:r>
    </w:p>
    <w:p>
      <w:pPr>
        <w:jc w:val="center"/>
      </w:pPr>
      <w:r>
        <w:drawing>
          <wp:inline xmlns:a="http://schemas.openxmlformats.org/drawingml/2006/main" xmlns:pic="http://schemas.openxmlformats.org/drawingml/2006/picture">
            <wp:extent cx="4320000" cy="3525658"/>
            <wp:docPr id="2" name="Picture 2"/>
            <wp:cNvGraphicFramePr>
              <a:graphicFrameLocks noChangeAspect="1"/>
            </wp:cNvGraphicFramePr>
            <a:graphic>
              <a:graphicData uri="http://schemas.openxmlformats.org/drawingml/2006/picture">
                <pic:pic>
                  <pic:nvPicPr>
                    <pic:cNvPr id="0" name="PI_stability_boundary.png"/>
                    <pic:cNvPicPr/>
                  </pic:nvPicPr>
                  <pic:blipFill>
                    <a:blip r:embed="rId10"/>
                    <a:stretch>
                      <a:fillRect/>
                    </a:stretch>
                  </pic:blipFill>
                  <pic:spPr>
                    <a:xfrm>
                      <a:off x="0" y="0"/>
                      <a:ext cx="4320000" cy="3525658"/>
                    </a:xfrm>
                    <a:prstGeom prst="rect"/>
                  </pic:spPr>
                </pic:pic>
              </a:graphicData>
            </a:graphic>
          </wp:inline>
        </w:drawing>
      </w:r>
    </w:p>
    <w:p>
      <w:pPr>
        <w:jc w:val="center"/>
      </w:pPr>
      <w:r>
        <w:rPr>
          <w:i/>
        </w:rPr>
        <w:t>Hình 2: Biên ổn định của PI</w:t>
      </w:r>
    </w:p>
    <w:p>
      <w:pPr>
        <w:jc w:val="center"/>
      </w:pPr>
      <w:r>
        <w:drawing>
          <wp:inline xmlns:a="http://schemas.openxmlformats.org/drawingml/2006/main" xmlns:pic="http://schemas.openxmlformats.org/drawingml/2006/picture">
            <wp:extent cx="4320000" cy="3051325"/>
            <wp:docPr id="3" name="Picture 3"/>
            <wp:cNvGraphicFramePr>
              <a:graphicFrameLocks noChangeAspect="1"/>
            </wp:cNvGraphicFramePr>
            <a:graphic>
              <a:graphicData uri="http://schemas.openxmlformats.org/drawingml/2006/picture">
                <pic:pic>
                  <pic:nvPicPr>
                    <pic:cNvPr id="0" name="PI_pareto_coarse.png"/>
                    <pic:cNvPicPr/>
                  </pic:nvPicPr>
                  <pic:blipFill>
                    <a:blip r:embed="rId11"/>
                    <a:stretch>
                      <a:fillRect/>
                    </a:stretch>
                  </pic:blipFill>
                  <pic:spPr>
                    <a:xfrm>
                      <a:off x="0" y="0"/>
                      <a:ext cx="4320000" cy="3051325"/>
                    </a:xfrm>
                    <a:prstGeom prst="rect"/>
                  </pic:spPr>
                </pic:pic>
              </a:graphicData>
            </a:graphic>
          </wp:inline>
        </w:drawing>
      </w:r>
    </w:p>
    <w:p>
      <w:pPr>
        <w:jc w:val="center"/>
      </w:pPr>
      <w:r>
        <w:rPr>
          <w:i/>
        </w:rPr>
        <w:t>Hình 3: Mặt Pareto sơ bộ của PI</w:t>
      </w:r>
    </w:p>
    <w:p>
      <w:pPr>
        <w:jc w:val="center"/>
      </w:pPr>
      <w:r>
        <w:drawing>
          <wp:inline xmlns:a="http://schemas.openxmlformats.org/drawingml/2006/main" xmlns:pic="http://schemas.openxmlformats.org/drawingml/2006/picture">
            <wp:extent cx="4320000" cy="3586600"/>
            <wp:docPr id="4" name="Picture 4"/>
            <wp:cNvGraphicFramePr>
              <a:graphicFrameLocks noChangeAspect="1"/>
            </wp:cNvGraphicFramePr>
            <a:graphic>
              <a:graphicData uri="http://schemas.openxmlformats.org/drawingml/2006/picture">
                <pic:pic>
                  <pic:nvPicPr>
                    <pic:cNvPr id="0" name="Map_step5_pareto_TK.png"/>
                    <pic:cNvPicPr/>
                  </pic:nvPicPr>
                  <pic:blipFill>
                    <a:blip r:embed="rId12"/>
                    <a:stretch>
                      <a:fillRect/>
                    </a:stretch>
                  </pic:blipFill>
                  <pic:spPr>
                    <a:xfrm>
                      <a:off x="0" y="0"/>
                      <a:ext cx="4320000" cy="3586600"/>
                    </a:xfrm>
                    <a:prstGeom prst="rect"/>
                  </pic:spPr>
                </pic:pic>
              </a:graphicData>
            </a:graphic>
          </wp:inline>
        </w:drawing>
      </w:r>
    </w:p>
    <w:p>
      <w:pPr>
        <w:jc w:val="center"/>
      </w:pPr>
      <w:r>
        <w:rPr>
          <w:i/>
        </w:rPr>
        <w:t>Hình 4: Mặt Pareto của Map (quét K)</w:t>
      </w:r>
    </w:p>
    <w:p>
      <w:r>
        <w:rPr>
          <w:i/>
        </w:rPr>
        <w:t>[Chưa có] Pareto chung Map, PI, PID cùng trục (cần PID và chọn lại theo cùng ca TK).</w:t>
      </w:r>
    </w:p>
    <w:p>
      <w:r>
        <w:rPr>
          <w:i/>
        </w:rPr>
        <w:t>Bảng 1: RMS e_T cả ca (N.m), seed 99999</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Ca</w:t>
            </w:r>
          </w:p>
        </w:tc>
        <w:tc>
          <w:tcPr>
            <w:tcW w:type="dxa" w:w="3135"/>
          </w:tcPr>
          <w:p>
            <w:r>
              <w:rPr>
                <w:b/>
                <w:sz w:val="20"/>
              </w:rPr>
              <w:t>Map</w:t>
            </w:r>
          </w:p>
        </w:tc>
        <w:tc>
          <w:tcPr>
            <w:tcW w:type="dxa" w:w="3135"/>
          </w:tcPr>
          <w:p>
            <w:r>
              <w:rPr>
                <w:b/>
                <w:sz w:val="20"/>
              </w:rPr>
              <w:t>PI</w:t>
            </w:r>
          </w:p>
        </w:tc>
      </w:tr>
      <w:tr>
        <w:tc>
          <w:tcPr>
            <w:tcW w:type="dxa" w:w="3135"/>
          </w:tcPr>
          <w:p>
            <w:r>
              <w:rPr>
                <w:sz w:val="20"/>
              </w:rPr>
              <w:t>TC1</w:t>
            </w:r>
          </w:p>
        </w:tc>
        <w:tc>
          <w:tcPr>
            <w:tcW w:type="dxa" w:w="3135"/>
          </w:tcPr>
          <w:p>
            <w:r>
              <w:rPr>
                <w:sz w:val="20"/>
              </w:rPr>
              <w:t>0.644</w:t>
            </w:r>
          </w:p>
        </w:tc>
        <w:tc>
          <w:tcPr>
            <w:tcW w:type="dxa" w:w="3135"/>
          </w:tcPr>
          <w:p>
            <w:r>
              <w:rPr>
                <w:sz w:val="20"/>
              </w:rPr>
              <w:t>0.485</w:t>
            </w:r>
          </w:p>
        </w:tc>
      </w:tr>
      <w:tr>
        <w:tc>
          <w:tcPr>
            <w:tcW w:type="dxa" w:w="3135"/>
          </w:tcPr>
          <w:p>
            <w:r>
              <w:rPr>
                <w:sz w:val="20"/>
              </w:rPr>
              <w:t>TC2</w:t>
            </w:r>
          </w:p>
        </w:tc>
        <w:tc>
          <w:tcPr>
            <w:tcW w:type="dxa" w:w="3135"/>
          </w:tcPr>
          <w:p>
            <w:r>
              <w:rPr>
                <w:sz w:val="20"/>
              </w:rPr>
              <w:t>0.837</w:t>
            </w:r>
          </w:p>
        </w:tc>
        <w:tc>
          <w:tcPr>
            <w:tcW w:type="dxa" w:w="3135"/>
          </w:tcPr>
          <w:p>
            <w:r>
              <w:rPr>
                <w:sz w:val="20"/>
              </w:rPr>
              <w:t>0.564</w:t>
            </w:r>
          </w:p>
        </w:tc>
      </w:tr>
      <w:tr>
        <w:tc>
          <w:tcPr>
            <w:tcW w:type="dxa" w:w="3135"/>
          </w:tcPr>
          <w:p>
            <w:r>
              <w:rPr>
                <w:sz w:val="20"/>
              </w:rPr>
              <w:t>TC3</w:t>
            </w:r>
          </w:p>
        </w:tc>
        <w:tc>
          <w:tcPr>
            <w:tcW w:type="dxa" w:w="3135"/>
          </w:tcPr>
          <w:p>
            <w:r>
              <w:rPr>
                <w:sz w:val="20"/>
              </w:rPr>
              <w:t>0.484</w:t>
            </w:r>
          </w:p>
        </w:tc>
        <w:tc>
          <w:tcPr>
            <w:tcW w:type="dxa" w:w="3135"/>
          </w:tcPr>
          <w:p>
            <w:r>
              <w:rPr>
                <w:sz w:val="20"/>
              </w:rPr>
              <w:t>0.25</w:t>
            </w:r>
          </w:p>
        </w:tc>
      </w:tr>
      <w:tr>
        <w:tc>
          <w:tcPr>
            <w:tcW w:type="dxa" w:w="3135"/>
          </w:tcPr>
          <w:p>
            <w:r>
              <w:rPr>
                <w:sz w:val="20"/>
              </w:rPr>
              <w:t>TC4</w:t>
            </w:r>
          </w:p>
        </w:tc>
        <w:tc>
          <w:tcPr>
            <w:tcW w:type="dxa" w:w="3135"/>
          </w:tcPr>
          <w:p>
            <w:r>
              <w:rPr>
                <w:sz w:val="20"/>
              </w:rPr>
              <w:t>0.866</w:t>
            </w:r>
          </w:p>
        </w:tc>
        <w:tc>
          <w:tcPr>
            <w:tcW w:type="dxa" w:w="3135"/>
          </w:tcPr>
          <w:p>
            <w:r>
              <w:rPr>
                <w:sz w:val="20"/>
              </w:rPr>
              <w:t>0.621</w:t>
            </w:r>
          </w:p>
        </w:tc>
      </w:tr>
      <w:tr>
        <w:tc>
          <w:tcPr>
            <w:tcW w:type="dxa" w:w="3135"/>
          </w:tcPr>
          <w:p>
            <w:r>
              <w:rPr>
                <w:sz w:val="20"/>
              </w:rPr>
              <w:t>TC5</w:t>
            </w:r>
          </w:p>
        </w:tc>
        <w:tc>
          <w:tcPr>
            <w:tcW w:type="dxa" w:w="3135"/>
          </w:tcPr>
          <w:p>
            <w:r>
              <w:rPr>
                <w:sz w:val="20"/>
              </w:rPr>
              <w:t>1.71</w:t>
            </w:r>
          </w:p>
        </w:tc>
        <w:tc>
          <w:tcPr>
            <w:tcW w:type="dxa" w:w="3135"/>
          </w:tcPr>
          <w:p>
            <w:r>
              <w:rPr>
                <w:sz w:val="20"/>
              </w:rPr>
              <w:t>0.805</w:t>
            </w:r>
          </w:p>
        </w:tc>
      </w:tr>
      <w:tr>
        <w:tc>
          <w:tcPr>
            <w:tcW w:type="dxa" w:w="3135"/>
          </w:tcPr>
          <w:p>
            <w:r>
              <w:rPr>
                <w:sz w:val="20"/>
              </w:rPr>
              <w:t>TC6</w:t>
            </w:r>
          </w:p>
        </w:tc>
        <w:tc>
          <w:tcPr>
            <w:tcW w:type="dxa" w:w="3135"/>
          </w:tcPr>
          <w:p>
            <w:r>
              <w:rPr>
                <w:sz w:val="20"/>
              </w:rPr>
              <w:t>0.0149</w:t>
            </w:r>
          </w:p>
        </w:tc>
        <w:tc>
          <w:tcPr>
            <w:tcW w:type="dxa" w:w="3135"/>
          </w:tcPr>
          <w:p>
            <w:r>
              <w:rPr>
                <w:sz w:val="20"/>
              </w:rPr>
              <w:t>0.0661</w:t>
            </w:r>
          </w:p>
        </w:tc>
      </w:tr>
    </w:tbl>
    <w:p/>
    <w:p>
      <w:r>
        <w:rPr>
          <w:i/>
        </w:rPr>
        <w:t>Bảng 2: TV của T_a cả ca (N.m/s), seed 99999</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Ca</w:t>
            </w:r>
          </w:p>
        </w:tc>
        <w:tc>
          <w:tcPr>
            <w:tcW w:type="dxa" w:w="3135"/>
          </w:tcPr>
          <w:p>
            <w:r>
              <w:rPr>
                <w:b/>
                <w:sz w:val="20"/>
              </w:rPr>
              <w:t>Map</w:t>
            </w:r>
          </w:p>
        </w:tc>
        <w:tc>
          <w:tcPr>
            <w:tcW w:type="dxa" w:w="3135"/>
          </w:tcPr>
          <w:p>
            <w:r>
              <w:rPr>
                <w:b/>
                <w:sz w:val="20"/>
              </w:rPr>
              <w:t>PI</w:t>
            </w:r>
          </w:p>
        </w:tc>
      </w:tr>
      <w:tr>
        <w:tc>
          <w:tcPr>
            <w:tcW w:type="dxa" w:w="3135"/>
          </w:tcPr>
          <w:p>
            <w:r>
              <w:rPr>
                <w:sz w:val="20"/>
              </w:rPr>
              <w:t>TC1</w:t>
            </w:r>
          </w:p>
        </w:tc>
        <w:tc>
          <w:tcPr>
            <w:tcW w:type="dxa" w:w="3135"/>
          </w:tcPr>
          <w:p>
            <w:r>
              <w:rPr>
                <w:sz w:val="20"/>
              </w:rPr>
              <w:t>325</w:t>
            </w:r>
          </w:p>
        </w:tc>
        <w:tc>
          <w:tcPr>
            <w:tcW w:type="dxa" w:w="3135"/>
          </w:tcPr>
          <w:p>
            <w:r>
              <w:rPr>
                <w:sz w:val="20"/>
              </w:rPr>
              <w:t>19.3</w:t>
            </w:r>
          </w:p>
        </w:tc>
      </w:tr>
      <w:tr>
        <w:tc>
          <w:tcPr>
            <w:tcW w:type="dxa" w:w="3135"/>
          </w:tcPr>
          <w:p>
            <w:r>
              <w:rPr>
                <w:sz w:val="20"/>
              </w:rPr>
              <w:t>TC2</w:t>
            </w:r>
          </w:p>
        </w:tc>
        <w:tc>
          <w:tcPr>
            <w:tcW w:type="dxa" w:w="3135"/>
          </w:tcPr>
          <w:p>
            <w:r>
              <w:rPr>
                <w:sz w:val="20"/>
              </w:rPr>
              <w:t>292</w:t>
            </w:r>
          </w:p>
        </w:tc>
        <w:tc>
          <w:tcPr>
            <w:tcW w:type="dxa" w:w="3135"/>
          </w:tcPr>
          <w:p>
            <w:r>
              <w:rPr>
                <w:sz w:val="20"/>
              </w:rPr>
              <w:t>28.2</w:t>
            </w:r>
          </w:p>
        </w:tc>
      </w:tr>
      <w:tr>
        <w:tc>
          <w:tcPr>
            <w:tcW w:type="dxa" w:w="3135"/>
          </w:tcPr>
          <w:p>
            <w:r>
              <w:rPr>
                <w:sz w:val="20"/>
              </w:rPr>
              <w:t>TC3</w:t>
            </w:r>
          </w:p>
        </w:tc>
        <w:tc>
          <w:tcPr>
            <w:tcW w:type="dxa" w:w="3135"/>
          </w:tcPr>
          <w:p>
            <w:r>
              <w:rPr>
                <w:sz w:val="20"/>
              </w:rPr>
              <w:t>477</w:t>
            </w:r>
          </w:p>
        </w:tc>
        <w:tc>
          <w:tcPr>
            <w:tcW w:type="dxa" w:w="3135"/>
          </w:tcPr>
          <w:p>
            <w:r>
              <w:rPr>
                <w:sz w:val="20"/>
              </w:rPr>
              <w:t>7.36</w:t>
            </w:r>
          </w:p>
        </w:tc>
      </w:tr>
      <w:tr>
        <w:tc>
          <w:tcPr>
            <w:tcW w:type="dxa" w:w="3135"/>
          </w:tcPr>
          <w:p>
            <w:r>
              <w:rPr>
                <w:sz w:val="20"/>
              </w:rPr>
              <w:t>TC4</w:t>
            </w:r>
          </w:p>
        </w:tc>
        <w:tc>
          <w:tcPr>
            <w:tcW w:type="dxa" w:w="3135"/>
          </w:tcPr>
          <w:p>
            <w:r>
              <w:rPr>
                <w:sz w:val="20"/>
              </w:rPr>
              <w:t>87.0</w:t>
            </w:r>
          </w:p>
        </w:tc>
        <w:tc>
          <w:tcPr>
            <w:tcW w:type="dxa" w:w="3135"/>
          </w:tcPr>
          <w:p>
            <w:r>
              <w:rPr>
                <w:sz w:val="20"/>
              </w:rPr>
              <w:t>40.9</w:t>
            </w:r>
          </w:p>
        </w:tc>
      </w:tr>
      <w:tr>
        <w:tc>
          <w:tcPr>
            <w:tcW w:type="dxa" w:w="3135"/>
          </w:tcPr>
          <w:p>
            <w:r>
              <w:rPr>
                <w:sz w:val="20"/>
              </w:rPr>
              <w:t>TC5</w:t>
            </w:r>
          </w:p>
        </w:tc>
        <w:tc>
          <w:tcPr>
            <w:tcW w:type="dxa" w:w="3135"/>
          </w:tcPr>
          <w:p>
            <w:r>
              <w:rPr>
                <w:sz w:val="20"/>
              </w:rPr>
              <w:t>243</w:t>
            </w:r>
          </w:p>
        </w:tc>
        <w:tc>
          <w:tcPr>
            <w:tcW w:type="dxa" w:w="3135"/>
          </w:tcPr>
          <w:p>
            <w:r>
              <w:rPr>
                <w:sz w:val="20"/>
              </w:rPr>
              <w:t>29.8</w:t>
            </w:r>
          </w:p>
        </w:tc>
      </w:tr>
      <w:tr>
        <w:tc>
          <w:tcPr>
            <w:tcW w:type="dxa" w:w="3135"/>
          </w:tcPr>
          <w:p>
            <w:r>
              <w:rPr>
                <w:sz w:val="20"/>
              </w:rPr>
              <w:t>TC6</w:t>
            </w:r>
          </w:p>
        </w:tc>
        <w:tc>
          <w:tcPr>
            <w:tcW w:type="dxa" w:w="3135"/>
          </w:tcPr>
          <w:p>
            <w:r>
              <w:rPr>
                <w:sz w:val="20"/>
              </w:rPr>
              <w:t>695</w:t>
            </w:r>
          </w:p>
        </w:tc>
        <w:tc>
          <w:tcPr>
            <w:tcW w:type="dxa" w:w="3135"/>
          </w:tcPr>
          <w:p>
            <w:r>
              <w:rPr>
                <w:sz w:val="20"/>
              </w:rPr>
              <w:t>7.66</w:t>
            </w:r>
          </w:p>
        </w:tc>
      </w:tr>
    </w:tbl>
    <w:p/>
    <w:p>
      <w:pPr>
        <w:jc w:val="center"/>
      </w:pPr>
      <w:r>
        <w:drawing>
          <wp:inline xmlns:a="http://schemas.openxmlformats.org/drawingml/2006/main" xmlns:pic="http://schemas.openxmlformats.org/drawingml/2006/picture">
            <wp:extent cx="5040000" cy="3915912"/>
            <wp:docPr id="5" name="Picture 5"/>
            <wp:cNvGraphicFramePr>
              <a:graphicFrameLocks noChangeAspect="1"/>
            </wp:cNvGraphicFramePr>
            <a:graphic>
              <a:graphicData uri="http://schemas.openxmlformats.org/drawingml/2006/picture">
                <pic:pic>
                  <pic:nvPicPr>
                    <pic:cNvPr id="0" name="Map_vs_PI_whole_case.png"/>
                    <pic:cNvPicPr/>
                  </pic:nvPicPr>
                  <pic:blipFill>
                    <a:blip r:embed="rId13"/>
                    <a:stretch>
                      <a:fillRect/>
                    </a:stretch>
                  </pic:blipFill>
                  <pic:spPr>
                    <a:xfrm>
                      <a:off x="0" y="0"/>
                      <a:ext cx="5040000" cy="3915912"/>
                    </a:xfrm>
                    <a:prstGeom prst="rect"/>
                  </pic:spPr>
                </pic:pic>
              </a:graphicData>
            </a:graphic>
          </wp:inline>
        </w:drawing>
      </w:r>
    </w:p>
    <w:p>
      <w:pPr>
        <w:jc w:val="center"/>
      </w:pPr>
      <w:r>
        <w:rPr>
          <w:i/>
        </w:rPr>
        <w:t>Hình 5: Map với PI: RMS e_T và TV theo ca</w:t>
      </w:r>
    </w:p>
    <w:p>
      <w:pPr>
        <w:jc w:val="center"/>
      </w:pPr>
      <w:r>
        <w:drawing>
          <wp:inline xmlns:a="http://schemas.openxmlformats.org/drawingml/2006/main" xmlns:pic="http://schemas.openxmlformats.org/drawingml/2006/picture">
            <wp:extent cx="5040000" cy="4022630"/>
            <wp:docPr id="6" name="Picture 6"/>
            <wp:cNvGraphicFramePr>
              <a:graphicFrameLocks noChangeAspect="1"/>
            </wp:cNvGraphicFramePr>
            <a:graphic>
              <a:graphicData uri="http://schemas.openxmlformats.org/drawingml/2006/picture">
                <pic:pic>
                  <pic:nvPicPr>
                    <pic:cNvPr id="0" name="Map_vs_PI_TC3_mu_drop_hard_corner_Ts_eT_Ta.png"/>
                    <pic:cNvPicPr/>
                  </pic:nvPicPr>
                  <pic:blipFill>
                    <a:blip r:embed="rId14"/>
                    <a:stretch>
                      <a:fillRect/>
                    </a:stretch>
                  </pic:blipFill>
                  <pic:spPr>
                    <a:xfrm>
                      <a:off x="0" y="0"/>
                      <a:ext cx="5040000" cy="4022630"/>
                    </a:xfrm>
                    <a:prstGeom prst="rect"/>
                  </pic:spPr>
                </pic:pic>
              </a:graphicData>
            </a:graphic>
          </wp:inline>
        </w:drawing>
      </w:r>
    </w:p>
    <w:p>
      <w:pPr>
        <w:jc w:val="center"/>
      </w:pPr>
      <w:r>
        <w:rPr>
          <w:i/>
        </w:rPr>
        <w:t>Hình 6: TC3 (mu giảm trong cua gắt): T_s, e_T, T_a</w:t>
      </w:r>
    </w:p>
    <w:p>
      <w:pPr>
        <w:jc w:val="center"/>
      </w:pPr>
      <w:r>
        <w:drawing>
          <wp:inline xmlns:a="http://schemas.openxmlformats.org/drawingml/2006/main" xmlns:pic="http://schemas.openxmlformats.org/drawingml/2006/picture">
            <wp:extent cx="5040000" cy="4022630"/>
            <wp:docPr id="7" name="Picture 7"/>
            <wp:cNvGraphicFramePr>
              <a:graphicFrameLocks noChangeAspect="1"/>
            </wp:cNvGraphicFramePr>
            <a:graphic>
              <a:graphicData uri="http://schemas.openxmlformats.org/drawingml/2006/picture">
                <pic:pic>
                  <pic:nvPicPr>
                    <pic:cNvPr id="0" name="Map_vs_PI_TC4_wet_patch_lane_change_Ts_eT_Ta.png"/>
                    <pic:cNvPicPr/>
                  </pic:nvPicPr>
                  <pic:blipFill>
                    <a:blip r:embed="rId15"/>
                    <a:stretch>
                      <a:fillRect/>
                    </a:stretch>
                  </pic:blipFill>
                  <pic:spPr>
                    <a:xfrm>
                      <a:off x="0" y="0"/>
                      <a:ext cx="5040000" cy="4022630"/>
                    </a:xfrm>
                    <a:prstGeom prst="rect"/>
                  </pic:spPr>
                </pic:pic>
              </a:graphicData>
            </a:graphic>
          </wp:inline>
        </w:drawing>
      </w:r>
    </w:p>
    <w:p>
      <w:pPr>
        <w:jc w:val="center"/>
      </w:pPr>
      <w:r>
        <w:rPr>
          <w:i/>
        </w:rPr>
        <w:t>Hình 7: TC4 (vũng ướt, đổi làn): T_s, e_T, T_a</w:t>
      </w:r>
    </w:p>
    <w:p>
      <w:r>
        <w:rPr>
          <w:i/>
        </w:rPr>
        <w:t>Bảng 3: TC3: sai số trung bình e_T theo % của T_d,ref theo cửa sổ (âm = trợ lực thừa)</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Cửa sổ</w:t>
            </w:r>
          </w:p>
        </w:tc>
        <w:tc>
          <w:tcPr>
            <w:tcW w:type="dxa" w:w="3135"/>
          </w:tcPr>
          <w:p>
            <w:r>
              <w:rPr>
                <w:b/>
                <w:sz w:val="20"/>
              </w:rPr>
              <w:t>Map</w:t>
            </w:r>
          </w:p>
        </w:tc>
        <w:tc>
          <w:tcPr>
            <w:tcW w:type="dxa" w:w="3135"/>
          </w:tcPr>
          <w:p>
            <w:r>
              <w:rPr>
                <w:b/>
                <w:sz w:val="20"/>
              </w:rPr>
              <w:t>PI</w:t>
            </w:r>
          </w:p>
        </w:tc>
      </w:tr>
      <w:tr>
        <w:tc>
          <w:tcPr>
            <w:tcW w:type="dxa" w:w="3135"/>
          </w:tcPr>
          <w:p>
            <w:r>
              <w:rPr>
                <w:sz w:val="20"/>
              </w:rPr>
              <w:t>after_mu_drop_steady</w:t>
            </w:r>
          </w:p>
        </w:tc>
        <w:tc>
          <w:tcPr>
            <w:tcW w:type="dxa" w:w="3135"/>
          </w:tcPr>
          <w:p>
            <w:r>
              <w:rPr>
                <w:sz w:val="20"/>
              </w:rPr>
              <w:t>-14.1</w:t>
            </w:r>
          </w:p>
        </w:tc>
        <w:tc>
          <w:tcPr>
            <w:tcW w:type="dxa" w:w="3135"/>
          </w:tcPr>
          <w:p>
            <w:r>
              <w:rPr>
                <w:sz w:val="20"/>
              </w:rPr>
              <w:t>-0.0718</w:t>
            </w:r>
          </w:p>
        </w:tc>
      </w:tr>
      <w:tr>
        <w:tc>
          <w:tcPr>
            <w:tcW w:type="dxa" w:w="3135"/>
          </w:tcPr>
          <w:p>
            <w:r>
              <w:rPr>
                <w:sz w:val="20"/>
              </w:rPr>
              <w:t>before_mu_drop</w:t>
            </w:r>
          </w:p>
        </w:tc>
        <w:tc>
          <w:tcPr>
            <w:tcW w:type="dxa" w:w="3135"/>
          </w:tcPr>
          <w:p>
            <w:r>
              <w:rPr>
                <w:sz w:val="20"/>
              </w:rPr>
              <w:t>17.3</w:t>
            </w:r>
          </w:p>
        </w:tc>
        <w:tc>
          <w:tcPr>
            <w:tcW w:type="dxa" w:w="3135"/>
          </w:tcPr>
          <w:p>
            <w:r>
              <w:rPr>
                <w:sz w:val="20"/>
              </w:rPr>
              <w:t>-1.17</w:t>
            </w:r>
          </w:p>
        </w:tc>
      </w:tr>
    </w:tbl>
    <w:p/>
    <w:p>
      <w:r>
        <w:rPr>
          <w:i/>
        </w:rPr>
        <w:t>Bảng 4: TC4: sai số trung bình e_T theo % của T_d,ref trong vũng nước (âm = trợ lực thừa)</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20"/>
              </w:rPr>
              <w:t>Cửa sổ</w:t>
            </w:r>
          </w:p>
        </w:tc>
        <w:tc>
          <w:tcPr>
            <w:tcW w:type="dxa" w:w="3135"/>
          </w:tcPr>
          <w:p>
            <w:r>
              <w:rPr>
                <w:b/>
                <w:sz w:val="20"/>
              </w:rPr>
              <w:t>Map</w:t>
            </w:r>
          </w:p>
        </w:tc>
        <w:tc>
          <w:tcPr>
            <w:tcW w:type="dxa" w:w="3135"/>
          </w:tcPr>
          <w:p>
            <w:r>
              <w:rPr>
                <w:b/>
                <w:sz w:val="20"/>
              </w:rPr>
              <w:t>PI</w:t>
            </w:r>
          </w:p>
        </w:tc>
      </w:tr>
      <w:tr>
        <w:tc>
          <w:tcPr>
            <w:tcW w:type="dxa" w:w="3135"/>
          </w:tcPr>
          <w:p>
            <w:r>
              <w:rPr>
                <w:sz w:val="20"/>
              </w:rPr>
              <w:t>during_puddle</w:t>
            </w:r>
          </w:p>
        </w:tc>
        <w:tc>
          <w:tcPr>
            <w:tcW w:type="dxa" w:w="3135"/>
          </w:tcPr>
          <w:p>
            <w:r>
              <w:rPr>
                <w:sz w:val="20"/>
              </w:rPr>
              <w:t>-83.5</w:t>
            </w:r>
          </w:p>
        </w:tc>
        <w:tc>
          <w:tcPr>
            <w:tcW w:type="dxa" w:w="3135"/>
          </w:tcPr>
          <w:p>
            <w:r>
              <w:rPr>
                <w:sz w:val="20"/>
              </w:rPr>
              <w:t>-56.4</w:t>
            </w:r>
          </w:p>
        </w:tc>
      </w:tr>
    </w:tbl>
    <w:p/>
    <w:p>
      <w:r>
        <w:t>Nhận xét hiện có: PI bám tốt hơn và êm hơn Map ở 5 trên 6 ca. Chưa là kết luận cuối: chưa so mặt Pareto chung, chưa có PID, e_rel của Map trên ca TK là 57.1 % (vượt ngưỡng 3 %).</w:t>
      </w:r>
    </w:p>
    <w:p>
      <w:pPr>
        <w:pStyle w:val="Heading1"/>
      </w:pPr>
      <w:r>
        <w:t>VI. Thảo luận và hạn chế</w:t>
      </w:r>
    </w:p>
    <w:p>
      <w:pPr>
        <w:pStyle w:val="ListBullet"/>
      </w:pPr>
      <w:r>
        <w:t>Giới hạn Actuator ở TC1 (đỉnh |e_T| là do T_a chạm T_a,max, không phải lỗi bộ điều khiển); mô phỏng thuần; nhiễu tự chọn; chưa có động học vòng dòng motor.</w:t>
      </w:r>
    </w:p>
    <w:p>
      <w:pPr>
        <w:pStyle w:val="Heading1"/>
      </w:pPr>
      <w:r>
        <w:t>VII. Kết luận</w:t>
      </w:r>
    </w:p>
    <w:p>
      <w:r>
        <w:rPr>
          <w:i/>
        </w:rPr>
        <w:t>[Chưa có] Viết sau khi có PID và Pareto chung.</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