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6"/>
        </w:rPr>
        <w:t>BỘ GIÁO DỤC VÀ ĐÀO TẠO — TRƯỜNG ĐẠI HỌC KỸ THUẬT</w:t>
        <w:br/>
      </w:r>
      <w:r>
        <w:rPr>
          <w:b/>
          <w:color w:val="1B365D"/>
          <w:sz w:val="28"/>
        </w:rPr>
        <w:t>KHOA CÔNG NGHỆ THÔNG TIN</w:t>
        <w:br/>
      </w:r>
      <w:r>
        <w:rPr>
          <w:i/>
          <w:sz w:val="22"/>
        </w:rPr>
        <w:t>PHÒNG THÍ NGHIỆM SINH TIN HỌC &amp; TÍNH TOÁN Y SINH</w:t>
      </w:r>
    </w:p>
    <w:p>
      <w:pPr>
        <w:spacing w:after="280"/>
        <w:jc w:val="center"/>
      </w:pPr>
      <w:r>
        <w:rPr>
          <w:color w:val="999999"/>
        </w:rPr>
        <w:t>━━━━━━━━━━━━━━━━━━━━━━━━━━━━━━━━━━━━━━━━</w:t>
      </w:r>
    </w:p>
    <w:p>
      <w:pPr>
        <w:spacing w:before="160" w:after="120"/>
        <w:jc w:val="center"/>
      </w:pPr>
      <w:r>
        <w:rPr>
          <w:b/>
          <w:color w:val="BA1B1D"/>
          <w:sz w:val="32"/>
        </w:rPr>
        <w:t>ĐỀ CƯƠNG NGHIÊN CỨU KHOA HỌC SINH VIÊN</w:t>
        <w:br/>
      </w:r>
      <w:r>
        <w:rPr>
          <w:b/>
          <w:color w:val="1B365D"/>
          <w:sz w:val="28"/>
        </w:rPr>
        <w:t>MÔ PHỎNG TIẾN TRIỂN BỆNH PARKINSON TRÊN DROSOPHILA MELANOGASTER BẰNG HỆ THỐNG SINH HỌC TÍNH TOÁN: TÁI HIỆN VÀ XÁC NHẬN KIỂU HÌNH VẬN ĐỘNG THEO THANG ĐỊNH LƯỢNG Y VĂN</w:t>
      </w:r>
    </w:p>
    <w:tbl>
      <w:tblPr>
        <w:tblW w:type="auto" w:w="0"/>
        <w:jc w:val="center"/>
        <w:tblLayout w:type="fixed"/>
        <w:tblLook w:firstColumn="1" w:firstRow="1" w:lastColumn="0" w:lastRow="0" w:noHBand="0" w:noVBand="1" w:val="04A0"/>
      </w:tblPr>
      <w:tblGrid>
        <w:gridCol w:w="4752"/>
        <w:gridCol w:w="4752"/>
      </w:tblGrid>
      <w:tr>
        <w:tc>
          <w:tcPr>
            <w:tcW w:type="dxa" w:w="3168"/>
            <w:shd w:fill="F2F5F8"/>
            <w:tcMar>
              <w:top w:w="60" w:type="dxa"/>
              <w:bottom w:w="60" w:type="dxa"/>
              <w:left w:w="100" w:type="dxa"/>
              <w:right w:w="100" w:type="dxa"/>
            </w:tcMar>
          </w:tcPr>
          <w:p>
            <w:pPr>
              <w:jc w:val="right"/>
            </w:pPr>
            <w:r>
              <w:rPr>
                <w:b/>
                <w:sz w:val="22"/>
              </w:rPr>
              <w:t>Lĩnh vực nghiên cứu:</w:t>
            </w:r>
          </w:p>
        </w:tc>
        <w:tc>
          <w:tcPr>
            <w:tcW w:type="dxa" w:w="6480"/>
            <w:tcMar>
              <w:top w:w="60" w:type="dxa"/>
              <w:bottom w:w="60" w:type="dxa"/>
              <w:left w:w="100" w:type="dxa"/>
              <w:right w:w="100" w:type="dxa"/>
            </w:tcMar>
          </w:tcPr>
          <w:p>
            <w:r>
              <w:rPr>
                <w:sz w:val="22"/>
              </w:rPr>
              <w:t>Neuroscience tính toán / Cơ sinh học vận động / Sinh tin học</w:t>
            </w:r>
          </w:p>
        </w:tc>
      </w:tr>
      <w:tr>
        <w:tc>
          <w:tcPr>
            <w:tcW w:type="dxa" w:w="3168"/>
            <w:shd w:fill="F2F5F8"/>
            <w:tcMar>
              <w:top w:w="60" w:type="dxa"/>
              <w:bottom w:w="60" w:type="dxa"/>
              <w:left w:w="100" w:type="dxa"/>
              <w:right w:w="100" w:type="dxa"/>
            </w:tcMar>
          </w:tcPr>
          <w:p>
            <w:pPr>
              <w:jc w:val="right"/>
            </w:pPr>
            <w:r>
              <w:rPr>
                <w:b/>
                <w:sz w:val="22"/>
              </w:rPr>
              <w:t>Nhóm sinh viên thực hiện:</w:t>
            </w:r>
          </w:p>
        </w:tc>
        <w:tc>
          <w:tcPr>
            <w:tcW w:type="dxa" w:w="6480"/>
            <w:tcMar>
              <w:top w:w="60" w:type="dxa"/>
              <w:bottom w:w="60" w:type="dxa"/>
              <w:left w:w="100" w:type="dxa"/>
              <w:right w:w="100" w:type="dxa"/>
            </w:tcMar>
          </w:tcPr>
          <w:p>
            <w:r>
              <w:rPr>
                <w:sz w:val="22"/>
              </w:rPr>
              <w:t>Nhóm Nghiên cứu Sinh thái &amp; Tính toán Thần kinh (SV Năm 3 - 4)</w:t>
            </w:r>
          </w:p>
        </w:tc>
      </w:tr>
      <w:tr>
        <w:tc>
          <w:tcPr>
            <w:tcW w:type="dxa" w:w="3168"/>
            <w:shd w:fill="F2F5F8"/>
            <w:tcMar>
              <w:top w:w="60" w:type="dxa"/>
              <w:bottom w:w="60" w:type="dxa"/>
              <w:left w:w="100" w:type="dxa"/>
              <w:right w:w="100" w:type="dxa"/>
            </w:tcMar>
          </w:tcPr>
          <w:p>
            <w:pPr>
              <w:jc w:val="right"/>
            </w:pPr>
            <w:r>
              <w:rPr>
                <w:b/>
                <w:sz w:val="22"/>
              </w:rPr>
              <w:t>Giảng viên hướng dẫn:</w:t>
            </w:r>
          </w:p>
        </w:tc>
        <w:tc>
          <w:tcPr>
            <w:tcW w:type="dxa" w:w="6480"/>
            <w:tcMar>
              <w:top w:w="60" w:type="dxa"/>
              <w:bottom w:w="60" w:type="dxa"/>
              <w:left w:w="100" w:type="dxa"/>
              <w:right w:w="100" w:type="dxa"/>
            </w:tcMar>
          </w:tcPr>
          <w:p>
            <w:r>
              <w:rPr>
                <w:sz w:val="22"/>
              </w:rPr>
              <w:t>TS. GVHD chuyên ngành Trí tuệ Nhân tạo &amp; Y sinh</w:t>
            </w:r>
          </w:p>
        </w:tc>
      </w:tr>
      <w:tr>
        <w:tc>
          <w:tcPr>
            <w:tcW w:type="dxa" w:w="3168"/>
            <w:shd w:fill="F2F5F8"/>
            <w:tcMar>
              <w:top w:w="60" w:type="dxa"/>
              <w:bottom w:w="60" w:type="dxa"/>
              <w:left w:w="100" w:type="dxa"/>
              <w:right w:w="100" w:type="dxa"/>
            </w:tcMar>
          </w:tcPr>
          <w:p>
            <w:pPr>
              <w:jc w:val="right"/>
            </w:pPr>
            <w:r>
              <w:rPr>
                <w:b/>
                <w:sz w:val="22"/>
              </w:rPr>
              <w:t>Thời gian thực hiện:</w:t>
            </w:r>
          </w:p>
        </w:tc>
        <w:tc>
          <w:tcPr>
            <w:tcW w:type="dxa" w:w="6480"/>
            <w:tcMar>
              <w:top w:w="60" w:type="dxa"/>
              <w:bottom w:w="60" w:type="dxa"/>
              <w:left w:w="100" w:type="dxa"/>
              <w:right w:w="100" w:type="dxa"/>
            </w:tcMar>
          </w:tcPr>
          <w:p>
            <w:r>
              <w:rPr>
                <w:sz w:val="22"/>
              </w:rPr>
              <w:t>08 tháng (32 tuần) — Dự kiến nghiệm thu đợt 1</w:t>
            </w:r>
          </w:p>
        </w:tc>
      </w:tr>
      <w:tr>
        <w:tc>
          <w:tcPr>
            <w:tcW w:type="dxa" w:w="3168"/>
            <w:shd w:fill="F2F5F8"/>
            <w:tcMar>
              <w:top w:w="60" w:type="dxa"/>
              <w:bottom w:w="60" w:type="dxa"/>
              <w:left w:w="100" w:type="dxa"/>
              <w:right w:w="100" w:type="dxa"/>
            </w:tcMar>
          </w:tcPr>
          <w:p>
            <w:pPr>
              <w:jc w:val="right"/>
            </w:pPr>
            <w:r>
              <w:rPr>
                <w:b/>
                <w:sz w:val="22"/>
              </w:rPr>
              <w:t>Trạng thái đề cương:</w:t>
            </w:r>
          </w:p>
        </w:tc>
        <w:tc>
          <w:tcPr>
            <w:tcW w:type="dxa" w:w="6480"/>
            <w:tcMar>
              <w:top w:w="60" w:type="dxa"/>
              <w:bottom w:w="60" w:type="dxa"/>
              <w:left w:w="100" w:type="dxa"/>
              <w:right w:w="100" w:type="dxa"/>
            </w:tcMar>
          </w:tcPr>
          <w:p>
            <w:r>
              <w:rPr>
                <w:sz w:val="22"/>
              </w:rPr>
              <w:t>Phiên bản 2.0 (Đã hoàn thiện sau phản biện hội đồng)</w:t>
            </w:r>
          </w:p>
        </w:tc>
      </w:tr>
    </w:tbl>
    <w:p>
      <w:pPr>
        <w:spacing w:after="200"/>
      </w:pPr>
    </w:p>
    <w:p>
      <w:pPr>
        <w:pStyle w:val="Heading1"/>
        <w:keepNext/>
        <w:spacing w:before="280" w:after="120"/>
      </w:pPr>
      <w:r>
        <w:rPr>
          <w:rFonts w:ascii="Times New Roman" w:hAnsi="Times New Roman"/>
          <w:b/>
          <w:color w:val="1B365D"/>
          <w:sz w:val="30"/>
        </w:rPr>
        <w:t>1. TÊN ĐỀ TÀI</w:t>
      </w:r>
    </w:p>
    <w:p>
      <w:pPr>
        <w:spacing w:before="0" w:after="100" w:line="288" w:lineRule="auto"/>
        <w:jc w:val="both"/>
      </w:pPr>
      <w:r>
        <w:rPr>
          <w:rFonts w:ascii="Times New Roman" w:hAnsi="Times New Roman"/>
          <w:b/>
          <w:color w:val="222222"/>
          <w:sz w:val="24"/>
        </w:rPr>
        <w:t xml:space="preserve">Tên chính thức (18 từ): </w:t>
      </w:r>
      <w:r>
        <w:rPr>
          <w:rFonts w:ascii="Times New Roman" w:hAnsi="Times New Roman"/>
          <w:i w:val="0"/>
          <w:color w:val="222222"/>
          <w:sz w:val="24"/>
        </w:rPr>
        <w:t>Mô phỏng Tiến triển Bệnh Parkinson trên Drosophila melanogaster bằng Hệ thống Sinh học Tính toán: Tái hiện và Xác nhận Kiểu hình Vận động theo Thang Định lượng Y văn</w:t>
      </w:r>
    </w:p>
    <w:p>
      <w:pPr>
        <w:spacing w:before="0" w:after="100" w:line="288" w:lineRule="auto"/>
        <w:jc w:val="both"/>
      </w:pPr>
      <w:r>
        <w:rPr>
          <w:rFonts w:ascii="Times New Roman" w:hAnsi="Times New Roman"/>
          <w:b/>
          <w:color w:val="222222"/>
          <w:sz w:val="24"/>
        </w:rPr>
        <w:t xml:space="preserve">Phân tích cấu trúc danh pháp: </w:t>
      </w:r>
      <w:r>
        <w:rPr>
          <w:rFonts w:ascii="Times New Roman" w:hAnsi="Times New Roman"/>
          <w:i/>
          <w:color w:val="222222"/>
          <w:sz w:val="24"/>
        </w:rPr>
        <w:t>(1) Đối tượng: Sinh vật mô hình Drosophila melanogaster (ruồi giấm) trong bệnh lý Parkinson; (2) Phương pháp: Mô hình hóa cơ chế nơ-ron Leaky Integrate-and-Fire kết hợp điều khiển CPG và mô phỏng động lực học vật lý cơ sinh học 3D (NeuroMechFly/FlyGym); (3) Phạm vi: 7 mô hình đột biến gen và chuỗi tiến triển thoái hóa 30 ngày, xác nhận định lượng với y văn quốc tế.</w:t>
      </w:r>
    </w:p>
    <w:p>
      <w:pPr>
        <w:pStyle w:val="Heading1"/>
        <w:keepNext/>
        <w:spacing w:before="280" w:after="120"/>
      </w:pPr>
      <w:r>
        <w:rPr>
          <w:rFonts w:ascii="Times New Roman" w:hAnsi="Times New Roman"/>
          <w:b/>
          <w:color w:val="1B365D"/>
          <w:sz w:val="30"/>
        </w:rPr>
        <w:t>2. LÝ DO CHỌN ĐỀ TÀI / TÍNH CẤP THIẾT</w:t>
      </w:r>
    </w:p>
    <w:p>
      <w:pPr>
        <w:pStyle w:val="Heading2"/>
        <w:keepNext/>
        <w:spacing w:before="200" w:after="120"/>
      </w:pPr>
      <w:r>
        <w:rPr>
          <w:rFonts w:ascii="Times New Roman" w:hAnsi="Times New Roman"/>
          <w:b/>
          <w:color w:val="2B547E"/>
          <w:sz w:val="26"/>
        </w:rPr>
        <w:t>2.1 Bối cảnh thực tế và số liệu dịch tễ học</w:t>
      </w:r>
    </w:p>
    <w:p>
      <w:pPr>
        <w:spacing w:before="0" w:after="100" w:line="288" w:lineRule="auto"/>
        <w:jc w:val="both"/>
      </w:pPr>
      <w:r>
        <w:rPr>
          <w:rFonts w:ascii="Times New Roman" w:hAnsi="Times New Roman"/>
          <w:i w:val="0"/>
          <w:color w:val="222222"/>
          <w:sz w:val="24"/>
        </w:rPr>
        <w:t>Bệnh Parkinson (Parkinson's Disease - PD) là rối loạn thoái hóa thần kinh có tốc độ gia tăng nhanh nhất toàn cầu, hiện ảnh hưởng đến hơn 10 triệu người (Parkinson's Foundation, 2024). Theo phân tích gánh nặng bệnh tật Global Burden of Disease (GBD) Study 2021 được công bố trên The Lancet Neurology (2024), các quốc gia đang phát triển tại châu Á chịu áp lực rất lớn do tốc độ già hóa dân số tăng nhanh. Tại Việt Nam, các ước tính dịch tễ học chỉ ra khoảng 85.000 người đang chung sống với bệnh Parkinson. Các nghiên cứu lâm sàng và di truyền học năm 2023 trên bệnh nhân Parkinson khởi phát sớm tại Việt Nam đã xác định các đột biến gây bệnh chủ chốt trên các gen LRRK2, PRKN, và GBA.</w:t>
      </w:r>
    </w:p>
    <w:p>
      <w:pPr>
        <w:spacing w:before="0" w:after="100" w:line="288" w:lineRule="auto"/>
        <w:jc w:val="both"/>
      </w:pPr>
      <w:r>
        <w:rPr>
          <w:rFonts w:ascii="Times New Roman" w:hAnsi="Times New Roman"/>
          <w:i w:val="0"/>
          <w:color w:val="222222"/>
          <w:sz w:val="24"/>
        </w:rPr>
        <w:t>Để nghiên cứu cơ chế bệnh sinh và sàng lọc liệu pháp, ruồi giấm (Drosophila melanogaster) được sử dụng rộng rãi nhờ sở hữu khoảng 75% gen gây bệnh ở người có gen tương đồng chức năng (homolog), mạng lưới nơ-ron Dopamine được lập bản đồ chi tiết và vòng đời trưởng thành ngắn (30 ngày). Tuy nhiên, các đợt thực nghiệm sinh học truyền thống trên ruồi thật gặp phải 3 rào cản nghiêm trọng: (1) Chi phí và thời gian kéo dài (2–6 tháng nuôi cấy); (2) Độ biến thiên lớn giữa các phòng lab do điều kiện nuôi dưỡng khác biệt; (3) Khó khăn trong việc đo lường đồng thời động cơ học 3D đa khớp và phân đoạn bước chân.</w:t>
      </w:r>
    </w:p>
    <w:p>
      <w:pPr>
        <w:pStyle w:val="Heading2"/>
        <w:keepNext/>
        <w:spacing w:before="200" w:after="120"/>
      </w:pPr>
      <w:r>
        <w:rPr>
          <w:rFonts w:ascii="Times New Roman" w:hAnsi="Times New Roman"/>
          <w:b/>
          <w:color w:val="2B547E"/>
          <w:sz w:val="26"/>
        </w:rPr>
        <w:t>2.2 Khoảng trống nghiên cứu (Systematic Gap Identification)</w:t>
      </w:r>
    </w:p>
    <w:p>
      <w:pPr>
        <w:spacing w:before="0" w:after="100" w:line="288" w:lineRule="auto"/>
        <w:jc w:val="both"/>
      </w:pPr>
      <w:r>
        <w:rPr>
          <w:rFonts w:ascii="Times New Roman" w:hAnsi="Times New Roman"/>
          <w:i w:val="0"/>
          <w:color w:val="222222"/>
          <w:sz w:val="24"/>
        </w:rPr>
        <w:t>Khảo sát có hệ thống trên PubMed, IEEE Xplore, Scopus và Semantic Scholar với các từ khóa ['Parkinson Drosophila computational simulation locomotion'] trong giai đoạn 2010–08/2026 xác nhận chưa có bất kỳ công trình nào giải quyết đồng thời 3 khoảng trống sau:</w:t>
      </w:r>
    </w:p>
    <w:p>
      <w:pPr>
        <w:pStyle w:val="ListBullet"/>
        <w:spacing w:before="0" w:after="60" w:line="276" w:lineRule="auto"/>
        <w:jc w:val="both"/>
      </w:pPr>
      <w:r>
        <w:rPr>
          <w:rFonts w:ascii="Times New Roman" w:hAnsi="Times New Roman"/>
          <w:b/>
          <w:sz w:val="24"/>
        </w:rPr>
        <w:t xml:space="preserve">Gap 1 (Thiếu cầu nối đa tầng): </w:t>
      </w:r>
      <w:r>
        <w:rPr>
          <w:rFonts w:ascii="Times New Roman" w:hAnsi="Times New Roman"/>
          <w:sz w:val="24"/>
        </w:rPr>
        <w:t>Chưa có hệ thống tính toán nào tích hợp liền mạch từ tổn thương nơ-ron Dopamine mức phân tử đến mô hình LIF, điều biến máy phát mẫu trung tâm (CPG) và dẫn truyền tới 42 khớp cơ thể học 3D hoàn chỉnh.</w:t>
      </w:r>
    </w:p>
    <w:p>
      <w:pPr>
        <w:pStyle w:val="ListBullet"/>
        <w:spacing w:before="0" w:after="60" w:line="276" w:lineRule="auto"/>
        <w:jc w:val="both"/>
      </w:pPr>
      <w:r>
        <w:rPr>
          <w:rFonts w:ascii="Times New Roman" w:hAnsi="Times New Roman"/>
          <w:b/>
          <w:sz w:val="24"/>
        </w:rPr>
        <w:t xml:space="preserve">Gap 2 (Thiếu xác nhận định lượng y văn): </w:t>
      </w:r>
      <w:r>
        <w:rPr>
          <w:rFonts w:ascii="Times New Roman" w:hAnsi="Times New Roman"/>
          <w:sz w:val="24"/>
        </w:rPr>
        <w:t>Các mô hình tính toán cơ sinh học côn trùng tiên tiến (như Lobato-Rios et al., Nature Methods 2022) mới chỉ mô phỏng ruồi lành mạnh (wild-type), hoàn toàn thiếu vắng module bệnh lý và chưa từng được kiểm chứng định lượng so với số liệu thực nghiệm gốc.</w:t>
      </w:r>
    </w:p>
    <w:p>
      <w:pPr>
        <w:pStyle w:val="ListBullet"/>
        <w:spacing w:before="0" w:after="60" w:line="276" w:lineRule="auto"/>
        <w:jc w:val="both"/>
      </w:pPr>
      <w:r>
        <w:rPr>
          <w:rFonts w:ascii="Times New Roman" w:hAnsi="Times New Roman"/>
          <w:b/>
          <w:sz w:val="24"/>
        </w:rPr>
        <w:t xml:space="preserve">Gap 3 (Thiếu mô hình tiến triển 30 ngày): </w:t>
      </w:r>
      <w:r>
        <w:rPr>
          <w:rFonts w:ascii="Times New Roman" w:hAnsi="Times New Roman"/>
          <w:sz w:val="24"/>
        </w:rPr>
        <w:t>Chưa có nghiên cứu in-silico nào tái hiện được quỹ đạo tiến triển thoái hóa vận động liên tục qua 30 ngày (Longitudinal Aging Trajectory) cho nhiều dòng đột biến và can thiệp giải cứu di truyền.</w:t>
      </w:r>
    </w:p>
    <w:p>
      <w:pPr>
        <w:pStyle w:val="Heading1"/>
        <w:keepNext/>
        <w:spacing w:before="280" w:after="120"/>
      </w:pPr>
      <w:r>
        <w:rPr>
          <w:rFonts w:ascii="Times New Roman" w:hAnsi="Times New Roman"/>
          <w:b/>
          <w:color w:val="1B365D"/>
          <w:sz w:val="30"/>
        </w:rPr>
        <w:t>3. TỔNG QUAN TÌNH HÌNH NGHIÊN CỨU (RELATED WORK)</w:t>
      </w:r>
    </w:p>
    <w:p>
      <w:pPr>
        <w:pStyle w:val="Heading2"/>
        <w:keepNext/>
        <w:spacing w:before="200" w:after="120"/>
      </w:pPr>
      <w:r>
        <w:rPr>
          <w:rFonts w:ascii="Times New Roman" w:hAnsi="Times New Roman"/>
          <w:b/>
          <w:color w:val="2B547E"/>
          <w:sz w:val="26"/>
        </w:rPr>
        <w:t>3.1 Nhóm A: Mô hình cơ sinh học tính toán vận động côn trùng</w:t>
      </w:r>
    </w:p>
    <w:p>
      <w:pPr>
        <w:spacing w:before="0" w:after="100" w:line="288" w:lineRule="auto"/>
        <w:jc w:val="both"/>
      </w:pPr>
      <w:r>
        <w:rPr>
          <w:rFonts w:ascii="Times New Roman" w:hAnsi="Times New Roman"/>
          <w:i w:val="0"/>
          <w:color w:val="222222"/>
          <w:sz w:val="24"/>
        </w:rPr>
        <w:t>Nổi bật nhất là nền tảng NeuroMechFly (Lobato-Rios et al., 2022, Nature Methods) và NeuroMechFly v2 (Ramdya et al., 2024, eLife). Mô hình tái tạo cơ thể học Drosophila với 69 đoạn thân, 42 khớp chủ động trên engine vật lý MuJoCo với tốc độ tính toán &gt;100x thời gian thực. Tuy nhiên, hạn chế cốt lõi là chỉ mô phỏng cá thể lành mạnh, chưa có mô hình bệnh lý thần kinh.</w:t>
      </w:r>
    </w:p>
    <w:p>
      <w:pPr>
        <w:pStyle w:val="Heading2"/>
        <w:keepNext/>
        <w:spacing w:before="200" w:after="120"/>
      </w:pPr>
      <w:r>
        <w:rPr>
          <w:rFonts w:ascii="Times New Roman" w:hAnsi="Times New Roman"/>
          <w:b/>
          <w:color w:val="2B547E"/>
          <w:sz w:val="26"/>
        </w:rPr>
        <w:t>3.2 Nhóm B: Thực nghiệm hành vi Parkinson trên Drosophila (Ground-Truth Benchmarks)</w:t>
      </w:r>
    </w:p>
    <w:p>
      <w:pPr>
        <w:spacing w:before="0" w:after="100" w:line="288" w:lineRule="auto"/>
        <w:jc w:val="both"/>
      </w:pPr>
      <w:r>
        <w:rPr>
          <w:rFonts w:ascii="Times New Roman" w:hAnsi="Times New Roman"/>
          <w:i w:val="0"/>
          <w:color w:val="222222"/>
          <w:sz w:val="24"/>
        </w:rPr>
        <w:t>Cung cấp số liệu đối chuẩn thực nghiệm định lượng từ các bài báo peer-reviewed quốc tế:</w:t>
      </w:r>
    </w:p>
    <w:p>
      <w:pPr>
        <w:pStyle w:val="ListBullet"/>
        <w:spacing w:before="0" w:after="60" w:line="276" w:lineRule="auto"/>
        <w:jc w:val="both"/>
      </w:pPr>
      <w:r>
        <w:rPr>
          <w:rFonts w:ascii="Times New Roman" w:hAnsi="Times New Roman"/>
          <w:b/>
          <w:sz w:val="24"/>
        </w:rPr>
        <w:t xml:space="preserve">PINK1 Null: </w:t>
      </w:r>
      <w:r>
        <w:rPr>
          <w:rFonts w:ascii="Times New Roman" w:hAnsi="Times New Roman"/>
          <w:sz w:val="24"/>
        </w:rPr>
        <w:t>Park et al. (2006, Nature): Đột biến PINK1 làm giảm vận tốc &gt;30% ở ruồi 25 ngày tuổi.</w:t>
      </w:r>
    </w:p>
    <w:p>
      <w:pPr>
        <w:pStyle w:val="ListBullet"/>
        <w:spacing w:before="0" w:after="60" w:line="276" w:lineRule="auto"/>
        <w:jc w:val="both"/>
      </w:pPr>
      <w:r>
        <w:rPr>
          <w:rFonts w:ascii="Times New Roman" w:hAnsi="Times New Roman"/>
          <w:b/>
          <w:sz w:val="24"/>
        </w:rPr>
        <w:t xml:space="preserve">PINK1 Early: </w:t>
      </w:r>
      <w:r>
        <w:rPr>
          <w:rFonts w:ascii="Times New Roman" w:hAnsi="Times New Roman"/>
          <w:sz w:val="24"/>
        </w:rPr>
        <w:t>Clark et al. (2006, Nature): Ghi nhận hiện tượng bù trừ vận động sớm (+12%) trước khi suy thoái.</w:t>
      </w:r>
    </w:p>
    <w:p>
      <w:pPr>
        <w:pStyle w:val="ListBullet"/>
        <w:spacing w:before="0" w:after="60" w:line="276" w:lineRule="auto"/>
        <w:jc w:val="both"/>
      </w:pPr>
      <w:r>
        <w:rPr>
          <w:rFonts w:ascii="Times New Roman" w:hAnsi="Times New Roman"/>
          <w:b/>
          <w:sz w:val="24"/>
        </w:rPr>
        <w:t xml:space="preserve">Genetic Rescue: </w:t>
      </w:r>
      <w:r>
        <w:rPr>
          <w:rFonts w:ascii="Times New Roman" w:hAnsi="Times New Roman"/>
          <w:sz w:val="24"/>
        </w:rPr>
        <w:t>Yang et al. (2006, PNAS): Biểu hiện quá mức Parkin (Parkin OE) giải cứu thành công kiểu hình PINK1.</w:t>
      </w:r>
    </w:p>
    <w:p>
      <w:pPr>
        <w:pStyle w:val="ListBullet"/>
        <w:spacing w:before="0" w:after="60" w:line="276" w:lineRule="auto"/>
        <w:jc w:val="both"/>
      </w:pPr>
      <w:r>
        <w:rPr>
          <w:rFonts w:ascii="Times New Roman" w:hAnsi="Times New Roman"/>
          <w:b/>
          <w:sz w:val="24"/>
        </w:rPr>
        <w:t xml:space="preserve">Parkin &amp; LRRK2: </w:t>
      </w:r>
      <w:r>
        <w:rPr>
          <w:rFonts w:ascii="Times New Roman" w:hAnsi="Times New Roman"/>
          <w:sz w:val="24"/>
        </w:rPr>
        <w:t>Greene et al. (2003, PNAS) &amp; Liu et al. (2008, PNAS): Đột biến Parkin và LRRK2 làm tăng độ lệch hướng (&gt;43%).</w:t>
      </w:r>
    </w:p>
    <w:p>
      <w:pPr>
        <w:pStyle w:val="ListBullet"/>
        <w:spacing w:before="0" w:after="60" w:line="276" w:lineRule="auto"/>
        <w:jc w:val="both"/>
      </w:pPr>
      <w:r>
        <w:rPr>
          <w:rFonts w:ascii="Times New Roman" w:hAnsi="Times New Roman"/>
          <w:b/>
          <w:sz w:val="24"/>
        </w:rPr>
        <w:t xml:space="preserve">DJ-1 &amp; Complex I: </w:t>
      </w:r>
      <w:r>
        <w:rPr>
          <w:rFonts w:ascii="Times New Roman" w:hAnsi="Times New Roman"/>
          <w:sz w:val="24"/>
        </w:rPr>
        <w:t>Meulener et al. (2005, Curr Bio) &amp; Coulom (2004, J Neurosci): Mô hình DJ-1 và ức chế Complex I bằng Rotenone.</w:t>
      </w:r>
    </w:p>
    <w:p>
      <w:pPr>
        <w:pStyle w:val="ListBullet"/>
        <w:spacing w:before="0" w:after="60" w:line="276" w:lineRule="auto"/>
        <w:jc w:val="both"/>
      </w:pPr>
      <w:r>
        <w:rPr>
          <w:rFonts w:ascii="Times New Roman" w:hAnsi="Times New Roman"/>
          <w:b/>
          <w:sz w:val="24"/>
        </w:rPr>
        <w:t xml:space="preserve">Parkin Threat Response: </w:t>
      </w:r>
      <w:r>
        <w:rPr>
          <w:rFonts w:ascii="Times New Roman" w:hAnsi="Times New Roman"/>
          <w:sz w:val="24"/>
        </w:rPr>
        <w:t>Kajtor et al. (2025, eLife, DOI: 10.7554/eLife.90905): Phân tích phản ứng vận động và giảm tốc độ của Parkin mutant trước kích thích đe dọa.</w:t>
      </w:r>
    </w:p>
    <w:p>
      <w:pPr>
        <w:pStyle w:val="Heading2"/>
        <w:keepNext/>
        <w:spacing w:before="200" w:after="120"/>
      </w:pPr>
      <w:r>
        <w:rPr>
          <w:rFonts w:ascii="Times New Roman" w:hAnsi="Times New Roman"/>
          <w:b/>
          <w:color w:val="2B547E"/>
          <w:sz w:val="26"/>
        </w:rPr>
        <w:t>3.3 Nhóm C: Mô hình nơ-ron Integrate-and-Fire &amp; Mạng CPG</w:t>
      </w:r>
    </w:p>
    <w:p>
      <w:pPr>
        <w:spacing w:before="0" w:after="100" w:line="288" w:lineRule="auto"/>
        <w:jc w:val="both"/>
      </w:pPr>
      <w:r>
        <w:rPr>
          <w:rFonts w:ascii="Times New Roman" w:hAnsi="Times New Roman"/>
          <w:i w:val="0"/>
          <w:color w:val="222222"/>
          <w:sz w:val="24"/>
        </w:rPr>
        <w:t>Mô hình nơ-ron Leaky Integrate-and-Fire (Gerstner &amp; Kistler, 2002) và lý thuyết máy phát mẫu trung tâm (Ijspeert, 2008) kết hợp các phát hiện mới về mạch CPG 3-nơ-ron tối giản trong Ventral Nerve Cord (bioRxiv, 2025) cung cấp nền tảng toán học vững chắc cho tầng điều khiển bước chân trong nghiên cứu này.</w:t>
      </w:r>
    </w:p>
    <w:p>
      <w:pPr>
        <w:pStyle w:val="Heading2"/>
        <w:keepNext/>
        <w:spacing w:before="200" w:after="120"/>
      </w:pPr>
      <w:r>
        <w:rPr>
          <w:rFonts w:ascii="Times New Roman" w:hAnsi="Times New Roman"/>
          <w:b/>
          <w:color w:val="2B547E"/>
          <w:sz w:val="26"/>
        </w:rPr>
        <w:t>3.4 Bảng so sánh tổng hợp các hướng tiếp cận</w:t>
      </w:r>
    </w:p>
    <w:tbl>
      <w:tblPr>
        <w:tblW w:type="auto" w:w="0"/>
        <w:jc w:val="center"/>
        <w:tblLook w:firstColumn="1" w:firstRow="1" w:lastColumn="0" w:lastRow="0" w:noHBand="0" w:noVBand="1" w:val="04A0"/>
      </w:tblPr>
      <w:tblGrid>
        <w:gridCol w:w="1901"/>
        <w:gridCol w:w="1901"/>
        <w:gridCol w:w="1901"/>
        <w:gridCol w:w="1901"/>
        <w:gridCol w:w="1901"/>
      </w:tblGrid>
      <w:tr>
        <w:tc>
          <w:tcPr>
            <w:tcW w:type="dxa" w:w="1901"/>
            <w:shd w:fill="1B365D"/>
            <w:tcMar>
              <w:top w:w="80" w:type="dxa"/>
              <w:bottom w:w="80" w:type="dxa"/>
              <w:left w:w="80" w:type="dxa"/>
              <w:right w:w="80" w:type="dxa"/>
            </w:tcMar>
          </w:tcPr>
          <w:p>
            <w:r>
              <w:rPr>
                <w:b/>
                <w:color w:val="FFFFFF"/>
                <w:sz w:val="20"/>
              </w:rPr>
              <w:t>Công trình</w:t>
            </w:r>
          </w:p>
        </w:tc>
        <w:tc>
          <w:tcPr>
            <w:tcW w:type="dxa" w:w="1901"/>
            <w:shd w:fill="1B365D"/>
            <w:tcMar>
              <w:top w:w="80" w:type="dxa"/>
              <w:bottom w:w="80" w:type="dxa"/>
              <w:left w:w="80" w:type="dxa"/>
              <w:right w:w="80" w:type="dxa"/>
            </w:tcMar>
          </w:tcPr>
          <w:p>
            <w:r>
              <w:rPr>
                <w:b/>
                <w:color w:val="FFFFFF"/>
                <w:sz w:val="20"/>
              </w:rPr>
              <w:t>Phương pháp</w:t>
            </w:r>
          </w:p>
        </w:tc>
        <w:tc>
          <w:tcPr>
            <w:tcW w:type="dxa" w:w="1901"/>
            <w:shd w:fill="1B365D"/>
            <w:tcMar>
              <w:top w:w="80" w:type="dxa"/>
              <w:bottom w:w="80" w:type="dxa"/>
              <w:left w:w="80" w:type="dxa"/>
              <w:right w:w="80" w:type="dxa"/>
            </w:tcMar>
          </w:tcPr>
          <w:p>
            <w:r>
              <w:rPr>
                <w:b/>
                <w:color w:val="FFFFFF"/>
                <w:sz w:val="20"/>
              </w:rPr>
              <w:t>Dữ liệu đối chuẩn</w:t>
            </w:r>
          </w:p>
        </w:tc>
        <w:tc>
          <w:tcPr>
            <w:tcW w:type="dxa" w:w="1901"/>
            <w:shd w:fill="1B365D"/>
            <w:tcMar>
              <w:top w:w="80" w:type="dxa"/>
              <w:bottom w:w="80" w:type="dxa"/>
              <w:left w:w="80" w:type="dxa"/>
              <w:right w:w="80" w:type="dxa"/>
            </w:tcMar>
          </w:tcPr>
          <w:p>
            <w:r>
              <w:rPr>
                <w:b/>
                <w:color w:val="FFFFFF"/>
                <w:sz w:val="20"/>
              </w:rPr>
              <w:t>Xác nhận định lượng</w:t>
            </w:r>
          </w:p>
        </w:tc>
        <w:tc>
          <w:tcPr>
            <w:tcW w:type="dxa" w:w="1901"/>
            <w:shd w:fill="1B365D"/>
            <w:tcMar>
              <w:top w:w="80" w:type="dxa"/>
              <w:bottom w:w="80" w:type="dxa"/>
              <w:left w:w="80" w:type="dxa"/>
              <w:right w:w="80" w:type="dxa"/>
            </w:tcMar>
          </w:tcPr>
          <w:p>
            <w:r>
              <w:rPr>
                <w:b/>
                <w:color w:val="FFFFFF"/>
                <w:sz w:val="20"/>
              </w:rPr>
              <w:t>Chuỗi 30 ngày</w:t>
            </w:r>
          </w:p>
        </w:tc>
      </w:tr>
      <w:tr>
        <w:tc>
          <w:tcPr>
            <w:tcW w:type="dxa" w:w="1901"/>
            <w:shd w:fill="F9FAFC"/>
            <w:tcMar>
              <w:top w:w="60" w:type="dxa"/>
              <w:bottom w:w="60" w:type="dxa"/>
              <w:left w:w="60" w:type="dxa"/>
              <w:right w:w="60" w:type="dxa"/>
            </w:tcMar>
          </w:tcPr>
          <w:p>
            <w:r>
              <w:rPr>
                <w:sz w:val="20"/>
              </w:rPr>
              <w:t>Lobato-Rios (2022)</w:t>
            </w:r>
          </w:p>
        </w:tc>
        <w:tc>
          <w:tcPr>
            <w:tcW w:type="dxa" w:w="1901"/>
            <w:shd w:fill="F9FAFC"/>
            <w:tcMar>
              <w:top w:w="60" w:type="dxa"/>
              <w:bottom w:w="60" w:type="dxa"/>
              <w:left w:w="60" w:type="dxa"/>
              <w:right w:w="60" w:type="dxa"/>
            </w:tcMar>
          </w:tcPr>
          <w:p>
            <w:r>
              <w:rPr>
                <w:sz w:val="20"/>
              </w:rPr>
              <w:t>FlyGym (MuJoCo)</w:t>
            </w:r>
          </w:p>
        </w:tc>
        <w:tc>
          <w:tcPr>
            <w:tcW w:type="dxa" w:w="1901"/>
            <w:shd w:fill="F9FAFC"/>
            <w:tcMar>
              <w:top w:w="60" w:type="dxa"/>
              <w:bottom w:w="60" w:type="dxa"/>
              <w:left w:w="60" w:type="dxa"/>
              <w:right w:w="60" w:type="dxa"/>
            </w:tcMar>
          </w:tcPr>
          <w:p>
            <w:r>
              <w:rPr>
                <w:sz w:val="20"/>
              </w:rPr>
              <w:t>DeepFly3D (WT)</w:t>
            </w:r>
          </w:p>
        </w:tc>
        <w:tc>
          <w:tcPr>
            <w:tcW w:type="dxa" w:w="1901"/>
            <w:shd w:fill="F9FAFC"/>
            <w:tcMar>
              <w:top w:w="60" w:type="dxa"/>
              <w:bottom w:w="60" w:type="dxa"/>
              <w:left w:w="60" w:type="dxa"/>
              <w:right w:w="60" w:type="dxa"/>
            </w:tcMar>
          </w:tcPr>
          <w:p>
            <w:r>
              <w:rPr>
                <w:sz w:val="20"/>
              </w:rPr>
              <w:t>Không (chỉ WT)</w:t>
            </w:r>
          </w:p>
        </w:tc>
        <w:tc>
          <w:tcPr>
            <w:tcW w:type="dxa" w:w="1901"/>
            <w:shd w:fill="F9FAFC"/>
            <w:tcMar>
              <w:top w:w="60" w:type="dxa"/>
              <w:bottom w:w="60" w:type="dxa"/>
              <w:left w:w="60" w:type="dxa"/>
              <w:right w:w="60" w:type="dxa"/>
            </w:tcMar>
          </w:tcPr>
          <w:p>
            <w:r>
              <w:rPr>
                <w:sz w:val="20"/>
              </w:rPr>
              <w:t>Không</w:t>
            </w:r>
          </w:p>
        </w:tc>
      </w:tr>
      <w:tr>
        <w:tc>
          <w:tcPr>
            <w:tcW w:type="dxa" w:w="1901"/>
            <w:shd w:fill="FFFFFF"/>
            <w:tcMar>
              <w:top w:w="60" w:type="dxa"/>
              <w:bottom w:w="60" w:type="dxa"/>
              <w:left w:w="60" w:type="dxa"/>
              <w:right w:w="60" w:type="dxa"/>
            </w:tcMar>
          </w:tcPr>
          <w:p>
            <w:r>
              <w:rPr>
                <w:sz w:val="20"/>
              </w:rPr>
              <w:t>Ramdya (2024)</w:t>
            </w:r>
          </w:p>
        </w:tc>
        <w:tc>
          <w:tcPr>
            <w:tcW w:type="dxa" w:w="1901"/>
            <w:shd w:fill="FFFFFF"/>
            <w:tcMar>
              <w:top w:w="60" w:type="dxa"/>
              <w:bottom w:w="60" w:type="dxa"/>
              <w:left w:w="60" w:type="dxa"/>
              <w:right w:w="60" w:type="dxa"/>
            </w:tcMar>
          </w:tcPr>
          <w:p>
            <w:r>
              <w:rPr>
                <w:sz w:val="20"/>
              </w:rPr>
              <w:t>NeuroMechFly v2</w:t>
            </w:r>
          </w:p>
        </w:tc>
        <w:tc>
          <w:tcPr>
            <w:tcW w:type="dxa" w:w="1901"/>
            <w:shd w:fill="FFFFFF"/>
            <w:tcMar>
              <w:top w:w="60" w:type="dxa"/>
              <w:bottom w:w="60" w:type="dxa"/>
              <w:left w:w="60" w:type="dxa"/>
              <w:right w:w="60" w:type="dxa"/>
            </w:tcMar>
          </w:tcPr>
          <w:p>
            <w:r>
              <w:rPr>
                <w:sz w:val="20"/>
              </w:rPr>
              <w:t>Connectome VNC</w:t>
            </w:r>
          </w:p>
        </w:tc>
        <w:tc>
          <w:tcPr>
            <w:tcW w:type="dxa" w:w="1901"/>
            <w:shd w:fill="FFFFFF"/>
            <w:tcMar>
              <w:top w:w="60" w:type="dxa"/>
              <w:bottom w:w="60" w:type="dxa"/>
              <w:left w:w="60" w:type="dxa"/>
              <w:right w:w="60" w:type="dxa"/>
            </w:tcMar>
          </w:tcPr>
          <w:p>
            <w:r>
              <w:rPr>
                <w:sz w:val="20"/>
              </w:rPr>
              <w:t>Không (chỉ WT)</w:t>
            </w:r>
          </w:p>
        </w:tc>
        <w:tc>
          <w:tcPr>
            <w:tcW w:type="dxa" w:w="1901"/>
            <w:shd w:fill="FFFFFF"/>
            <w:tcMar>
              <w:top w:w="60" w:type="dxa"/>
              <w:bottom w:w="60" w:type="dxa"/>
              <w:left w:w="60" w:type="dxa"/>
              <w:right w:w="60" w:type="dxa"/>
            </w:tcMar>
          </w:tcPr>
          <w:p>
            <w:r>
              <w:rPr>
                <w:sz w:val="20"/>
              </w:rPr>
              <w:t>Không</w:t>
            </w:r>
          </w:p>
        </w:tc>
      </w:tr>
      <w:tr>
        <w:tc>
          <w:tcPr>
            <w:tcW w:type="dxa" w:w="1901"/>
            <w:shd w:fill="F9FAFC"/>
            <w:tcMar>
              <w:top w:w="60" w:type="dxa"/>
              <w:bottom w:w="60" w:type="dxa"/>
              <w:left w:w="60" w:type="dxa"/>
              <w:right w:w="60" w:type="dxa"/>
            </w:tcMar>
          </w:tcPr>
          <w:p>
            <w:r>
              <w:rPr>
                <w:sz w:val="20"/>
              </w:rPr>
              <w:t>Park et al. (2006)</w:t>
            </w:r>
          </w:p>
        </w:tc>
        <w:tc>
          <w:tcPr>
            <w:tcW w:type="dxa" w:w="1901"/>
            <w:shd w:fill="F9FAFC"/>
            <w:tcMar>
              <w:top w:w="60" w:type="dxa"/>
              <w:bottom w:w="60" w:type="dxa"/>
              <w:left w:w="60" w:type="dxa"/>
              <w:right w:w="60" w:type="dxa"/>
            </w:tcMar>
          </w:tcPr>
          <w:p>
            <w:r>
              <w:rPr>
                <w:sz w:val="20"/>
              </w:rPr>
              <w:t>Sinh học thực nghiệm</w:t>
            </w:r>
          </w:p>
        </w:tc>
        <w:tc>
          <w:tcPr>
            <w:tcW w:type="dxa" w:w="1901"/>
            <w:shd w:fill="F9FAFC"/>
            <w:tcMar>
              <w:top w:w="60" w:type="dxa"/>
              <w:bottom w:w="60" w:type="dxa"/>
              <w:left w:w="60" w:type="dxa"/>
              <w:right w:w="60" w:type="dxa"/>
            </w:tcMar>
          </w:tcPr>
          <w:p>
            <w:r>
              <w:rPr>
                <w:sz w:val="20"/>
              </w:rPr>
              <w:t>Ruồi thật PINK1</w:t>
            </w:r>
          </w:p>
        </w:tc>
        <w:tc>
          <w:tcPr>
            <w:tcW w:type="dxa" w:w="1901"/>
            <w:shd w:fill="F9FAFC"/>
            <w:tcMar>
              <w:top w:w="60" w:type="dxa"/>
              <w:bottom w:w="60" w:type="dxa"/>
              <w:left w:w="60" w:type="dxa"/>
              <w:right w:w="60" w:type="dxa"/>
            </w:tcMar>
          </w:tcPr>
          <w:p>
            <w:r>
              <w:rPr>
                <w:sz w:val="20"/>
              </w:rPr>
              <w:t>Có (thực nghiệm)</w:t>
            </w:r>
          </w:p>
        </w:tc>
        <w:tc>
          <w:tcPr>
            <w:tcW w:type="dxa" w:w="1901"/>
            <w:shd w:fill="F9FAFC"/>
            <w:tcMar>
              <w:top w:w="60" w:type="dxa"/>
              <w:bottom w:w="60" w:type="dxa"/>
              <w:left w:w="60" w:type="dxa"/>
              <w:right w:w="60" w:type="dxa"/>
            </w:tcMar>
          </w:tcPr>
          <w:p>
            <w:r>
              <w:rPr>
                <w:sz w:val="20"/>
              </w:rPr>
              <w:t>Một phần</w:t>
            </w:r>
          </w:p>
        </w:tc>
      </w:tr>
      <w:tr>
        <w:tc>
          <w:tcPr>
            <w:tcW w:type="dxa" w:w="1901"/>
            <w:shd w:fill="FFFFFF"/>
            <w:tcMar>
              <w:top w:w="60" w:type="dxa"/>
              <w:bottom w:w="60" w:type="dxa"/>
              <w:left w:w="60" w:type="dxa"/>
              <w:right w:w="60" w:type="dxa"/>
            </w:tcMar>
          </w:tcPr>
          <w:p>
            <w:r>
              <w:rPr>
                <w:sz w:val="20"/>
              </w:rPr>
              <w:t>Kajtor et al. (2025)</w:t>
            </w:r>
          </w:p>
        </w:tc>
        <w:tc>
          <w:tcPr>
            <w:tcW w:type="dxa" w:w="1901"/>
            <w:shd w:fill="FFFFFF"/>
            <w:tcMar>
              <w:top w:w="60" w:type="dxa"/>
              <w:bottom w:w="60" w:type="dxa"/>
              <w:left w:w="60" w:type="dxa"/>
              <w:right w:w="60" w:type="dxa"/>
            </w:tcMar>
          </w:tcPr>
          <w:p>
            <w:r>
              <w:rPr>
                <w:sz w:val="20"/>
              </w:rPr>
              <w:t>Video tracking thật</w:t>
            </w:r>
          </w:p>
        </w:tc>
        <w:tc>
          <w:tcPr>
            <w:tcW w:type="dxa" w:w="1901"/>
            <w:shd w:fill="FFFFFF"/>
            <w:tcMar>
              <w:top w:w="60" w:type="dxa"/>
              <w:bottom w:w="60" w:type="dxa"/>
              <w:left w:w="60" w:type="dxa"/>
              <w:right w:w="60" w:type="dxa"/>
            </w:tcMar>
          </w:tcPr>
          <w:p>
            <w:r>
              <w:rPr>
                <w:sz w:val="20"/>
              </w:rPr>
              <w:t>Ruồi thật Parkin</w:t>
            </w:r>
          </w:p>
        </w:tc>
        <w:tc>
          <w:tcPr>
            <w:tcW w:type="dxa" w:w="1901"/>
            <w:shd w:fill="FFFFFF"/>
            <w:tcMar>
              <w:top w:w="60" w:type="dxa"/>
              <w:bottom w:w="60" w:type="dxa"/>
              <w:left w:w="60" w:type="dxa"/>
              <w:right w:w="60" w:type="dxa"/>
            </w:tcMar>
          </w:tcPr>
          <w:p>
            <w:r>
              <w:rPr>
                <w:sz w:val="20"/>
              </w:rPr>
              <w:t>Có (thực nghiệm)</w:t>
            </w:r>
          </w:p>
        </w:tc>
        <w:tc>
          <w:tcPr>
            <w:tcW w:type="dxa" w:w="1901"/>
            <w:shd w:fill="FFFFFF"/>
            <w:tcMar>
              <w:top w:w="60" w:type="dxa"/>
              <w:bottom w:w="60" w:type="dxa"/>
              <w:left w:w="60" w:type="dxa"/>
              <w:right w:w="60" w:type="dxa"/>
            </w:tcMar>
          </w:tcPr>
          <w:p>
            <w:r>
              <w:rPr>
                <w:sz w:val="20"/>
              </w:rPr>
              <w:t>Không</w:t>
            </w:r>
          </w:p>
        </w:tc>
      </w:tr>
      <w:tr>
        <w:tc>
          <w:tcPr>
            <w:tcW w:type="dxa" w:w="1901"/>
            <w:shd w:fill="EBF3FA"/>
            <w:tcMar>
              <w:top w:w="60" w:type="dxa"/>
              <w:bottom w:w="60" w:type="dxa"/>
              <w:left w:w="60" w:type="dxa"/>
              <w:right w:w="60" w:type="dxa"/>
            </w:tcMar>
          </w:tcPr>
          <w:p>
            <w:r>
              <w:rPr>
                <w:b/>
                <w:sz w:val="20"/>
              </w:rPr>
              <w:t>Đề tài đề xuất</w:t>
            </w:r>
          </w:p>
        </w:tc>
        <w:tc>
          <w:tcPr>
            <w:tcW w:type="dxa" w:w="1901"/>
            <w:shd w:fill="EBF3FA"/>
            <w:tcMar>
              <w:top w:w="60" w:type="dxa"/>
              <w:bottom w:w="60" w:type="dxa"/>
              <w:left w:w="60" w:type="dxa"/>
              <w:right w:w="60" w:type="dxa"/>
            </w:tcMar>
          </w:tcPr>
          <w:p>
            <w:r>
              <w:rPr>
                <w:b/>
                <w:sz w:val="20"/>
              </w:rPr>
              <w:t>FlyGym + LIF + CPG</w:t>
            </w:r>
          </w:p>
        </w:tc>
        <w:tc>
          <w:tcPr>
            <w:tcW w:type="dxa" w:w="1901"/>
            <w:shd w:fill="EBF3FA"/>
            <w:tcMar>
              <w:top w:w="60" w:type="dxa"/>
              <w:bottom w:w="60" w:type="dxa"/>
              <w:left w:w="60" w:type="dxa"/>
              <w:right w:w="60" w:type="dxa"/>
            </w:tcMar>
          </w:tcPr>
          <w:p>
            <w:r>
              <w:rPr>
                <w:b/>
                <w:sz w:val="20"/>
              </w:rPr>
              <w:t>Benchmark 9 bài báo</w:t>
            </w:r>
          </w:p>
        </w:tc>
        <w:tc>
          <w:tcPr>
            <w:tcW w:type="dxa" w:w="1901"/>
            <w:shd w:fill="EBF3FA"/>
            <w:tcMar>
              <w:top w:w="60" w:type="dxa"/>
              <w:bottom w:w="60" w:type="dxa"/>
              <w:left w:w="60" w:type="dxa"/>
              <w:right w:w="60" w:type="dxa"/>
            </w:tcMar>
          </w:tcPr>
          <w:p>
            <w:r>
              <w:rPr>
                <w:b/>
                <w:sz w:val="20"/>
              </w:rPr>
              <w:t>Có (N=6 seeds, p&lt;0.05)</w:t>
            </w:r>
          </w:p>
        </w:tc>
        <w:tc>
          <w:tcPr>
            <w:tcW w:type="dxa" w:w="1901"/>
            <w:shd w:fill="EBF3FA"/>
            <w:tcMar>
              <w:top w:w="60" w:type="dxa"/>
              <w:bottom w:w="60" w:type="dxa"/>
              <w:left w:w="60" w:type="dxa"/>
              <w:right w:w="60" w:type="dxa"/>
            </w:tcMar>
          </w:tcPr>
          <w:p>
            <w:r>
              <w:rPr>
                <w:b/>
                <w:sz w:val="20"/>
              </w:rPr>
              <w:t>Có (21 mốc)</w:t>
            </w:r>
          </w:p>
        </w:tc>
      </w:tr>
    </w:tbl>
    <w:p>
      <w:pPr>
        <w:spacing w:after="160"/>
      </w:pPr>
    </w:p>
    <w:p>
      <w:pPr>
        <w:pStyle w:val="Heading1"/>
        <w:keepNext/>
        <w:spacing w:before="280" w:after="120"/>
      </w:pPr>
      <w:r>
        <w:rPr>
          <w:rFonts w:ascii="Times New Roman" w:hAnsi="Times New Roman"/>
          <w:b/>
          <w:color w:val="1B365D"/>
          <w:sz w:val="30"/>
        </w:rPr>
        <w:t>4. MỤC TIÊU NGHIÊN CỨU</w:t>
      </w:r>
    </w:p>
    <w:p>
      <w:pPr>
        <w:spacing w:before="0" w:after="100" w:line="288" w:lineRule="auto"/>
        <w:jc w:val="both"/>
      </w:pPr>
      <w:r>
        <w:rPr>
          <w:rFonts w:ascii="Times New Roman" w:hAnsi="Times New Roman"/>
          <w:b/>
          <w:color w:val="222222"/>
          <w:sz w:val="24"/>
        </w:rPr>
        <w:t xml:space="preserve">4.1 Mục tiêu tổng quát: </w:t>
      </w:r>
      <w:r>
        <w:rPr>
          <w:rFonts w:ascii="Times New Roman" w:hAnsi="Times New Roman"/>
          <w:i w:val="0"/>
          <w:color w:val="222222"/>
          <w:sz w:val="24"/>
        </w:rPr>
        <w:t>Xây dựng và kiểm chứng một hệ thống sinh học tính toán đa tầng có khả năng tái hiện, phân tích và mô phỏng chính xác kiểu hình thoái hóa vận động Parkinson trên Drosophila melanogaster từ cấp độ đột biến gen đến động lực học cơ thể 3D, đạt độ tương đồng định lượng cao (&gt;= 80%) với các công trình thực nghiệm quốc tế.</w:t>
      </w:r>
    </w:p>
    <w:p>
      <w:pPr>
        <w:pStyle w:val="Heading2"/>
        <w:keepNext/>
        <w:spacing w:before="200" w:after="120"/>
      </w:pPr>
      <w:r>
        <w:rPr>
          <w:rFonts w:ascii="Times New Roman" w:hAnsi="Times New Roman"/>
          <w:b/>
          <w:color w:val="2B547E"/>
          <w:sz w:val="26"/>
        </w:rPr>
        <w:t>4.2 Mục tiêu cụ thể (SMART Goals) &amp; Ma trận Ánh xạ</w:t>
      </w:r>
    </w:p>
    <w:p>
      <w:pPr>
        <w:pStyle w:val="ListBullet"/>
        <w:spacing w:before="0" w:after="60" w:line="276" w:lineRule="auto"/>
        <w:jc w:val="both"/>
      </w:pPr>
      <w:r>
        <w:rPr>
          <w:rFonts w:ascii="Times New Roman" w:hAnsi="Times New Roman"/>
          <w:b/>
          <w:sz w:val="24"/>
        </w:rPr>
        <w:t xml:space="preserve">MT1 (Tham số hóa gen): </w:t>
      </w:r>
      <w:r>
        <w:rPr>
          <w:rFonts w:ascii="Times New Roman" w:hAnsi="Times New Roman"/>
          <w:sz w:val="24"/>
        </w:rPr>
        <w:t>Xây dựng cơ sở dữ liệu tham số sinh học cho 7 mô hình đột biến gen (pink1, parkin, lrrk2, dj1, complexI, pink1_age25, pink1_parkin_OE_age25), ánh xạ chính xác cơ chế phân tử thành vector tỷ lệ nhiễu loạn nơ-ron (motor_scale, coupling_scale). [Map Mục 7.1 -&gt; KQ1]</w:t>
      </w:r>
    </w:p>
    <w:p>
      <w:pPr>
        <w:pStyle w:val="ListBullet"/>
        <w:spacing w:before="0" w:after="60" w:line="276" w:lineRule="auto"/>
        <w:jc w:val="both"/>
      </w:pPr>
      <w:r>
        <w:rPr>
          <w:rFonts w:ascii="Times New Roman" w:hAnsi="Times New Roman"/>
          <w:b/>
          <w:sz w:val="24"/>
        </w:rPr>
        <w:t xml:space="preserve">MT2 (Xác nhận định lượng): </w:t>
      </w:r>
      <w:r>
        <w:rPr>
          <w:rFonts w:ascii="Times New Roman" w:hAnsi="Times New Roman"/>
          <w:sz w:val="24"/>
        </w:rPr>
        <w:t>Đạt mức tương đồng định lượng cao (HIGH_QUANTITATIVE_CONCORDANCE, |Delta_sim - Delta_lit| &lt;= 15%) trên tối thiểu 6/7 mô hình, đạt ý nghĩa thống kê p &lt; 0.05 qua kiểm định Wilcoxon với N=6 seeds. [Map Mục 7.3–7.5 -&gt; KQ2]</w:t>
      </w:r>
    </w:p>
    <w:p>
      <w:pPr>
        <w:pStyle w:val="ListBullet"/>
        <w:spacing w:before="0" w:after="60" w:line="276" w:lineRule="auto"/>
        <w:jc w:val="both"/>
      </w:pPr>
      <w:r>
        <w:rPr>
          <w:rFonts w:ascii="Times New Roman" w:hAnsi="Times New Roman"/>
          <w:b/>
          <w:sz w:val="24"/>
        </w:rPr>
        <w:t xml:space="preserve">MT3 (Tiến triển 30 ngày): </w:t>
      </w:r>
      <w:r>
        <w:rPr>
          <w:rFonts w:ascii="Times New Roman" w:hAnsi="Times New Roman"/>
          <w:sz w:val="24"/>
        </w:rPr>
        <w:t>Tái lập thành công quỹ đạo thoái hóa vận động 30 ngày (Longitudinal Aging Trajectory) với 21 điểm mô phỏng (3 nhánh x 7 mốc tuổi), mô tả rõ nét các giai đoạn bù trừ sớm, khởi phát thoái hóa và sụp đổ muộn. [Map Mục 7.6 -&gt; KQ3]</w:t>
      </w:r>
    </w:p>
    <w:p>
      <w:pPr>
        <w:pStyle w:val="ListBullet"/>
        <w:spacing w:before="0" w:after="60" w:line="276" w:lineRule="auto"/>
        <w:jc w:val="both"/>
      </w:pPr>
      <w:r>
        <w:rPr>
          <w:rFonts w:ascii="Times New Roman" w:hAnsi="Times New Roman"/>
          <w:b/>
          <w:sz w:val="24"/>
        </w:rPr>
        <w:t xml:space="preserve">MT4 (Chỉ số mở rộng): </w:t>
      </w:r>
      <w:r>
        <w:rPr>
          <w:rFonts w:ascii="Times New Roman" w:hAnsi="Times New Roman"/>
          <w:sz w:val="24"/>
        </w:rPr>
        <w:t>Xác lập bộ chỉ số phân đoạn nâng cao (Gait Duty Cycle, Pause Bout Count, Turning Asymmetry) chứng minh năng lực phân biệt rõ rệt (p &lt; 0.05) giữa cá thể bệnh nặng và cá thể được giải cứu gen. [Map Mục 7.2, 7.7 -&gt; KQ4]</w:t>
      </w:r>
    </w:p>
    <w:p>
      <w:pPr>
        <w:pStyle w:val="Heading1"/>
        <w:keepNext/>
        <w:spacing w:before="280" w:after="120"/>
      </w:pPr>
      <w:r>
        <w:rPr>
          <w:rFonts w:ascii="Times New Roman" w:hAnsi="Times New Roman"/>
          <w:b/>
          <w:color w:val="1B365D"/>
          <w:sz w:val="30"/>
        </w:rPr>
        <w:t>5. ĐỐI TƯỢNG &amp; PHẠM VI NGHIÊN CỨU</w:t>
      </w:r>
    </w:p>
    <w:p>
      <w:pPr>
        <w:pStyle w:val="ListBullet"/>
        <w:spacing w:before="0" w:after="60" w:line="276" w:lineRule="auto"/>
        <w:jc w:val="both"/>
      </w:pPr>
      <w:r>
        <w:rPr>
          <w:rFonts w:ascii="Times New Roman" w:hAnsi="Times New Roman"/>
          <w:b/>
          <w:sz w:val="24"/>
        </w:rPr>
        <w:t xml:space="preserve">Đối tượng chính: </w:t>
      </w:r>
      <w:r>
        <w:rPr>
          <w:rFonts w:ascii="Times New Roman" w:hAnsi="Times New Roman"/>
          <w:sz w:val="24"/>
        </w:rPr>
        <w:t>Hệ thống mô phỏng sinh học tính toán kết hợp FlyGym (NeuroMechFly v2.1.0) + MuJoCo 3.9.0 với bộ điều khiển CPG và cơ chế nhiễu loạn nơ-ron LIF.</w:t>
      </w:r>
    </w:p>
    <w:p>
      <w:pPr>
        <w:pStyle w:val="ListBullet"/>
        <w:spacing w:before="0" w:after="60" w:line="276" w:lineRule="auto"/>
        <w:jc w:val="both"/>
      </w:pPr>
      <w:r>
        <w:rPr>
          <w:rFonts w:ascii="Times New Roman" w:hAnsi="Times New Roman"/>
          <w:b/>
          <w:sz w:val="24"/>
        </w:rPr>
        <w:t xml:space="preserve">Đối tượng bệnh học: </w:t>
      </w:r>
      <w:r>
        <w:rPr>
          <w:rFonts w:ascii="Times New Roman" w:hAnsi="Times New Roman"/>
          <w:sz w:val="24"/>
        </w:rPr>
        <w:t>7 mô hình đột biến gen và can thiệp giải cứu Parkinson trên Drosophila melanogaster.</w:t>
      </w:r>
    </w:p>
    <w:p>
      <w:pPr>
        <w:pStyle w:val="ListBullet"/>
        <w:spacing w:before="0" w:after="60" w:line="276" w:lineRule="auto"/>
        <w:jc w:val="both"/>
      </w:pPr>
      <w:r>
        <w:rPr>
          <w:rFonts w:ascii="Times New Roman" w:hAnsi="Times New Roman"/>
          <w:b/>
          <w:sz w:val="24"/>
        </w:rPr>
        <w:t xml:space="preserve">Phạm vi sinh học: </w:t>
      </w:r>
      <w:r>
        <w:rPr>
          <w:rFonts w:ascii="Times New Roman" w:hAnsi="Times New Roman"/>
          <w:sz w:val="24"/>
        </w:rPr>
        <w:t>Giai đoạn trưởng thành Day 1 đến Day 30; tập trung vào hành vi vận động đi bộ trên mặt phẳng (locomotion on flat terrain). Không bao gồm hành vi bay bằng cánh, hành vi giao phối hoặc cảm thụ hóa học.</w:t>
      </w:r>
    </w:p>
    <w:p>
      <w:pPr>
        <w:pStyle w:val="ListBullet"/>
        <w:spacing w:before="0" w:after="60" w:line="276" w:lineRule="auto"/>
        <w:jc w:val="both"/>
      </w:pPr>
      <w:r>
        <w:rPr>
          <w:rFonts w:ascii="Times New Roman" w:hAnsi="Times New Roman"/>
          <w:b/>
          <w:sz w:val="24"/>
        </w:rPr>
        <w:t xml:space="preserve">Phạm vi tính toán: </w:t>
      </w:r>
      <w:r>
        <w:rPr>
          <w:rFonts w:ascii="Times New Roman" w:hAnsi="Times New Roman"/>
          <w:sz w:val="24"/>
        </w:rPr>
        <w:t>Mô phỏng cơ sinh học vật lý (biomechanical physical simulation); không mở rộng sang full connectome simulation toàn não.</w:t>
      </w:r>
    </w:p>
    <w:p>
      <w:pPr>
        <w:pStyle w:val="ListBullet"/>
        <w:spacing w:before="0" w:after="60" w:line="276" w:lineRule="auto"/>
        <w:jc w:val="both"/>
      </w:pPr>
      <w:r>
        <w:rPr>
          <w:rFonts w:ascii="Times New Roman" w:hAnsi="Times New Roman"/>
          <w:b/>
          <w:sz w:val="24"/>
        </w:rPr>
        <w:t xml:space="preserve">Giới hạn đã thừa nhận (Acknowledged Limitations): </w:t>
      </w:r>
      <w:r>
        <w:rPr>
          <w:rFonts w:ascii="Times New Roman" w:hAnsi="Times New Roman"/>
          <w:sz w:val="24"/>
        </w:rPr>
        <w:t>(1) motor_scale là xấp xỉ vĩ mô của sự suy giảm dẫn truyền thần kinh; (2) Các điểm mốc trung gian (Day 10, 15, 20) trong chuỗi 30 ngày là ước tính nội suy có cơ sở toán học mang tính dự báo, không phải số liệu đo độc lập từ thực nghiệm.</w:t>
      </w:r>
    </w:p>
    <w:p>
      <w:pPr>
        <w:pStyle w:val="Heading1"/>
        <w:keepNext/>
        <w:spacing w:before="280" w:after="120"/>
      </w:pPr>
      <w:r>
        <w:rPr>
          <w:rFonts w:ascii="Times New Roman" w:hAnsi="Times New Roman"/>
          <w:b/>
          <w:color w:val="1B365D"/>
          <w:sz w:val="30"/>
        </w:rPr>
        <w:t>6. CÂU HỎI NGHIÊN CỨU / GIẢ THUYẾT</w:t>
      </w:r>
    </w:p>
    <w:p>
      <w:pPr>
        <w:spacing w:before="0" w:after="100" w:line="288" w:lineRule="auto"/>
        <w:jc w:val="both"/>
      </w:pPr>
      <w:r>
        <w:rPr>
          <w:rFonts w:ascii="Times New Roman" w:hAnsi="Times New Roman"/>
          <w:b/>
          <w:color w:val="222222"/>
          <w:sz w:val="24"/>
        </w:rPr>
        <w:t xml:space="preserve">RQ1: </w:t>
      </w:r>
      <w:r>
        <w:rPr>
          <w:rFonts w:ascii="Times New Roman" w:hAnsi="Times New Roman"/>
          <w:i w:val="0"/>
          <w:color w:val="222222"/>
          <w:sz w:val="24"/>
        </w:rPr>
        <w:t>Pipeline kết nối đột biến gen -&gt; tham số LIF -&gt; nhiễu loạn CPG -&gt; vận động vật lý có tái tạo được chiều hướng và độ lớn suy giảm vận động quan sát trong thực nghiệm cho cả 7 mô hình hay không?</w:t>
      </w:r>
    </w:p>
    <w:p>
      <w:pPr>
        <w:spacing w:before="0" w:after="100" w:line="288" w:lineRule="auto"/>
        <w:jc w:val="both"/>
      </w:pPr>
      <w:r>
        <w:rPr>
          <w:rFonts w:ascii="Times New Roman" w:hAnsi="Times New Roman"/>
          <w:b/>
          <w:color w:val="222222"/>
          <w:sz w:val="24"/>
        </w:rPr>
        <w:t xml:space="preserve">-&gt; Giả thuyết H1: </w:t>
      </w:r>
      <w:r>
        <w:rPr>
          <w:rFonts w:ascii="Times New Roman" w:hAnsi="Times New Roman"/>
          <w:i/>
          <w:color w:val="222222"/>
          <w:sz w:val="24"/>
        </w:rPr>
        <w:t>Tối thiểu 6/7 mô hình đạt sai số định lượng |Delta_sim - Delta_lit| &lt;= 15% và đạt mức ý nghĩa thống kê p &lt; 0.05 (Wilcoxon signed-rank test, N=6 seeds).</w:t>
      </w:r>
    </w:p>
    <w:p>
      <w:pPr>
        <w:spacing w:before="0" w:after="100" w:line="288" w:lineRule="auto"/>
        <w:jc w:val="both"/>
      </w:pPr>
      <w:r>
        <w:rPr>
          <w:rFonts w:ascii="Times New Roman" w:hAnsi="Times New Roman"/>
          <w:b/>
          <w:color w:val="222222"/>
          <w:sz w:val="24"/>
        </w:rPr>
        <w:t xml:space="preserve">RQ2: </w:t>
      </w:r>
      <w:r>
        <w:rPr>
          <w:rFonts w:ascii="Times New Roman" w:hAnsi="Times New Roman"/>
          <w:i w:val="0"/>
          <w:color w:val="222222"/>
          <w:sz w:val="24"/>
        </w:rPr>
        <w:t>Bộ chỉ số mở rộng (Gait Duty Cycle, Pause Bouts, Left-Right Asymmetry) có phân biệt được kiểu hình bệnh nặng (PINK1 Day 25) với kiểu hình cứu vãn (PINK1+Parkin OE Day 25) ở mức thống kê có ý nghĩa hay không?</w:t>
      </w:r>
    </w:p>
    <w:p>
      <w:pPr>
        <w:spacing w:before="0" w:after="100" w:line="288" w:lineRule="auto"/>
        <w:jc w:val="both"/>
      </w:pPr>
      <w:r>
        <w:rPr>
          <w:rFonts w:ascii="Times New Roman" w:hAnsi="Times New Roman"/>
          <w:b/>
          <w:color w:val="222222"/>
          <w:sz w:val="24"/>
        </w:rPr>
        <w:t xml:space="preserve">-&gt; Giả thuyết H2: </w:t>
      </w:r>
      <w:r>
        <w:rPr>
          <w:rFonts w:ascii="Times New Roman" w:hAnsi="Times New Roman"/>
          <w:i/>
          <w:color w:val="222222"/>
          <w:sz w:val="24"/>
        </w:rPr>
        <w:t>Tồn tại sự khác biệt có ý nghĩa thống kê (Wilcoxon p &lt; 0.05) trên ít nhất 1 chỉ số mở rộng giữa hai nhóm (Ablation Abl-3).</w:t>
      </w:r>
    </w:p>
    <w:p>
      <w:pPr>
        <w:spacing w:before="0" w:after="100" w:line="288" w:lineRule="auto"/>
        <w:jc w:val="both"/>
      </w:pPr>
      <w:r>
        <w:rPr>
          <w:rFonts w:ascii="Times New Roman" w:hAnsi="Times New Roman"/>
          <w:b/>
          <w:color w:val="222222"/>
          <w:sz w:val="24"/>
        </w:rPr>
        <w:t xml:space="preserve">RQ3: </w:t>
      </w:r>
      <w:r>
        <w:rPr>
          <w:rFonts w:ascii="Times New Roman" w:hAnsi="Times New Roman"/>
          <w:i w:val="0"/>
          <w:color w:val="222222"/>
          <w:sz w:val="24"/>
        </w:rPr>
        <w:t>Đường cong tiến triển 30 ngày in-silico của PINK1 và nhóm Rescue phân kỳ định lượng từ mốc tuổi nào so với nhóm lành mạnh?</w:t>
      </w:r>
    </w:p>
    <w:p>
      <w:pPr>
        <w:spacing w:before="0" w:after="100" w:line="288" w:lineRule="auto"/>
        <w:jc w:val="both"/>
      </w:pPr>
      <w:r>
        <w:rPr>
          <w:rFonts w:ascii="Times New Roman" w:hAnsi="Times New Roman"/>
          <w:b/>
          <w:color w:val="222222"/>
          <w:sz w:val="24"/>
        </w:rPr>
        <w:t xml:space="preserve">RQ4: </w:t>
      </w:r>
      <w:r>
        <w:rPr>
          <w:rFonts w:ascii="Times New Roman" w:hAnsi="Times New Roman"/>
          <w:i w:val="0"/>
          <w:color w:val="222222"/>
          <w:sz w:val="24"/>
        </w:rPr>
        <w:t>Thí nghiệm Ablation Abl-2 (thay tham số sinh học bằng giá trị ngẫu nhiên) có làm sụp đổ độ tương đồng y văn hay không?</w:t>
      </w:r>
    </w:p>
    <w:p>
      <w:pPr>
        <w:spacing w:before="0" w:after="100" w:line="288" w:lineRule="auto"/>
        <w:jc w:val="both"/>
      </w:pPr>
      <w:r>
        <w:rPr>
          <w:rFonts w:ascii="Times New Roman" w:hAnsi="Times New Roman"/>
          <w:b/>
          <w:color w:val="222222"/>
          <w:sz w:val="24"/>
        </w:rPr>
        <w:t xml:space="preserve">-&gt; Giả thuyết H4: </w:t>
      </w:r>
      <w:r>
        <w:rPr>
          <w:rFonts w:ascii="Times New Roman" w:hAnsi="Times New Roman"/>
          <w:i/>
          <w:color w:val="222222"/>
          <w:sz w:val="24"/>
        </w:rPr>
        <w:t>Cấu hình ngẫu nhiên chỉ đạt &lt; 30% HIGH concordance so với 100% của cấu hình có cơ sở phân tử, chứng minh tính độc lập và phi ngẫu nhiên của mô hình.</w:t>
      </w:r>
    </w:p>
    <w:p>
      <w:pPr>
        <w:pStyle w:val="Heading1"/>
        <w:keepNext/>
        <w:spacing w:before="280" w:after="120"/>
      </w:pPr>
      <w:r>
        <w:rPr>
          <w:rFonts w:ascii="Times New Roman" w:hAnsi="Times New Roman"/>
          <w:b/>
          <w:color w:val="1B365D"/>
          <w:sz w:val="30"/>
        </w:rPr>
        <w:t>7. PHƯƠNG PHÁP NGHIÊN CỨU</w:t>
      </w:r>
    </w:p>
    <w:p>
      <w:pPr>
        <w:pStyle w:val="Heading2"/>
        <w:keepNext/>
        <w:spacing w:before="200" w:after="120"/>
      </w:pPr>
      <w:r>
        <w:rPr>
          <w:rFonts w:ascii="Times New Roman" w:hAnsi="Times New Roman"/>
          <w:b/>
          <w:color w:val="2B547E"/>
          <w:sz w:val="26"/>
        </w:rPr>
        <w:t>7.1 Kiến trúc Pipeline 4 Tầng &amp; Tính Độc Lập Tham Số</w:t>
      </w:r>
    </w:p>
    <w:p>
      <w:pPr>
        <w:spacing w:before="0" w:after="100" w:line="288" w:lineRule="auto"/>
        <w:jc w:val="both"/>
      </w:pPr>
      <w:r>
        <w:rPr>
          <w:rFonts w:ascii="Times New Roman" w:hAnsi="Times New Roman"/>
          <w:i w:val="0"/>
          <w:color w:val="222222"/>
          <w:sz w:val="24"/>
        </w:rPr>
        <w:t>Hệ thống vận hành theo kiến trúc 4 tầng khép kín:</w:t>
      </w:r>
    </w:p>
    <w:p>
      <w:pPr>
        <w:pStyle w:val="ListBullet"/>
        <w:spacing w:before="0" w:after="60" w:line="276" w:lineRule="auto"/>
        <w:jc w:val="both"/>
      </w:pPr>
      <w:r>
        <w:rPr>
          <w:rFonts w:ascii="Times New Roman" w:hAnsi="Times New Roman"/>
          <w:sz w:val="24"/>
        </w:rPr>
        <w:t>Layer 1 (Gene-to-Neuron Bridge): Ánh xạ từ gen đột biến và mức tổn thương tế bào sang motor_scale và coupling_scale.</w:t>
      </w:r>
    </w:p>
    <w:p>
      <w:pPr>
        <w:pStyle w:val="ListBullet"/>
        <w:spacing w:before="0" w:after="60" w:line="276" w:lineRule="auto"/>
        <w:jc w:val="both"/>
      </w:pPr>
      <w:r>
        <w:rPr>
          <w:rFonts w:ascii="Times New Roman" w:hAnsi="Times New Roman"/>
          <w:sz w:val="24"/>
        </w:rPr>
        <w:t>Layer 2 (LIF &amp; CPG Controller): Điều biến phương trình vi phân pha CPG và biên độ điều khiển góc khớp.</w:t>
      </w:r>
    </w:p>
    <w:p>
      <w:pPr>
        <w:pStyle w:val="ListBullet"/>
        <w:spacing w:before="0" w:after="60" w:line="276" w:lineRule="auto"/>
        <w:jc w:val="both"/>
      </w:pPr>
      <w:r>
        <w:rPr>
          <w:rFonts w:ascii="Times New Roman" w:hAnsi="Times New Roman"/>
          <w:sz w:val="24"/>
        </w:rPr>
        <w:t>Layer 3 (Embodied Physical Simulation): Thực thi mô phỏng vật lý 5.0s (50.000 bước tích phân Runge-Kutta dt=0.0001s).</w:t>
      </w:r>
    </w:p>
    <w:p>
      <w:pPr>
        <w:pStyle w:val="ListBullet"/>
        <w:spacing w:before="0" w:after="60" w:line="276" w:lineRule="auto"/>
        <w:jc w:val="both"/>
      </w:pPr>
      <w:r>
        <w:rPr>
          <w:rFonts w:ascii="Times New Roman" w:hAnsi="Times New Roman"/>
          <w:sz w:val="24"/>
        </w:rPr>
        <w:t>Layer 4 (Quantitative Validation &amp; Statistics): Trích xuất 9 chỉ số, kiểm định Wilcoxon N=6 seeds và so khớp y văn.</w:t>
      </w:r>
    </w:p>
    <w:p>
      <w:pPr>
        <w:spacing w:before="0" w:after="100" w:line="288" w:lineRule="auto"/>
        <w:jc w:val="both"/>
      </w:pPr>
      <w:r>
        <w:rPr>
          <w:rFonts w:ascii="Times New Roman" w:hAnsi="Times New Roman"/>
          <w:b/>
          <w:color w:val="222222"/>
          <w:sz w:val="24"/>
        </w:rPr>
        <w:t xml:space="preserve">Lưu ý then chốt: </w:t>
      </w:r>
      <w:r>
        <w:rPr>
          <w:rFonts w:ascii="Times New Roman" w:hAnsi="Times New Roman"/>
          <w:i/>
          <w:color w:val="222222"/>
          <w:sz w:val="24"/>
        </w:rPr>
        <w:t>Chứng minh tính độc lập (Phòng tránh Circular Reasoning): motor_scale được suy ra hoàn toàn từ dữ liệu nơ-ron/sinh học phân tử (tỷ lệ tế bào DA sống sót, tổn thương ty thể); trong khi dữ liệu xác nhận là vận tốc và góc lệch hướng đo từ chuyển động cơ học 3D. Hai nguồn dữ liệu hoàn toàn độc lập về phương pháp đo và bản chất vật lý.</w:t>
      </w:r>
    </w:p>
    <w:p>
      <w:pPr>
        <w:pStyle w:val="Heading2"/>
        <w:keepNext/>
        <w:spacing w:before="200" w:after="120"/>
      </w:pPr>
      <w:r>
        <w:rPr>
          <w:rFonts w:ascii="Times New Roman" w:hAnsi="Times New Roman"/>
          <w:b/>
          <w:color w:val="2B547E"/>
          <w:sz w:val="26"/>
        </w:rPr>
        <w:t>7.2 Bộ 9 Chỉ số Vận động Chuẩn hóa</w:t>
      </w:r>
    </w:p>
    <w:p>
      <w:pPr>
        <w:pStyle w:val="ListBullet"/>
        <w:spacing w:before="0" w:after="60" w:line="276" w:lineRule="auto"/>
        <w:jc w:val="both"/>
      </w:pPr>
      <w:r>
        <w:rPr>
          <w:rFonts w:ascii="Times New Roman" w:hAnsi="Times New Roman"/>
          <w:sz w:val="24"/>
        </w:rPr>
        <w:t>mean_planar_speed_mm_s (Vận tốc trung bình mặt phẳng, mm/s)</w:t>
      </w:r>
    </w:p>
    <w:p>
      <w:pPr>
        <w:pStyle w:val="ListBullet"/>
        <w:spacing w:before="0" w:after="60" w:line="276" w:lineRule="auto"/>
        <w:jc w:val="both"/>
      </w:pPr>
      <w:r>
        <w:rPr>
          <w:rFonts w:ascii="Times New Roman" w:hAnsi="Times New Roman"/>
          <w:sz w:val="24"/>
        </w:rPr>
        <w:t>planar_displacement_mm (Độ dời vị trí ngực, mm)</w:t>
      </w:r>
    </w:p>
    <w:p>
      <w:pPr>
        <w:pStyle w:val="ListBullet"/>
        <w:spacing w:before="0" w:after="60" w:line="276" w:lineRule="auto"/>
        <w:jc w:val="both"/>
      </w:pPr>
      <w:r>
        <w:rPr>
          <w:rFonts w:ascii="Times New Roman" w:hAnsi="Times New Roman"/>
          <w:sz w:val="24"/>
        </w:rPr>
        <w:t>planar_path_length_mm (Tổng chiều dài quãng đường, mm)</w:t>
      </w:r>
    </w:p>
    <w:p>
      <w:pPr>
        <w:pStyle w:val="ListBullet"/>
        <w:spacing w:before="0" w:after="60" w:line="276" w:lineRule="auto"/>
        <w:jc w:val="both"/>
      </w:pPr>
      <w:r>
        <w:rPr>
          <w:rFonts w:ascii="Times New Roman" w:hAnsi="Times New Roman"/>
          <w:sz w:val="24"/>
        </w:rPr>
        <w:t>trajectory_efficiency (Hiệu suất quỹ đạo = Độ dời / Chiều dài đường đi)</w:t>
      </w:r>
    </w:p>
    <w:p>
      <w:pPr>
        <w:pStyle w:val="ListBullet"/>
        <w:spacing w:before="0" w:after="60" w:line="276" w:lineRule="auto"/>
        <w:jc w:val="both"/>
      </w:pPr>
      <w:r>
        <w:rPr>
          <w:rFonts w:ascii="Times New Roman" w:hAnsi="Times New Roman"/>
          <w:sz w:val="24"/>
        </w:rPr>
        <w:t>body_height_mean_mm (Độ cao thân trung bình, mm)</w:t>
      </w:r>
    </w:p>
    <w:p>
      <w:pPr>
        <w:pStyle w:val="ListBullet"/>
        <w:spacing w:before="0" w:after="60" w:line="276" w:lineRule="auto"/>
        <w:jc w:val="both"/>
      </w:pPr>
      <w:r>
        <w:rPr>
          <w:rFonts w:ascii="Times New Roman" w:hAnsi="Times New Roman"/>
          <w:sz w:val="24"/>
        </w:rPr>
        <w:t>heading_yaw_change_rad (Biến thiên góc quay Yaw tích lũy, rad)</w:t>
      </w:r>
    </w:p>
    <w:p>
      <w:pPr>
        <w:pStyle w:val="ListBullet"/>
        <w:spacing w:before="0" w:after="60" w:line="276" w:lineRule="auto"/>
        <w:jc w:val="both"/>
      </w:pPr>
      <w:r>
        <w:rPr>
          <w:rFonts w:ascii="Times New Roman" w:hAnsi="Times New Roman"/>
          <w:sz w:val="24"/>
        </w:rPr>
        <w:t>walking_duty_cycle (Tỷ lệ thời gian di chuyển, %)</w:t>
      </w:r>
    </w:p>
    <w:p>
      <w:pPr>
        <w:pStyle w:val="ListBullet"/>
        <w:spacing w:before="0" w:after="60" w:line="276" w:lineRule="auto"/>
        <w:jc w:val="both"/>
      </w:pPr>
      <w:r>
        <w:rPr>
          <w:rFonts w:ascii="Times New Roman" w:hAnsi="Times New Roman"/>
          <w:sz w:val="24"/>
        </w:rPr>
        <w:t>pause_bout_count (Số đợt dừng vận động liên tục)</w:t>
      </w:r>
    </w:p>
    <w:p>
      <w:pPr>
        <w:pStyle w:val="ListBullet"/>
        <w:spacing w:before="0" w:after="60" w:line="276" w:lineRule="auto"/>
        <w:jc w:val="both"/>
      </w:pPr>
      <w:r>
        <w:rPr>
          <w:rFonts w:ascii="Times New Roman" w:hAnsi="Times New Roman"/>
          <w:sz w:val="24"/>
        </w:rPr>
        <w:t>left_right_asymmetry (Độ bất đối xứng vận tốc góc quay trái - phải, rad/s)</w:t>
      </w:r>
    </w:p>
    <w:p>
      <w:pPr>
        <w:pStyle w:val="Heading2"/>
        <w:keepNext/>
        <w:spacing w:before="200" w:after="120"/>
      </w:pPr>
      <w:r>
        <w:rPr>
          <w:rFonts w:ascii="Times New Roman" w:hAnsi="Times New Roman"/>
          <w:b/>
          <w:color w:val="2B547E"/>
          <w:sz w:val="26"/>
        </w:rPr>
        <w:t>7.3 Phân loại Concordance và Cơ sở Chọn Ngưỡng 15%</w:t>
      </w:r>
    </w:p>
    <w:p>
      <w:pPr>
        <w:spacing w:before="0" w:after="100" w:line="288" w:lineRule="auto"/>
        <w:jc w:val="both"/>
      </w:pPr>
      <w:r>
        <w:rPr>
          <w:rFonts w:ascii="Times New Roman" w:hAnsi="Times New Roman"/>
          <w:i w:val="0"/>
          <w:color w:val="222222"/>
          <w:sz w:val="24"/>
        </w:rPr>
        <w:t>Ngưỡng sai số định lượng |Delta_sim - Delta_lit| &lt;= 15% (HIGH_CONCORDANCE) được thiết lập dựa trên: (1) Độ biến thiên sinh học nội tại giữa các cá thể ruồi trong thực nghiệm (inter-individual variability ~ 10–20%); (2) Độ không chắc chắn trong ước lượng tham số nơ-ron (+-5–10%). Do đó, ngưỡng 15% là tiêu chuẩn dung sai khoa học bảo thủ và hợp lý.</w:t>
      </w:r>
    </w:p>
    <w:p>
      <w:pPr>
        <w:pStyle w:val="Heading2"/>
        <w:keepNext/>
        <w:spacing w:before="200" w:after="120"/>
      </w:pPr>
      <w:r>
        <w:rPr>
          <w:rFonts w:ascii="Times New Roman" w:hAnsi="Times New Roman"/>
          <w:b/>
          <w:color w:val="2B547E"/>
          <w:sz w:val="26"/>
        </w:rPr>
        <w:t>7.4 Thiết kế Thực nghiệm Đa Hạt Giống (N=6 Seeds)</w:t>
      </w:r>
    </w:p>
    <w:p>
      <w:pPr>
        <w:spacing w:before="0" w:after="100" w:line="288" w:lineRule="auto"/>
        <w:jc w:val="both"/>
      </w:pPr>
      <w:r>
        <w:rPr>
          <w:rFonts w:ascii="Times New Roman" w:hAnsi="Times New Roman"/>
          <w:i w:val="0"/>
          <w:color w:val="222222"/>
          <w:sz w:val="24"/>
        </w:rPr>
        <w:t>Để đạt mức ý nghĩa thống kê p &lt; 0.05 trong kiểm định Wilcoxon signed-rank test hai phía, hệ thống chuẩn hóa danh sách N=6 seeds [42, 123, 456, 789, 1024, 2026] (vì với N=5, p_min = 0.0625 &gt; 0.05; với N=6, p_min = 0.03125 &lt; 0.05). Mỗi mô hình được tính toán giá trị Mean +- SD và p-value tương ứng.</w:t>
      </w:r>
    </w:p>
    <w:p>
      <w:pPr>
        <w:pStyle w:val="Heading2"/>
        <w:keepNext/>
        <w:spacing w:before="200" w:after="120"/>
      </w:pPr>
      <w:r>
        <w:rPr>
          <w:rFonts w:ascii="Times New Roman" w:hAnsi="Times New Roman"/>
          <w:b/>
          <w:color w:val="2B547E"/>
          <w:sz w:val="26"/>
        </w:rPr>
        <w:t>7.5 Thiết kế Chuỗi Thời gian 30 Ngày &amp; Ablation Study</w:t>
      </w:r>
    </w:p>
    <w:p>
      <w:pPr>
        <w:spacing w:before="0" w:after="100" w:line="288" w:lineRule="auto"/>
        <w:jc w:val="both"/>
      </w:pPr>
      <w:r>
        <w:rPr>
          <w:rFonts w:ascii="Times New Roman" w:hAnsi="Times New Roman"/>
          <w:i w:val="0"/>
          <w:color w:val="222222"/>
          <w:sz w:val="24"/>
        </w:rPr>
        <w:t>Xây dựng 21 điểm mốc thời gian (3 nhánh x 7 ngày: D01, D05, D10, D15, D20, D25, D30) theo hàm suy thoái hàm mũ. Triển khai 3 thí nghiệm Ablation: Abl-1 (loại trừ CPG coupling), Abl-2 (nhiễu loạn ngẫu nhiên), Abl-3 (độ nhạy bộ chỉ số mở rộng).</w:t>
      </w:r>
    </w:p>
    <w:p>
      <w:pPr>
        <w:pStyle w:val="Heading1"/>
        <w:keepNext/>
        <w:spacing w:before="280" w:after="120"/>
      </w:pPr>
      <w:r>
        <w:rPr>
          <w:rFonts w:ascii="Times New Roman" w:hAnsi="Times New Roman"/>
          <w:b/>
          <w:color w:val="1B365D"/>
          <w:sz w:val="30"/>
        </w:rPr>
        <w:t>8. KẾ HOẠCH THỰC HIỆN (TIMELINE 8 THÁNG / 32 TUẦN)</w:t>
      </w:r>
    </w:p>
    <w:tbl>
      <w:tblPr>
        <w:tblW w:type="auto" w:w="0"/>
        <w:jc w:val="center"/>
        <w:tblLook w:firstColumn="1" w:firstRow="1" w:lastColumn="0" w:lastRow="0" w:noHBand="0" w:noVBand="1" w:val="04A0"/>
      </w:tblPr>
      <w:tblGrid>
        <w:gridCol w:w="2376"/>
        <w:gridCol w:w="2376"/>
        <w:gridCol w:w="2376"/>
        <w:gridCol w:w="2376"/>
      </w:tblGrid>
      <w:tr>
        <w:tc>
          <w:tcPr>
            <w:tcW w:type="dxa" w:w="2376"/>
            <w:shd w:fill="1B365D"/>
            <w:tcMar>
              <w:top w:w="80" w:type="dxa"/>
              <w:bottom w:w="80" w:type="dxa"/>
              <w:left w:w="80" w:type="dxa"/>
              <w:right w:w="80" w:type="dxa"/>
            </w:tcMar>
          </w:tcPr>
          <w:p>
            <w:r>
              <w:rPr>
                <w:b/>
                <w:color w:val="FFFFFF"/>
                <w:sz w:val="20"/>
              </w:rPr>
              <w:t>Giai đoạn</w:t>
            </w:r>
          </w:p>
        </w:tc>
        <w:tc>
          <w:tcPr>
            <w:tcW w:type="dxa" w:w="2376"/>
            <w:shd w:fill="1B365D"/>
            <w:tcMar>
              <w:top w:w="80" w:type="dxa"/>
              <w:bottom w:w="80" w:type="dxa"/>
              <w:left w:w="80" w:type="dxa"/>
              <w:right w:w="80" w:type="dxa"/>
            </w:tcMar>
          </w:tcPr>
          <w:p>
            <w:r>
              <w:rPr>
                <w:b/>
                <w:color w:val="FFFFFF"/>
                <w:sz w:val="20"/>
              </w:rPr>
              <w:t>Thời gian</w:t>
            </w:r>
          </w:p>
        </w:tc>
        <w:tc>
          <w:tcPr>
            <w:tcW w:type="dxa" w:w="2376"/>
            <w:shd w:fill="1B365D"/>
            <w:tcMar>
              <w:top w:w="80" w:type="dxa"/>
              <w:bottom w:w="80" w:type="dxa"/>
              <w:left w:w="80" w:type="dxa"/>
              <w:right w:w="80" w:type="dxa"/>
            </w:tcMar>
          </w:tcPr>
          <w:p>
            <w:r>
              <w:rPr>
                <w:b/>
                <w:color w:val="FFFFFF"/>
                <w:sz w:val="20"/>
              </w:rPr>
              <w:t>Nội dung nhiệm vụ &amp; Sản phẩm bàn giao</w:t>
            </w:r>
          </w:p>
        </w:tc>
        <w:tc>
          <w:tcPr>
            <w:tcW w:type="dxa" w:w="2376"/>
            <w:shd w:fill="1B365D"/>
            <w:tcMar>
              <w:top w:w="80" w:type="dxa"/>
              <w:bottom w:w="80" w:type="dxa"/>
              <w:left w:w="80" w:type="dxa"/>
              <w:right w:w="80" w:type="dxa"/>
            </w:tcMar>
          </w:tcPr>
          <w:p>
            <w:r>
              <w:rPr>
                <w:b/>
                <w:color w:val="FFFFFF"/>
                <w:sz w:val="20"/>
              </w:rPr>
              <w:t>Cột mốc Đánh giá</w:t>
            </w:r>
          </w:p>
        </w:tc>
      </w:tr>
      <w:tr>
        <w:tc>
          <w:tcPr>
            <w:tcW w:type="dxa" w:w="2376"/>
            <w:shd w:fill="F9FAFC"/>
            <w:tcMar>
              <w:top w:w="60" w:type="dxa"/>
              <w:bottom w:w="60" w:type="dxa"/>
              <w:left w:w="60" w:type="dxa"/>
              <w:right w:w="60" w:type="dxa"/>
            </w:tcMar>
          </w:tcPr>
          <w:p>
            <w:r>
              <w:rPr>
                <w:sz w:val="20"/>
              </w:rPr>
              <w:t>GĐ 1: Lý thuyết</w:t>
            </w:r>
          </w:p>
        </w:tc>
        <w:tc>
          <w:tcPr>
            <w:tcW w:type="dxa" w:w="2376"/>
            <w:shd w:fill="F9FAFC"/>
            <w:tcMar>
              <w:top w:w="60" w:type="dxa"/>
              <w:bottom w:w="60" w:type="dxa"/>
              <w:left w:w="60" w:type="dxa"/>
              <w:right w:w="60" w:type="dxa"/>
            </w:tcMar>
          </w:tcPr>
          <w:p>
            <w:r>
              <w:rPr>
                <w:sz w:val="20"/>
              </w:rPr>
              <w:t>Tuần 1–3</w:t>
            </w:r>
          </w:p>
        </w:tc>
        <w:tc>
          <w:tcPr>
            <w:tcW w:type="dxa" w:w="2376"/>
            <w:shd w:fill="F9FAFC"/>
            <w:tcMar>
              <w:top w:w="60" w:type="dxa"/>
              <w:bottom w:w="60" w:type="dxa"/>
              <w:left w:w="60" w:type="dxa"/>
              <w:right w:w="60" w:type="dxa"/>
            </w:tcMar>
          </w:tcPr>
          <w:p>
            <w:r>
              <w:rPr>
                <w:sz w:val="20"/>
              </w:rPr>
              <w:t>Khảo sát systematic, trích xuất tham số 7 dòng gen -&gt; 7 bridge JSONs.</w:t>
            </w:r>
          </w:p>
        </w:tc>
        <w:tc>
          <w:tcPr>
            <w:tcW w:type="dxa" w:w="2376"/>
            <w:shd w:fill="F9FAFC"/>
            <w:tcMar>
              <w:top w:w="60" w:type="dxa"/>
              <w:bottom w:w="60" w:type="dxa"/>
              <w:left w:w="60" w:type="dxa"/>
              <w:right w:w="60" w:type="dxa"/>
            </w:tcMar>
          </w:tcPr>
          <w:p>
            <w:r>
              <w:rPr>
                <w:sz w:val="20"/>
              </w:rPr>
              <w:t>Checkpoint 1 (Duyệt lý thuyết)</w:t>
            </w:r>
          </w:p>
        </w:tc>
      </w:tr>
      <w:tr>
        <w:tc>
          <w:tcPr>
            <w:tcW w:type="dxa" w:w="2376"/>
            <w:shd w:fill="FFFFFF"/>
            <w:tcMar>
              <w:top w:w="60" w:type="dxa"/>
              <w:bottom w:w="60" w:type="dxa"/>
              <w:left w:w="60" w:type="dxa"/>
              <w:right w:w="60" w:type="dxa"/>
            </w:tcMar>
          </w:tcPr>
          <w:p>
            <w:r>
              <w:rPr>
                <w:sz w:val="20"/>
              </w:rPr>
              <w:t>GĐ 2: Core Pipeline</w:t>
            </w:r>
          </w:p>
        </w:tc>
        <w:tc>
          <w:tcPr>
            <w:tcW w:type="dxa" w:w="2376"/>
            <w:shd w:fill="FFFFFF"/>
            <w:tcMar>
              <w:top w:w="60" w:type="dxa"/>
              <w:bottom w:w="60" w:type="dxa"/>
              <w:left w:w="60" w:type="dxa"/>
              <w:right w:w="60" w:type="dxa"/>
            </w:tcMar>
          </w:tcPr>
          <w:p>
            <w:r>
              <w:rPr>
                <w:sz w:val="20"/>
              </w:rPr>
              <w:t>Tuần 4–7</w:t>
            </w:r>
          </w:p>
        </w:tc>
        <w:tc>
          <w:tcPr>
            <w:tcW w:type="dxa" w:w="2376"/>
            <w:shd w:fill="FFFFFF"/>
            <w:tcMar>
              <w:top w:w="60" w:type="dxa"/>
              <w:bottom w:w="60" w:type="dxa"/>
              <w:left w:w="60" w:type="dxa"/>
              <w:right w:w="60" w:type="dxa"/>
            </w:tcMar>
          </w:tcPr>
          <w:p>
            <w:r>
              <w:rPr>
                <w:sz w:val="20"/>
              </w:rPr>
              <w:t>Hoàn thiện pipeline 4 tầng, module 9 metrics, N=6 seeds -&gt; 14 unit tests pass.</w:t>
            </w:r>
          </w:p>
        </w:tc>
        <w:tc>
          <w:tcPr>
            <w:tcW w:type="dxa" w:w="2376"/>
            <w:shd w:fill="FFFFFF"/>
            <w:tcMar>
              <w:top w:w="60" w:type="dxa"/>
              <w:bottom w:w="60" w:type="dxa"/>
              <w:left w:w="60" w:type="dxa"/>
              <w:right w:w="60" w:type="dxa"/>
            </w:tcMar>
          </w:tcPr>
          <w:p>
            <w:r>
              <w:rPr>
                <w:sz w:val="20"/>
              </w:rPr>
              <w:t>—</w:t>
            </w:r>
          </w:p>
        </w:tc>
      </w:tr>
      <w:tr>
        <w:tc>
          <w:tcPr>
            <w:tcW w:type="dxa" w:w="2376"/>
            <w:shd w:fill="F9FAFC"/>
            <w:tcMar>
              <w:top w:w="60" w:type="dxa"/>
              <w:bottom w:w="60" w:type="dxa"/>
              <w:left w:w="60" w:type="dxa"/>
              <w:right w:w="60" w:type="dxa"/>
            </w:tcMar>
          </w:tcPr>
          <w:p>
            <w:r>
              <w:rPr>
                <w:sz w:val="20"/>
              </w:rPr>
              <w:t>GĐ 3: Mô phỏng 7 model</w:t>
            </w:r>
          </w:p>
        </w:tc>
        <w:tc>
          <w:tcPr>
            <w:tcW w:type="dxa" w:w="2376"/>
            <w:shd w:fill="F9FAFC"/>
            <w:tcMar>
              <w:top w:w="60" w:type="dxa"/>
              <w:bottom w:w="60" w:type="dxa"/>
              <w:left w:w="60" w:type="dxa"/>
              <w:right w:w="60" w:type="dxa"/>
            </w:tcMar>
          </w:tcPr>
          <w:p>
            <w:r>
              <w:rPr>
                <w:sz w:val="20"/>
              </w:rPr>
              <w:t>Tuần 8–11</w:t>
            </w:r>
          </w:p>
        </w:tc>
        <w:tc>
          <w:tcPr>
            <w:tcW w:type="dxa" w:w="2376"/>
            <w:shd w:fill="F9FAFC"/>
            <w:tcMar>
              <w:top w:w="60" w:type="dxa"/>
              <w:bottom w:w="60" w:type="dxa"/>
              <w:left w:w="60" w:type="dxa"/>
              <w:right w:w="60" w:type="dxa"/>
            </w:tcMar>
          </w:tcPr>
          <w:p>
            <w:r>
              <w:rPr>
                <w:sz w:val="20"/>
              </w:rPr>
              <w:t>Chạy 7x6=42 mô phỏng Colab GPU, render video 3D, chạy Abl-1 &amp; Abl-2.</w:t>
            </w:r>
          </w:p>
        </w:tc>
        <w:tc>
          <w:tcPr>
            <w:tcW w:type="dxa" w:w="2376"/>
            <w:shd w:fill="F9FAFC"/>
            <w:tcMar>
              <w:top w:w="60" w:type="dxa"/>
              <w:bottom w:w="60" w:type="dxa"/>
              <w:left w:w="60" w:type="dxa"/>
              <w:right w:w="60" w:type="dxa"/>
            </w:tcMar>
          </w:tcPr>
          <w:p>
            <w:r>
              <w:rPr>
                <w:sz w:val="20"/>
              </w:rPr>
              <w:t>Checkpoint 2 (Duyệt mô phỏng 7 model)</w:t>
            </w:r>
          </w:p>
        </w:tc>
      </w:tr>
      <w:tr>
        <w:tc>
          <w:tcPr>
            <w:tcW w:type="dxa" w:w="2376"/>
            <w:shd w:fill="FFFFFF"/>
            <w:tcMar>
              <w:top w:w="60" w:type="dxa"/>
              <w:bottom w:w="60" w:type="dxa"/>
              <w:left w:w="60" w:type="dxa"/>
              <w:right w:w="60" w:type="dxa"/>
            </w:tcMar>
          </w:tcPr>
          <w:p>
            <w:r>
              <w:rPr>
                <w:sz w:val="20"/>
              </w:rPr>
              <w:t>GĐ 4: Xác nhận Y văn</w:t>
            </w:r>
          </w:p>
        </w:tc>
        <w:tc>
          <w:tcPr>
            <w:tcW w:type="dxa" w:w="2376"/>
            <w:shd w:fill="FFFFFF"/>
            <w:tcMar>
              <w:top w:w="60" w:type="dxa"/>
              <w:bottom w:w="60" w:type="dxa"/>
              <w:left w:w="60" w:type="dxa"/>
              <w:right w:w="60" w:type="dxa"/>
            </w:tcMar>
          </w:tcPr>
          <w:p>
            <w:r>
              <w:rPr>
                <w:sz w:val="20"/>
              </w:rPr>
              <w:t>Tuần 12–14</w:t>
            </w:r>
          </w:p>
        </w:tc>
        <w:tc>
          <w:tcPr>
            <w:tcW w:type="dxa" w:w="2376"/>
            <w:shd w:fill="FFFFFF"/>
            <w:tcMar>
              <w:top w:w="60" w:type="dxa"/>
              <w:bottom w:w="60" w:type="dxa"/>
              <w:left w:w="60" w:type="dxa"/>
              <w:right w:w="60" w:type="dxa"/>
            </w:tcMar>
          </w:tcPr>
          <w:p>
            <w:r>
              <w:rPr>
                <w:sz w:val="20"/>
              </w:rPr>
              <w:t>Tính Concordance, kiểm định Wilcoxon p&lt;0.05 -&gt; Báo cáo Validation.</w:t>
            </w:r>
          </w:p>
        </w:tc>
        <w:tc>
          <w:tcPr>
            <w:tcW w:type="dxa" w:w="2376"/>
            <w:shd w:fill="FFFFFF"/>
            <w:tcMar>
              <w:top w:w="60" w:type="dxa"/>
              <w:bottom w:w="60" w:type="dxa"/>
              <w:left w:w="60" w:type="dxa"/>
              <w:right w:w="60" w:type="dxa"/>
            </w:tcMar>
          </w:tcPr>
          <w:p>
            <w:r>
              <w:rPr>
                <w:sz w:val="20"/>
              </w:rPr>
              <w:t>—</w:t>
            </w:r>
          </w:p>
        </w:tc>
      </w:tr>
      <w:tr>
        <w:tc>
          <w:tcPr>
            <w:tcW w:type="dxa" w:w="2376"/>
            <w:shd w:fill="F9FAFC"/>
            <w:tcMar>
              <w:top w:w="60" w:type="dxa"/>
              <w:bottom w:w="60" w:type="dxa"/>
              <w:left w:w="60" w:type="dxa"/>
              <w:right w:w="60" w:type="dxa"/>
            </w:tcMar>
          </w:tcPr>
          <w:p>
            <w:r>
              <w:rPr>
                <w:sz w:val="20"/>
              </w:rPr>
              <w:t>GĐ 5: Chuỗi 30 ngày</w:t>
            </w:r>
          </w:p>
        </w:tc>
        <w:tc>
          <w:tcPr>
            <w:tcW w:type="dxa" w:w="2376"/>
            <w:shd w:fill="F9FAFC"/>
            <w:tcMar>
              <w:top w:w="60" w:type="dxa"/>
              <w:bottom w:w="60" w:type="dxa"/>
              <w:left w:w="60" w:type="dxa"/>
              <w:right w:w="60" w:type="dxa"/>
            </w:tcMar>
          </w:tcPr>
          <w:p>
            <w:r>
              <w:rPr>
                <w:sz w:val="20"/>
              </w:rPr>
              <w:t>Tuần 15–17</w:t>
            </w:r>
          </w:p>
        </w:tc>
        <w:tc>
          <w:tcPr>
            <w:tcW w:type="dxa" w:w="2376"/>
            <w:shd w:fill="F9FAFC"/>
            <w:tcMar>
              <w:top w:w="60" w:type="dxa"/>
              <w:bottom w:w="60" w:type="dxa"/>
              <w:left w:w="60" w:type="dxa"/>
              <w:right w:w="60" w:type="dxa"/>
            </w:tcMar>
          </w:tcPr>
          <w:p>
            <w:r>
              <w:rPr>
                <w:sz w:val="20"/>
              </w:rPr>
              <w:t>Chạy 21x6=126 mô phỏng chuỗi 30 ngày, xuất CSV decay curve, chạy Abl-3.</w:t>
            </w:r>
          </w:p>
        </w:tc>
        <w:tc>
          <w:tcPr>
            <w:tcW w:type="dxa" w:w="2376"/>
            <w:shd w:fill="F9FAFC"/>
            <w:tcMar>
              <w:top w:w="60" w:type="dxa"/>
              <w:bottom w:w="60" w:type="dxa"/>
              <w:left w:w="60" w:type="dxa"/>
              <w:right w:w="60" w:type="dxa"/>
            </w:tcMar>
          </w:tcPr>
          <w:p>
            <w:r>
              <w:rPr>
                <w:sz w:val="20"/>
              </w:rPr>
              <w:t>Checkpoint 3 (Duyệt kết quả 30 ngày)</w:t>
            </w:r>
          </w:p>
        </w:tc>
      </w:tr>
      <w:tr>
        <w:tc>
          <w:tcPr>
            <w:tcW w:type="dxa" w:w="2376"/>
            <w:shd w:fill="FFFFFF"/>
            <w:tcMar>
              <w:top w:w="60" w:type="dxa"/>
              <w:bottom w:w="60" w:type="dxa"/>
              <w:left w:w="60" w:type="dxa"/>
              <w:right w:w="60" w:type="dxa"/>
            </w:tcMar>
          </w:tcPr>
          <w:p>
            <w:r>
              <w:rPr>
                <w:sz w:val="20"/>
              </w:rPr>
              <w:t>GĐ 6a: Đóng gói</w:t>
            </w:r>
          </w:p>
        </w:tc>
        <w:tc>
          <w:tcPr>
            <w:tcW w:type="dxa" w:w="2376"/>
            <w:shd w:fill="FFFFFF"/>
            <w:tcMar>
              <w:top w:w="60" w:type="dxa"/>
              <w:bottom w:w="60" w:type="dxa"/>
              <w:left w:w="60" w:type="dxa"/>
              <w:right w:w="60" w:type="dxa"/>
            </w:tcMar>
          </w:tcPr>
          <w:p>
            <w:r>
              <w:rPr>
                <w:sz w:val="20"/>
              </w:rPr>
              <w:t>Tuần 18–21</w:t>
            </w:r>
          </w:p>
        </w:tc>
        <w:tc>
          <w:tcPr>
            <w:tcW w:type="dxa" w:w="2376"/>
            <w:shd w:fill="FFFFFF"/>
            <w:tcMar>
              <w:top w:w="60" w:type="dxa"/>
              <w:bottom w:w="60" w:type="dxa"/>
              <w:left w:w="60" w:type="dxa"/>
              <w:right w:w="60" w:type="dxa"/>
            </w:tcMar>
          </w:tcPr>
          <w:p>
            <w:r>
              <w:rPr>
                <w:sz w:val="20"/>
              </w:rPr>
              <w:t>Hoàn thiện tài liệu kỹ thuật, public GitHub repo chuẩn CI/CD.</w:t>
            </w:r>
          </w:p>
        </w:tc>
        <w:tc>
          <w:tcPr>
            <w:tcW w:type="dxa" w:w="2376"/>
            <w:shd w:fill="FFFFFF"/>
            <w:tcMar>
              <w:top w:w="60" w:type="dxa"/>
              <w:bottom w:w="60" w:type="dxa"/>
              <w:left w:w="60" w:type="dxa"/>
              <w:right w:w="60" w:type="dxa"/>
            </w:tcMar>
          </w:tcPr>
          <w:p>
            <w:r>
              <w:rPr>
                <w:sz w:val="20"/>
              </w:rPr>
              <w:t>—</w:t>
            </w:r>
          </w:p>
        </w:tc>
      </w:tr>
      <w:tr>
        <w:tc>
          <w:tcPr>
            <w:tcW w:type="dxa" w:w="2376"/>
            <w:shd w:fill="F9FAFC"/>
            <w:tcMar>
              <w:top w:w="60" w:type="dxa"/>
              <w:bottom w:w="60" w:type="dxa"/>
              <w:left w:w="60" w:type="dxa"/>
              <w:right w:w="60" w:type="dxa"/>
            </w:tcMar>
          </w:tcPr>
          <w:p>
            <w:r>
              <w:rPr>
                <w:sz w:val="20"/>
              </w:rPr>
              <w:t>GĐ 6b: Viết bài báo</w:t>
            </w:r>
          </w:p>
        </w:tc>
        <w:tc>
          <w:tcPr>
            <w:tcW w:type="dxa" w:w="2376"/>
            <w:shd w:fill="F9FAFC"/>
            <w:tcMar>
              <w:top w:w="60" w:type="dxa"/>
              <w:bottom w:w="60" w:type="dxa"/>
              <w:left w:w="60" w:type="dxa"/>
              <w:right w:w="60" w:type="dxa"/>
            </w:tcMar>
          </w:tcPr>
          <w:p>
            <w:r>
              <w:rPr>
                <w:sz w:val="20"/>
              </w:rPr>
              <w:t>Tuần 22–28</w:t>
            </w:r>
          </w:p>
        </w:tc>
        <w:tc>
          <w:tcPr>
            <w:tcW w:type="dxa" w:w="2376"/>
            <w:shd w:fill="F9FAFC"/>
            <w:tcMar>
              <w:top w:w="60" w:type="dxa"/>
              <w:bottom w:w="60" w:type="dxa"/>
              <w:left w:w="60" w:type="dxa"/>
              <w:right w:w="60" w:type="dxa"/>
            </w:tcMar>
          </w:tcPr>
          <w:p>
            <w:r>
              <w:rPr>
                <w:sz w:val="20"/>
              </w:rPr>
              <w:t>Soạn thảo bài báo IEEE (6–8 trang), chuẩn bị nộp hội nghị quốc tế (KSE).</w:t>
            </w:r>
          </w:p>
        </w:tc>
        <w:tc>
          <w:tcPr>
            <w:tcW w:type="dxa" w:w="2376"/>
            <w:shd w:fill="F9FAFC"/>
            <w:tcMar>
              <w:top w:w="60" w:type="dxa"/>
              <w:bottom w:w="60" w:type="dxa"/>
              <w:left w:w="60" w:type="dxa"/>
              <w:right w:w="60" w:type="dxa"/>
            </w:tcMar>
          </w:tcPr>
          <w:p>
            <w:r>
              <w:rPr>
                <w:sz w:val="20"/>
              </w:rPr>
              <w:t>Checkpoint 4 (Duyệt bài báo hoàn chỉnh)</w:t>
            </w:r>
          </w:p>
        </w:tc>
      </w:tr>
    </w:tbl>
    <w:p>
      <w:pPr>
        <w:spacing w:after="160"/>
      </w:pPr>
    </w:p>
    <w:p>
      <w:pPr>
        <w:pStyle w:val="Heading1"/>
        <w:keepNext/>
        <w:spacing w:before="280" w:after="120"/>
      </w:pPr>
      <w:r>
        <w:rPr>
          <w:rFonts w:ascii="Times New Roman" w:hAnsi="Times New Roman"/>
          <w:b/>
          <w:color w:val="1B365D"/>
          <w:sz w:val="30"/>
        </w:rPr>
        <w:t>9. KẾT QUẢ DỰ KIẾN</w:t>
      </w:r>
    </w:p>
    <w:p>
      <w:pPr>
        <w:pStyle w:val="ListBullet"/>
        <w:spacing w:before="0" w:after="60" w:line="276" w:lineRule="auto"/>
        <w:jc w:val="both"/>
      </w:pPr>
      <w:r>
        <w:rPr>
          <w:rFonts w:ascii="Times New Roman" w:hAnsi="Times New Roman"/>
          <w:b/>
          <w:sz w:val="24"/>
        </w:rPr>
        <w:t xml:space="preserve">Sản phẩm 1: </w:t>
      </w:r>
      <w:r>
        <w:rPr>
          <w:rFonts w:ascii="Times New Roman" w:hAnsi="Times New Roman"/>
          <w:sz w:val="24"/>
        </w:rPr>
        <w:t>Bộ cơ sở dữ liệu tham số 7 dòng đột biến PD có trích dẫn DOI y văn đầy đủ, 100% test pass. [KQ1]</w:t>
      </w:r>
    </w:p>
    <w:p>
      <w:pPr>
        <w:pStyle w:val="ListBullet"/>
        <w:spacing w:before="0" w:after="60" w:line="276" w:lineRule="auto"/>
        <w:jc w:val="both"/>
      </w:pPr>
      <w:r>
        <w:rPr>
          <w:rFonts w:ascii="Times New Roman" w:hAnsi="Times New Roman"/>
          <w:b/>
          <w:sz w:val="24"/>
        </w:rPr>
        <w:t xml:space="preserve">Sản phẩm 2: </w:t>
      </w:r>
      <w:r>
        <w:rPr>
          <w:rFonts w:ascii="Times New Roman" w:hAnsi="Times New Roman"/>
          <w:sz w:val="24"/>
        </w:rPr>
        <w:t>Báo cáo xác nhận định lượng đạt &gt;= 6/7 mô hình HIGH_CONCORDANCE và Wilcoxon p &lt; 0.05 với N=6 seeds. [KQ2]</w:t>
      </w:r>
    </w:p>
    <w:p>
      <w:pPr>
        <w:pStyle w:val="ListBullet"/>
        <w:spacing w:before="0" w:after="60" w:line="276" w:lineRule="auto"/>
        <w:jc w:val="both"/>
      </w:pPr>
      <w:r>
        <w:rPr>
          <w:rFonts w:ascii="Times New Roman" w:hAnsi="Times New Roman"/>
          <w:b/>
          <w:sz w:val="24"/>
        </w:rPr>
        <w:t xml:space="preserve">Sản phẩm 3: </w:t>
      </w:r>
      <w:r>
        <w:rPr>
          <w:rFonts w:ascii="Times New Roman" w:hAnsi="Times New Roman"/>
          <w:sz w:val="24"/>
        </w:rPr>
        <w:t>Bộ dữ liệu chuỗi thoái hóa 30 ngày (21 mốc x 6 seeds) và đồ thị đường cong suy thoái. [KQ3]</w:t>
      </w:r>
    </w:p>
    <w:p>
      <w:pPr>
        <w:pStyle w:val="ListBullet"/>
        <w:spacing w:before="0" w:after="60" w:line="276" w:lineRule="auto"/>
        <w:jc w:val="both"/>
      </w:pPr>
      <w:r>
        <w:rPr>
          <w:rFonts w:ascii="Times New Roman" w:hAnsi="Times New Roman"/>
          <w:b/>
          <w:sz w:val="24"/>
        </w:rPr>
        <w:t xml:space="preserve">Sản phẩm 4: </w:t>
      </w:r>
      <w:r>
        <w:rPr>
          <w:rFonts w:ascii="Times New Roman" w:hAnsi="Times New Roman"/>
          <w:sz w:val="24"/>
        </w:rPr>
        <w:t>Báo cáo Ablation Study chứng minh năng lực phân biệt vượt trội của bộ chỉ số mở rộng. [KQ4]</w:t>
      </w:r>
    </w:p>
    <w:p>
      <w:pPr>
        <w:pStyle w:val="ListBullet"/>
        <w:spacing w:before="0" w:after="60" w:line="276" w:lineRule="auto"/>
        <w:jc w:val="both"/>
      </w:pPr>
      <w:r>
        <w:rPr>
          <w:rFonts w:ascii="Times New Roman" w:hAnsi="Times New Roman"/>
          <w:b/>
          <w:sz w:val="24"/>
        </w:rPr>
        <w:t xml:space="preserve">Sản phẩm 5: </w:t>
      </w:r>
      <w:r>
        <w:rPr>
          <w:rFonts w:ascii="Times New Roman" w:hAnsi="Times New Roman"/>
          <w:sz w:val="24"/>
        </w:rPr>
        <w:t>Kho mã nguồn mở (GitHub Repository) hoàn chỉnh kèm pipeline kiểm thử tự động CI/CD và Google Colab bundle. [KQ5]</w:t>
      </w:r>
    </w:p>
    <w:p>
      <w:pPr>
        <w:pStyle w:val="ListBullet"/>
        <w:spacing w:before="0" w:after="60" w:line="276" w:lineRule="auto"/>
        <w:jc w:val="both"/>
      </w:pPr>
      <w:r>
        <w:rPr>
          <w:rFonts w:ascii="Times New Roman" w:hAnsi="Times New Roman"/>
          <w:b/>
          <w:sz w:val="24"/>
        </w:rPr>
        <w:t xml:space="preserve">Sản phẩm 6: </w:t>
      </w:r>
      <w:r>
        <w:rPr>
          <w:rFonts w:ascii="Times New Roman" w:hAnsi="Times New Roman"/>
          <w:sz w:val="24"/>
        </w:rPr>
        <w:t>01 Bài báo khoa học hoàn chỉnh chuẩn IEEE nộp Hội nghị Khoa học Quốc tế (KSE/ACIIDS). [KQ6]</w:t>
      </w:r>
    </w:p>
    <w:p>
      <w:pPr>
        <w:pStyle w:val="Heading1"/>
        <w:keepNext/>
        <w:spacing w:before="280" w:after="120"/>
      </w:pPr>
      <w:r>
        <w:rPr>
          <w:rFonts w:ascii="Times New Roman" w:hAnsi="Times New Roman"/>
          <w:b/>
          <w:color w:val="1B365D"/>
          <w:sz w:val="30"/>
        </w:rPr>
        <w:t>10. Ý NGHĨA KHOA HỌC VÀ THỰC TIỄN</w:t>
      </w:r>
    </w:p>
    <w:p>
      <w:pPr>
        <w:spacing w:before="0" w:after="100" w:line="288" w:lineRule="auto"/>
        <w:jc w:val="both"/>
      </w:pPr>
      <w:r>
        <w:rPr>
          <w:rFonts w:ascii="Times New Roman" w:hAnsi="Times New Roman"/>
          <w:b/>
          <w:color w:val="222222"/>
          <w:sz w:val="24"/>
        </w:rPr>
        <w:t xml:space="preserve">Ý nghĩa Khoa học: </w:t>
      </w:r>
      <w:r>
        <w:rPr>
          <w:rFonts w:ascii="Times New Roman" w:hAnsi="Times New Roman"/>
          <w:i w:val="0"/>
          <w:color w:val="222222"/>
          <w:sz w:val="24"/>
        </w:rPr>
        <w:t>Thiết lập framework tính toán đa tầng đầu tiên kết nối cơ chế phân tử gen PD với động lực học vận động 3D có kiểm chứng định lượng; cung cấp bộ dữ liệu benchmark mở cho cộng đồng nghiên cứu; tạo ra các dự đoán kiểm chứng được (testable predictions) cho sinh học thực nghiệm.</w:t>
      </w:r>
    </w:p>
    <w:p>
      <w:pPr>
        <w:spacing w:before="0" w:after="100" w:line="288" w:lineRule="auto"/>
        <w:jc w:val="both"/>
      </w:pPr>
      <w:r>
        <w:rPr>
          <w:rFonts w:ascii="Times New Roman" w:hAnsi="Times New Roman"/>
          <w:b/>
          <w:color w:val="222222"/>
          <w:sz w:val="24"/>
        </w:rPr>
        <w:t xml:space="preserve">Ý nghĩa Thực tiễn: </w:t>
      </w:r>
      <w:r>
        <w:rPr>
          <w:rFonts w:ascii="Times New Roman" w:hAnsi="Times New Roman"/>
          <w:i w:val="0"/>
          <w:color w:val="222222"/>
          <w:sz w:val="24"/>
        </w:rPr>
        <w:t>Tiết kiệm chi phí và thời gian thực nghiệm (chạy mô phỏng 7 model trong 20 phút trên Colab thay vì 2–6 tháng nuôi ruồi thật); cung cấp công cụ tiền sàng lọc giả thuyết dược lý cho các lab tại Việt Nam; ứng dụng trong giảng dạy Sinh tin học và Computational Neuroscience.</w:t>
      </w:r>
    </w:p>
    <w:p>
      <w:pPr>
        <w:pStyle w:val="Heading1"/>
        <w:keepNext/>
        <w:spacing w:before="280" w:after="120"/>
      </w:pPr>
      <w:r>
        <w:rPr>
          <w:rFonts w:ascii="Times New Roman" w:hAnsi="Times New Roman"/>
          <w:b/>
          <w:color w:val="1B365D"/>
          <w:sz w:val="30"/>
        </w:rPr>
        <w:t>11. TÀI LIỆU THAM KHẢO (CHUẨN IEEE)</w:t>
      </w:r>
    </w:p>
    <w:p>
      <w:pPr>
        <w:spacing w:before="0" w:after="80" w:line="276" w:lineRule="auto"/>
        <w:jc w:val="both"/>
      </w:pPr>
      <w:r>
        <w:rPr>
          <w:rFonts w:ascii="Times New Roman" w:hAnsi="Times New Roman"/>
          <w:sz w:val="22"/>
        </w:rPr>
        <w:t>[1] J. Park, S. B. Lee, S. Lee, Y. Kim, S. Song, S. Kim, E. Bae, J. Kim, M. Shong, J. M. Chung, and J. Chung, "Mitochondrial dysfunction in Drosophila PINK1 mutants is complemented by parkin," Nature, vol. 441, no. 7097, pp. 1157–1161, 2006. DOI: 10.1038/nature04788.</w:t>
      </w:r>
    </w:p>
    <w:p>
      <w:pPr>
        <w:spacing w:before="0" w:after="80" w:line="276" w:lineRule="auto"/>
        <w:jc w:val="both"/>
      </w:pPr>
      <w:r>
        <w:rPr>
          <w:rFonts w:ascii="Times New Roman" w:hAnsi="Times New Roman"/>
          <w:sz w:val="22"/>
        </w:rPr>
        <w:t>[2] I. E. Clark, M. W. Dodson, C. Jiang, J. H. Cao, J. R. Huh, J. H. Seol, S. J. Yoo, M. D. Hay, and M. Guo, "Drosophila pink1 is required for mitochondrial function and interacts genetically with parkin," Nature, vol. 441, no. 7097, pp. 1162–1166, 2006. DOI: 10.1038/nature04779.</w:t>
      </w:r>
    </w:p>
    <w:p>
      <w:pPr>
        <w:spacing w:before="0" w:after="80" w:line="276" w:lineRule="auto"/>
        <w:jc w:val="both"/>
      </w:pPr>
      <w:r>
        <w:rPr>
          <w:rFonts w:ascii="Times New Roman" w:hAnsi="Times New Roman"/>
          <w:sz w:val="22"/>
        </w:rPr>
        <w:t>[3] Y. Yang, S. Gehrke, Y. Imai, Z. Huang, Y. Ouyang, J. W. Wang, L. Yang, M. F. Beal, H. Vogel, and B. Lu, "Mitochondrial pathology and muscle and dopaminergic neuron degeneration caused by inactivation of Drosophila Pink1 is rescued by Parkin," Proc. Natl. Acad. Sci., vol. 103, no. 28, pp. 10793–10798, 2006. DOI: 10.1073/pnas.0602493103.</w:t>
      </w:r>
    </w:p>
    <w:p>
      <w:pPr>
        <w:spacing w:before="0" w:after="80" w:line="276" w:lineRule="auto"/>
        <w:jc w:val="both"/>
      </w:pPr>
      <w:r>
        <w:rPr>
          <w:rFonts w:ascii="Times New Roman" w:hAnsi="Times New Roman"/>
          <w:sz w:val="22"/>
        </w:rPr>
        <w:t>[4] J. C. Greene, A. J. Whitworth, I. Kuo, L. A. Andrews, M. B. Feany, and L. J. Pallanck, "Mitochondrial pathology and apoptotic muscle degeneration in Drosophila parkin mutants," Proc. Natl. Acad. Sci., vol. 100, no. 7, pp. 4078–4083, 2003. DOI: 10.1073/pnas.0737556100.</w:t>
      </w:r>
    </w:p>
    <w:p>
      <w:pPr>
        <w:spacing w:before="0" w:after="80" w:line="276" w:lineRule="auto"/>
        <w:jc w:val="both"/>
      </w:pPr>
      <w:r>
        <w:rPr>
          <w:rFonts w:ascii="Times New Roman" w:hAnsi="Times New Roman"/>
          <w:sz w:val="22"/>
        </w:rPr>
        <w:t>[5] Z. Liu, X. Wang, Y. Yu, X. Li, T. Wang, H. Jiang, Q. Ren, Y. Jiao, A. Sawa, T. Moran, C. A. Ross, and W. W. Smith, "A Drosophila model for LRRK2-linked parkinsonism," Proc. Natl. Acad. Sci., vol. 105, no. 7, pp. 2693–2698, 2008. DOI: 10.1073/pnas.0708452105.</w:t>
      </w:r>
    </w:p>
    <w:p>
      <w:pPr>
        <w:spacing w:before="0" w:after="80" w:line="276" w:lineRule="auto"/>
        <w:jc w:val="both"/>
      </w:pPr>
      <w:r>
        <w:rPr>
          <w:rFonts w:ascii="Times New Roman" w:hAnsi="Times New Roman"/>
          <w:sz w:val="22"/>
        </w:rPr>
        <w:t>[6] M. Meulener, A. J. Whitworth, C. E. Armstrong-Gold, P. Rizzu, P. Heutink, P. D. Wes, L. J. Pallanck, and N. M. Bonini, "Drosophila DJ-1 mutants are selectively sensitive to environmental toxins associated with Parkinson's disease," Current Biology, vol. 15, no. 17, pp. 1572–1577, 2005. DOI: 10.1016/j.cub.2005.07.064.</w:t>
      </w:r>
    </w:p>
    <w:p>
      <w:pPr>
        <w:spacing w:before="0" w:after="80" w:line="276" w:lineRule="auto"/>
        <w:jc w:val="both"/>
      </w:pPr>
      <w:r>
        <w:rPr>
          <w:rFonts w:ascii="Times New Roman" w:hAnsi="Times New Roman"/>
          <w:sz w:val="22"/>
        </w:rPr>
        <w:t>[7] T. Riemensperger, T. Issa, U. Pech, H. Coulom, M. V. Nguyen, M. M. Cassar, M. Jacquet, M. Fiala, and S. Birman, "A single dopamine pathway underlies progressive locomotor deficits in a Drosophila model of Parkinson disease," Cell Reports, vol. 5, no. 4, pp. 952–960, 2013. DOI: 10.1016/j.celrep.2013.10.032.</w:t>
      </w:r>
    </w:p>
    <w:p>
      <w:pPr>
        <w:spacing w:before="0" w:after="80" w:line="276" w:lineRule="auto"/>
        <w:jc w:val="both"/>
      </w:pPr>
      <w:r>
        <w:rPr>
          <w:rFonts w:ascii="Times New Roman" w:hAnsi="Times New Roman"/>
          <w:sz w:val="22"/>
        </w:rPr>
        <w:t>[8] H. Coulom and S. Birman, "Chronic exposure to rotenone models sporadic Parkinson's disease in Drosophila melanogaster," J. Neuroscience, vol. 24, no. 48, pp. 10993–10998, 2004. DOI: 10.1523/JNEUROSCI.2993-04.2004.</w:t>
      </w:r>
    </w:p>
    <w:p>
      <w:pPr>
        <w:spacing w:before="0" w:after="80" w:line="276" w:lineRule="auto"/>
        <w:jc w:val="both"/>
      </w:pPr>
      <w:r>
        <w:rPr>
          <w:rFonts w:ascii="Times New Roman" w:hAnsi="Times New Roman"/>
          <w:sz w:val="22"/>
        </w:rPr>
        <w:t>[9] V. Lobato-Rios, S. T. Ramalingasetty, P. G. LoFaro, J. Arreguit, A. J. Ijspeert, and P. Ramdya, "NeuroMechFly, a neuromechanical model of adult Drosophila melanogaster," Nature Methods, vol. 19, no. 5, pp. 620–627, 2022. DOI: 10.1038/s41592-022-01466-7.</w:t>
      </w:r>
    </w:p>
    <w:p>
      <w:pPr>
        <w:spacing w:before="0" w:after="80" w:line="276" w:lineRule="auto"/>
        <w:jc w:val="both"/>
      </w:pPr>
      <w:r>
        <w:rPr>
          <w:rFonts w:ascii="Times New Roman" w:hAnsi="Times New Roman"/>
          <w:sz w:val="22"/>
        </w:rPr>
        <w:t>[10] P. Ramdya et al., "NeuroMechFly v2: Embodied sensorimotor modeling of Drosophila motor control," eLife, 2024.</w:t>
      </w:r>
    </w:p>
    <w:p>
      <w:pPr>
        <w:spacing w:before="0" w:after="80" w:line="276" w:lineRule="auto"/>
        <w:jc w:val="both"/>
      </w:pPr>
      <w:r>
        <w:rPr>
          <w:rFonts w:ascii="Times New Roman" w:hAnsi="Times New Roman"/>
          <w:sz w:val="22"/>
        </w:rPr>
        <w:t>[11] M. Kajtor, V. A. Billes, B. Király, P. Karkusova, T. Kovács, H. Stabb, K. Sviatkó, A. Vizi, E. Ujvári, D. Balázsfi, S. E. Seidenbecher, D. Kvitsiani, T. Vellai, and B. Hangya, "Altered reactivity to threatening stimuli in Drosophila models of Parkinson's disease, revealed by a trial-based assay," eLife, vol. 14, p. e90905, Jul. 2025. DOI: 10.7554/eLife.90905.</w:t>
      </w:r>
    </w:p>
    <w:p>
      <w:pPr>
        <w:spacing w:before="0" w:after="80" w:line="276" w:lineRule="auto"/>
        <w:jc w:val="both"/>
      </w:pPr>
      <w:r>
        <w:rPr>
          <w:rFonts w:ascii="Times New Roman" w:hAnsi="Times New Roman"/>
          <w:sz w:val="22"/>
        </w:rPr>
        <w:t>[12] N. S. Szczecinski, A. J. Hunt, and R. D. Quinn, "A functional subnetwork approach to designing synthetic nervous systems that control legged robot locomotion," Front. Neurorobotics, vol. 11, p. 37, 2017. DOI: 10.3389/fnbot.2017.00037.</w:t>
      </w:r>
    </w:p>
    <w:p>
      <w:pPr>
        <w:spacing w:before="0" w:after="80" w:line="276" w:lineRule="auto"/>
        <w:jc w:val="both"/>
      </w:pPr>
      <w:r>
        <w:rPr>
          <w:rFonts w:ascii="Times New Roman" w:hAnsi="Times New Roman"/>
          <w:sz w:val="22"/>
        </w:rPr>
        <w:t>[13] A. J. Ijspeert, "Central pattern generators for locomotion control in animals and robots: A review," Neural Networks, vol. 21, no. 4, pp. 642–653, 2008. DOI: 10.1016/j.neunet.2008.03.014.</w:t>
      </w:r>
    </w:p>
    <w:p>
      <w:pPr>
        <w:spacing w:before="0" w:after="80" w:line="276" w:lineRule="auto"/>
        <w:jc w:val="both"/>
      </w:pPr>
      <w:r>
        <w:rPr>
          <w:rFonts w:ascii="Times New Roman" w:hAnsi="Times New Roman"/>
          <w:sz w:val="22"/>
        </w:rPr>
        <w:t>[14] GBD 2021 Nervous System Disorders Collaborators, "Global, regional, and national burden of disorders affecting the nervous system, 1990–2021: a systematic analysis for the Global Burden of Disease Study 2021," The Lancet Neurology, vol. 23, no. 4, pp. 344–381, 2024. DOI: 10.1016/S1474-4422(24)00038-3.</w:t>
      </w:r>
    </w:p>
    <w:p>
      <w:pPr>
        <w:pStyle w:val="Heading1"/>
        <w:keepNext/>
        <w:spacing w:before="280" w:after="120"/>
      </w:pPr>
      <w:r>
        <w:rPr>
          <w:rFonts w:ascii="Times New Roman" w:hAnsi="Times New Roman"/>
          <w:b/>
          <w:color w:val="1B365D"/>
          <w:sz w:val="30"/>
        </w:rPr>
        <w:t>12. DỰ TRÙ KINH PHÍ &amp; NGUỒN LỰC</w:t>
      </w:r>
    </w:p>
    <w:tbl>
      <w:tblPr>
        <w:tblW w:type="auto" w:w="0"/>
        <w:jc w:val="center"/>
        <w:tblLook w:firstColumn="1" w:firstRow="1" w:lastColumn="0" w:lastRow="0" w:noHBand="0" w:noVBand="1" w:val="04A0"/>
      </w:tblPr>
      <w:tblGrid>
        <w:gridCol w:w="3168"/>
        <w:gridCol w:w="3168"/>
        <w:gridCol w:w="3168"/>
      </w:tblGrid>
      <w:tr>
        <w:tc>
          <w:tcPr>
            <w:tcW w:type="dxa" w:w="3168"/>
            <w:shd w:fill="1B365D"/>
            <w:tcMar>
              <w:top w:w="80" w:type="dxa"/>
              <w:bottom w:w="80" w:type="dxa"/>
              <w:left w:w="80" w:type="dxa"/>
              <w:right w:w="80" w:type="dxa"/>
            </w:tcMar>
          </w:tcPr>
          <w:p>
            <w:r>
              <w:rPr>
                <w:b/>
                <w:color w:val="FFFFFF"/>
                <w:sz w:val="20"/>
              </w:rPr>
              <w:t>Hạng mục chi phí</w:t>
            </w:r>
          </w:p>
        </w:tc>
        <w:tc>
          <w:tcPr>
            <w:tcW w:type="dxa" w:w="3168"/>
            <w:shd w:fill="1B365D"/>
            <w:tcMar>
              <w:top w:w="80" w:type="dxa"/>
              <w:bottom w:w="80" w:type="dxa"/>
              <w:left w:w="80" w:type="dxa"/>
              <w:right w:w="80" w:type="dxa"/>
            </w:tcMar>
          </w:tcPr>
          <w:p>
            <w:r>
              <w:rPr>
                <w:b/>
                <w:color w:val="FFFFFF"/>
                <w:sz w:val="20"/>
              </w:rPr>
              <w:t>Nội dung chi tiết</w:t>
            </w:r>
          </w:p>
        </w:tc>
        <w:tc>
          <w:tcPr>
            <w:tcW w:type="dxa" w:w="3168"/>
            <w:shd w:fill="1B365D"/>
            <w:tcMar>
              <w:top w:w="80" w:type="dxa"/>
              <w:bottom w:w="80" w:type="dxa"/>
              <w:left w:w="80" w:type="dxa"/>
              <w:right w:w="80" w:type="dxa"/>
            </w:tcMar>
          </w:tcPr>
          <w:p>
            <w:r>
              <w:rPr>
                <w:b/>
                <w:color w:val="FFFFFF"/>
                <w:sz w:val="20"/>
              </w:rPr>
              <w:t>Dự toán (VNĐ)</w:t>
            </w:r>
          </w:p>
        </w:tc>
      </w:tr>
      <w:tr>
        <w:tc>
          <w:tcPr>
            <w:tcW w:type="dxa" w:w="3168"/>
            <w:shd w:fill="F9FAFC"/>
            <w:tcMar>
              <w:top w:w="60" w:type="dxa"/>
              <w:bottom w:w="60" w:type="dxa"/>
              <w:left w:w="60" w:type="dxa"/>
              <w:right w:w="60" w:type="dxa"/>
            </w:tcMar>
          </w:tcPr>
          <w:p>
            <w:r>
              <w:rPr>
                <w:sz w:val="20"/>
              </w:rPr>
              <w:t>Hạ tầng tính toán Cloud</w:t>
            </w:r>
          </w:p>
        </w:tc>
        <w:tc>
          <w:tcPr>
            <w:tcW w:type="dxa" w:w="3168"/>
            <w:shd w:fill="F9FAFC"/>
            <w:tcMar>
              <w:top w:w="60" w:type="dxa"/>
              <w:bottom w:w="60" w:type="dxa"/>
              <w:left w:w="60" w:type="dxa"/>
              <w:right w:w="60" w:type="dxa"/>
            </w:tcMar>
          </w:tcPr>
          <w:p>
            <w:r>
              <w:rPr>
                <w:sz w:val="20"/>
              </w:rPr>
              <w:t>Google Colab Pro+ GPU phục vụ chạy N=6 seeds và render video 3D</w:t>
            </w:r>
          </w:p>
        </w:tc>
        <w:tc>
          <w:tcPr>
            <w:tcW w:type="dxa" w:w="3168"/>
            <w:shd w:fill="F9FAFC"/>
            <w:tcMar>
              <w:top w:w="60" w:type="dxa"/>
              <w:bottom w:w="60" w:type="dxa"/>
              <w:left w:w="60" w:type="dxa"/>
              <w:right w:w="60" w:type="dxa"/>
            </w:tcMar>
          </w:tcPr>
          <w:p>
            <w:r>
              <w:rPr>
                <w:sz w:val="20"/>
              </w:rPr>
              <w:t>1.200.000</w:t>
            </w:r>
          </w:p>
        </w:tc>
      </w:tr>
      <w:tr>
        <w:tc>
          <w:tcPr>
            <w:tcW w:type="dxa" w:w="3168"/>
            <w:shd w:fill="FFFFFF"/>
            <w:tcMar>
              <w:top w:w="60" w:type="dxa"/>
              <w:bottom w:w="60" w:type="dxa"/>
              <w:left w:w="60" w:type="dxa"/>
              <w:right w:w="60" w:type="dxa"/>
            </w:tcMar>
          </w:tcPr>
          <w:p>
            <w:r>
              <w:rPr>
                <w:sz w:val="20"/>
              </w:rPr>
              <w:t>Tài liệu &amp; CSDL</w:t>
            </w:r>
          </w:p>
        </w:tc>
        <w:tc>
          <w:tcPr>
            <w:tcW w:type="dxa" w:w="3168"/>
            <w:shd w:fill="FFFFFF"/>
            <w:tcMar>
              <w:top w:w="60" w:type="dxa"/>
              <w:bottom w:w="60" w:type="dxa"/>
              <w:left w:w="60" w:type="dxa"/>
              <w:right w:w="60" w:type="dxa"/>
            </w:tcMar>
          </w:tcPr>
          <w:p>
            <w:r>
              <w:rPr>
                <w:sz w:val="20"/>
              </w:rPr>
              <w:t>Truy cập cơ sở dữ liệu bài báo chuyên ngành</w:t>
            </w:r>
          </w:p>
        </w:tc>
        <w:tc>
          <w:tcPr>
            <w:tcW w:type="dxa" w:w="3168"/>
            <w:shd w:fill="FFFFFF"/>
            <w:tcMar>
              <w:top w:w="60" w:type="dxa"/>
              <w:bottom w:w="60" w:type="dxa"/>
              <w:left w:w="60" w:type="dxa"/>
              <w:right w:w="60" w:type="dxa"/>
            </w:tcMar>
          </w:tcPr>
          <w:p>
            <w:r>
              <w:rPr>
                <w:sz w:val="20"/>
              </w:rPr>
              <w:t>1.500.000</w:t>
            </w:r>
          </w:p>
        </w:tc>
      </w:tr>
      <w:tr>
        <w:tc>
          <w:tcPr>
            <w:tcW w:type="dxa" w:w="3168"/>
            <w:shd w:fill="F9FAFC"/>
            <w:tcMar>
              <w:top w:w="60" w:type="dxa"/>
              <w:bottom w:w="60" w:type="dxa"/>
              <w:left w:w="60" w:type="dxa"/>
              <w:right w:w="60" w:type="dxa"/>
            </w:tcMar>
          </w:tcPr>
          <w:p>
            <w:r>
              <w:rPr>
                <w:sz w:val="20"/>
              </w:rPr>
              <w:t>Lệ phí công bố</w:t>
            </w:r>
          </w:p>
        </w:tc>
        <w:tc>
          <w:tcPr>
            <w:tcW w:type="dxa" w:w="3168"/>
            <w:shd w:fill="F9FAFC"/>
            <w:tcMar>
              <w:top w:w="60" w:type="dxa"/>
              <w:bottom w:w="60" w:type="dxa"/>
              <w:left w:w="60" w:type="dxa"/>
              <w:right w:w="60" w:type="dxa"/>
            </w:tcMar>
          </w:tcPr>
          <w:p>
            <w:r>
              <w:rPr>
                <w:sz w:val="20"/>
              </w:rPr>
              <w:t>Lệ phí nộp và báo cáo tại Hội nghị Khoa học Quốc tế</w:t>
            </w:r>
          </w:p>
        </w:tc>
        <w:tc>
          <w:tcPr>
            <w:tcW w:type="dxa" w:w="3168"/>
            <w:shd w:fill="F9FAFC"/>
            <w:tcMar>
              <w:top w:w="60" w:type="dxa"/>
              <w:bottom w:w="60" w:type="dxa"/>
              <w:left w:w="60" w:type="dxa"/>
              <w:right w:w="60" w:type="dxa"/>
            </w:tcMar>
          </w:tcPr>
          <w:p>
            <w:r>
              <w:rPr>
                <w:sz w:val="20"/>
              </w:rPr>
              <w:t>2.500.000</w:t>
            </w:r>
          </w:p>
        </w:tc>
      </w:tr>
      <w:tr>
        <w:tc>
          <w:tcPr>
            <w:tcW w:type="dxa" w:w="3168"/>
            <w:shd w:fill="FFFFFF"/>
            <w:tcMar>
              <w:top w:w="60" w:type="dxa"/>
              <w:bottom w:w="60" w:type="dxa"/>
              <w:left w:w="60" w:type="dxa"/>
              <w:right w:w="60" w:type="dxa"/>
            </w:tcMar>
          </w:tcPr>
          <w:p>
            <w:r>
              <w:rPr>
                <w:sz w:val="20"/>
              </w:rPr>
              <w:t>In ấn &amp; Văn phòng phẩm</w:t>
            </w:r>
          </w:p>
        </w:tc>
        <w:tc>
          <w:tcPr>
            <w:tcW w:type="dxa" w:w="3168"/>
            <w:shd w:fill="FFFFFF"/>
            <w:tcMar>
              <w:top w:w="60" w:type="dxa"/>
              <w:bottom w:w="60" w:type="dxa"/>
              <w:left w:w="60" w:type="dxa"/>
              <w:right w:w="60" w:type="dxa"/>
            </w:tcMar>
          </w:tcPr>
          <w:p>
            <w:r>
              <w:rPr>
                <w:sz w:val="20"/>
              </w:rPr>
              <w:t>In đề cương màu, poster và báo cáo nghiệm thu</w:t>
            </w:r>
          </w:p>
        </w:tc>
        <w:tc>
          <w:tcPr>
            <w:tcW w:type="dxa" w:w="3168"/>
            <w:shd w:fill="FFFFFF"/>
            <w:tcMar>
              <w:top w:w="60" w:type="dxa"/>
              <w:bottom w:w="60" w:type="dxa"/>
              <w:left w:w="60" w:type="dxa"/>
              <w:right w:w="60" w:type="dxa"/>
            </w:tcMar>
          </w:tcPr>
          <w:p>
            <w:r>
              <w:rPr>
                <w:sz w:val="20"/>
              </w:rPr>
              <w:t>800.000</w:t>
            </w:r>
          </w:p>
        </w:tc>
      </w:tr>
      <w:tr>
        <w:tc>
          <w:tcPr>
            <w:tcW w:type="dxa" w:w="3168"/>
            <w:shd w:fill="F9FAFC"/>
            <w:tcMar>
              <w:top w:w="60" w:type="dxa"/>
              <w:bottom w:w="60" w:type="dxa"/>
              <w:left w:w="60" w:type="dxa"/>
              <w:right w:w="60" w:type="dxa"/>
            </w:tcMar>
          </w:tcPr>
          <w:p>
            <w:r>
              <w:rPr>
                <w:sz w:val="20"/>
              </w:rPr>
              <w:t>Dự phòng phát sinh (10%)</w:t>
            </w:r>
          </w:p>
        </w:tc>
        <w:tc>
          <w:tcPr>
            <w:tcW w:type="dxa" w:w="3168"/>
            <w:shd w:fill="F9FAFC"/>
            <w:tcMar>
              <w:top w:w="60" w:type="dxa"/>
              <w:bottom w:w="60" w:type="dxa"/>
              <w:left w:w="60" w:type="dxa"/>
              <w:right w:w="60" w:type="dxa"/>
            </w:tcMar>
          </w:tcPr>
          <w:p>
            <w:r>
              <w:rPr>
                <w:sz w:val="20"/>
              </w:rPr>
              <w:t>Chi phí kỹ thuật và lưu trữ phát sinh</w:t>
            </w:r>
          </w:p>
        </w:tc>
        <w:tc>
          <w:tcPr>
            <w:tcW w:type="dxa" w:w="3168"/>
            <w:shd w:fill="F9FAFC"/>
            <w:tcMar>
              <w:top w:w="60" w:type="dxa"/>
              <w:bottom w:w="60" w:type="dxa"/>
              <w:left w:w="60" w:type="dxa"/>
              <w:right w:w="60" w:type="dxa"/>
            </w:tcMar>
          </w:tcPr>
          <w:p>
            <w:r>
              <w:rPr>
                <w:sz w:val="20"/>
              </w:rPr>
              <w:t>600.000</w:t>
            </w:r>
          </w:p>
        </w:tc>
      </w:tr>
    </w:tbl>
    <w:p>
      <w:pPr>
        <w:spacing w:before="120"/>
      </w:pPr>
      <w:r>
        <w:rPr>
          <w:b/>
          <w:color w:val="1B365D"/>
        </w:rPr>
        <w:t>TỔNG KINH PHÍ DỰ KIẾN: 6.600.000 VNĐ (Sáu triệu sáu trăm nghìn đồng)</w:t>
      </w:r>
    </w:p>
    <w:p>
      <w:pPr>
        <w:pStyle w:val="Heading1"/>
        <w:keepNext/>
        <w:spacing w:before="280" w:after="120"/>
      </w:pPr>
      <w:r>
        <w:rPr>
          <w:rFonts w:ascii="Times New Roman" w:hAnsi="Times New Roman"/>
          <w:b/>
          <w:color w:val="1B365D"/>
          <w:sz w:val="30"/>
        </w:rPr>
        <w:t>PHỤ LỤC: 3 ĐIỂM YẾU NHẤT CỦA ĐỀ CƯƠNG (TỰ ĐÁNH GIÁ ĐỂ HOÀN THIỆN)</w:t>
      </w:r>
    </w:p>
    <w:p>
      <w:pPr>
        <w:pStyle w:val="ListBullet"/>
        <w:spacing w:before="0" w:after="60" w:line="276" w:lineRule="auto"/>
        <w:jc w:val="both"/>
      </w:pPr>
      <w:r>
        <w:rPr>
          <w:rFonts w:ascii="Times New Roman" w:hAnsi="Times New Roman"/>
          <w:b/>
          <w:sz w:val="24"/>
        </w:rPr>
        <w:t xml:space="preserve">1. Tính xác thực của các điểm trung gian 30 ngày: </w:t>
      </w:r>
      <w:r>
        <w:rPr>
          <w:rFonts w:ascii="Times New Roman" w:hAnsi="Times New Roman"/>
          <w:sz w:val="24"/>
        </w:rPr>
        <w:t>Vấn đề: Các điểm neo trung gian (Day 10, 15, 20) được nội suy từ Day 1 và Day 25 theo hàm mũ thoái hóa, chưa có thực nghiệm đo liên tục 7 mốc.</w:t>
        <w:br/>
        <w:t>-&gt; Hướng xử lý: Trình bày đây là mô hình dự đoán (predictive &amp; testable) tạo tiền đề cho thực nghiệm tương lai kiểm chứng, không nhận vơ là số liệu đo được.</w:t>
      </w:r>
    </w:p>
    <w:p>
      <w:pPr>
        <w:pStyle w:val="ListBullet"/>
        <w:spacing w:before="0" w:after="60" w:line="276" w:lineRule="auto"/>
        <w:jc w:val="both"/>
      </w:pPr>
      <w:r>
        <w:rPr>
          <w:rFonts w:ascii="Times New Roman" w:hAnsi="Times New Roman"/>
          <w:b/>
          <w:sz w:val="24"/>
        </w:rPr>
        <w:t xml:space="preserve">2. Kích thước mẫu hạt giống mô phỏng (Sample Size N=6): </w:t>
      </w:r>
      <w:r>
        <w:rPr>
          <w:rFonts w:ascii="Times New Roman" w:hAnsi="Times New Roman"/>
          <w:sz w:val="24"/>
        </w:rPr>
        <w:t>Vấn đề: Mặc dù đã dùng N=6 seeds để đạt p &lt; 0.05 trên Wilcoxon, số lượng mẫu trong mô phỏng vật lý có thể mở rộng lên N=20 seeds để tăng sức mạnh thống kê.</w:t>
        <w:br/>
        <w:t>-&gt; Hướng xử lý: Tận dụng GPU Colab Pro+ để mở rộng lên N=20 seeds trong giai đoạn chạy thực nghiệm chính thức.</w:t>
      </w:r>
    </w:p>
    <w:p>
      <w:pPr>
        <w:pStyle w:val="ListBullet"/>
        <w:spacing w:before="0" w:after="60" w:line="276" w:lineRule="auto"/>
        <w:jc w:val="both"/>
      </w:pPr>
      <w:r>
        <w:rPr>
          <w:rFonts w:ascii="Times New Roman" w:hAnsi="Times New Roman"/>
          <w:b/>
          <w:sz w:val="24"/>
        </w:rPr>
        <w:t xml:space="preserve">3. Chưa mô phỏng mức nồng độ chất dẫn truyền thần kinh synap: </w:t>
      </w:r>
      <w:r>
        <w:rPr>
          <w:rFonts w:ascii="Times New Roman" w:hAnsi="Times New Roman"/>
          <w:sz w:val="24"/>
        </w:rPr>
        <w:t>Vấn đề: Cầu nối Layer 1 mới là xấp xỉ mức nơ-ron truyền xuống (Descending Neurons), chưa mô hình hóa nồng độ dopamine tại từng khe synap cụ thể.</w:t>
        <w:br/>
        <w:t>-&gt; Hướng xử lý: Xác định rõ đây là Acknowledged Limitation và đặt mục tiêu tích hợp FlyWire synaptic connectome cho giai đoạn sau đề tài.</w:t>
      </w:r>
    </w:p>
    <w:sectPr w:rsidR="00FC693F" w:rsidRPr="0006063C" w:rsidSect="00034616">
      <w:pgSz w:w="12240" w:h="15840"/>
      <w:pgMar w:top="1152" w:right="1152"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