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112A68" w:rsidRDefault="008007A2" w:rsidP="00C43832">
      <w:pPr>
        <w:jc w:val="center"/>
        <w:rPr>
          <w:rFonts w:ascii="CordiaUPC" w:hAnsi="CordiaUPC" w:cs="CordiaUPC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DA543C" w:rsidRDefault="008A3920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DA543C" w:rsidRDefault="006D5C97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DA543C">
        <w:rPr>
          <w:rFonts w:ascii="CordiaUPC" w:hAnsi="CordiaUPC" w:cs="CordiaUPC"/>
          <w:cs/>
        </w:rPr>
        <w:t>กรอบงา</w:t>
      </w:r>
      <w:r w:rsidRPr="00DA543C">
        <w:rPr>
          <w:rFonts w:ascii="CordiaUPC" w:hAnsi="CordiaUPC" w:cs="CordiaUPC"/>
          <w:sz w:val="28"/>
          <w:cs/>
        </w:rPr>
        <w:t xml:space="preserve">น </w:t>
      </w:r>
      <w:r w:rsidRPr="00DA543C">
        <w:rPr>
          <w:rFonts w:ascii="CordiaUPC" w:hAnsi="CordiaUPC" w:cs="CordiaUPC"/>
          <w:sz w:val="28"/>
        </w:rPr>
        <w:t>COBIT</w:t>
      </w:r>
    </w:p>
    <w:p w:rsidR="008A3920" w:rsidRPr="00752D02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  <w:sz w:val="20"/>
          <w:szCs w:val="24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752D02" w:rsidRPr="00752D02" w:rsidRDefault="00C37465" w:rsidP="00693C18">
      <w:pPr>
        <w:pStyle w:val="a5"/>
        <w:numPr>
          <w:ilvl w:val="0"/>
          <w:numId w:val="3"/>
        </w:numPr>
        <w:rPr>
          <w:rFonts w:ascii="CordiaUPC" w:hAnsi="CordiaUPC" w:cs="CordiaUPC"/>
          <w:szCs w:val="22"/>
        </w:rPr>
      </w:pPr>
      <w:r w:rsidRPr="00752D02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693C18" w:rsidRPr="00CD0536" w:rsidRDefault="00693C18" w:rsidP="00693C18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752D02">
        <w:rPr>
          <w:rFonts w:ascii="CordiaUPC" w:hAnsi="CordiaUPC" w:cs="CordiaUPC"/>
          <w:sz w:val="28"/>
          <w:cs/>
        </w:rPr>
        <w:t>ข้อแตกต่างระหว่างโปรแกรมบัญชีบนอินเตอร์เน็ตกับโปรแกรมบัญชีบน</w:t>
      </w:r>
      <w:r w:rsidRPr="00752D02">
        <w:rPr>
          <w:rFonts w:ascii="CordiaUPC" w:hAnsi="CordiaUPC" w:cs="CordiaUPC"/>
          <w:sz w:val="32"/>
          <w:szCs w:val="32"/>
          <w:cs/>
        </w:rPr>
        <w:t xml:space="preserve"> </w:t>
      </w:r>
      <w:r w:rsidRPr="00752D02">
        <w:rPr>
          <w:rFonts w:ascii="CordiaUPC" w:hAnsi="CordiaUPC" w:cs="CordiaUPC"/>
          <w:sz w:val="28"/>
        </w:rPr>
        <w:t>Windows</w:t>
      </w:r>
    </w:p>
    <w:p w:rsidR="00CD0536" w:rsidRPr="00752D02" w:rsidRDefault="00CD0536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CD0536">
        <w:rPr>
          <w:rFonts w:ascii="CordiaUPC" w:hAnsi="CordiaUPC" w:cs="CordiaUPC"/>
          <w:sz w:val="28"/>
        </w:rPr>
        <w:t>Secure Sockets Layer</w:t>
      </w:r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</w:t>
      </w:r>
      <w:r w:rsidRPr="00112A68">
        <w:rPr>
          <w:rFonts w:ascii="CordiaUPC" w:hAnsi="CordiaUPC" w:cs="CordiaUPC"/>
          <w:sz w:val="28"/>
          <w:cs/>
        </w:rPr>
        <w:lastRenderedPageBreak/>
        <w:t>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>Romney and Steinbart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112A68" w:rsidP="002D0B9B">
      <w:pPr>
        <w:ind w:firstLine="720"/>
        <w:jc w:val="thaiDistribute"/>
        <w:rPr>
          <w:rFonts w:ascii="CordiaUPC" w:hAnsi="CordiaUPC" w:cs="CordiaUPC"/>
        </w:rPr>
      </w:pPr>
      <w:r w:rsidRPr="00112A68">
        <w:rPr>
          <w:rFonts w:ascii="CordiaUPC" w:hAnsi="CordiaUPC" w:cs="CordiaUPC"/>
          <w:sz w:val="28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1C6BCF" w:rsidRDefault="001C6BCF" w:rsidP="00C43832">
      <w:pPr>
        <w:rPr>
          <w:rFonts w:ascii="CordiaUPC" w:hAnsi="CordiaUPC" w:cs="CordiaUPC"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Mangaement Services Co.,Ltd.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</w:p>
    <w:p w:rsidR="006D1595" w:rsidRPr="006D1595" w:rsidRDefault="006D1595" w:rsidP="002D0B9B">
      <w:pPr>
        <w:ind w:firstLine="72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t xml:space="preserve">Ryan Comingdeer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สิทธ์การใช้งานต่างๆได้เหมาะสมตามที่ต้องการ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t xml:space="preserve">ปรียนันท์ </w:t>
      </w:r>
      <w:r>
        <w:rPr>
          <w:rFonts w:ascii="CordiaUPC" w:hAnsi="CordiaUPC" w:cs="CordiaUPC"/>
          <w:sz w:val="28"/>
          <w:cs/>
        </w:rPr>
        <w:t>วรรณเมธี</w:t>
      </w:r>
      <w:r>
        <w:rPr>
          <w:rFonts w:ascii="CordiaUPC" w:hAnsi="CordiaUPC" w:cs="CordiaUPC"/>
          <w:sz w:val="28"/>
        </w:rPr>
        <w:t xml:space="preserve">(2554) ; </w:t>
      </w:r>
      <w:r>
        <w:rPr>
          <w:rFonts w:ascii="CordiaUPC" w:hAnsi="CordiaUPC" w:cs="CordiaUPC"/>
          <w:sz w:val="28"/>
          <w:cs/>
        </w:rPr>
        <w:t>จารุณี อภิวัฒน์ไพศาล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 w:rsidR="002D0B9B">
        <w:rPr>
          <w:rFonts w:ascii="CordiaUPC" w:hAnsi="CordiaUPC" w:cs="CordiaUPC" w:hint="cs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</w:t>
      </w:r>
      <w:r w:rsidR="00BB1033">
        <w:rPr>
          <w:rFonts w:ascii="CordiaUPC" w:hAnsi="CordiaUPC" w:cs="CordiaUPC"/>
          <w:sz w:val="28"/>
          <w:cs/>
        </w:rPr>
        <w:t xml:space="preserve">ยกประเภทและสมุดรายวันครบถ้วน </w:t>
      </w:r>
      <w:r w:rsidRPr="00EF0F10">
        <w:rPr>
          <w:rFonts w:ascii="CordiaUPC" w:hAnsi="CordiaUPC" w:cs="CordiaUPC"/>
          <w:sz w:val="28"/>
          <w:cs/>
        </w:rPr>
        <w:t>เหมาะ</w:t>
      </w:r>
      <w:r w:rsidR="00BB1033">
        <w:rPr>
          <w:rFonts w:ascii="CordiaUPC" w:hAnsi="CordiaUPC" w:cs="CordiaUPC" w:hint="cs"/>
          <w:sz w:val="28"/>
          <w:cs/>
        </w:rPr>
        <w:t>สม</w:t>
      </w:r>
      <w:r w:rsidRPr="00EF0F10">
        <w:rPr>
          <w:rFonts w:ascii="CordiaUPC" w:hAnsi="CordiaUPC" w:cs="CordiaUPC"/>
          <w:sz w:val="28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>
        <w:rPr>
          <w:rFonts w:ascii="CordiaUPC" w:hAnsi="CordiaUPC" w:cs="CordiaUPC" w:hint="cs"/>
          <w:sz w:val="28"/>
          <w:cs/>
        </w:rPr>
        <w:t>มีการ</w:t>
      </w:r>
      <w:r w:rsidRPr="00EF0F10">
        <w:rPr>
          <w:rFonts w:ascii="CordiaUPC" w:hAnsi="CordiaUPC" w:cs="CordiaUPC"/>
          <w:sz w:val="28"/>
          <w:cs/>
        </w:rPr>
        <w:t>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>จุฑามาศ ชัยศิริถาวรกุล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นิวาศะบุตร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C42F22">
      <w:pPr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 xml:space="preserve">: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พีเคทีซอฟต์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BE55DB" w:rsidRDefault="00BE55DB" w:rsidP="00C43832">
      <w:pPr>
        <w:ind w:firstLine="720"/>
        <w:rPr>
          <w:rFonts w:ascii="CordiaUPC" w:hAnsi="CordiaUPC" w:cs="CordiaUPC"/>
          <w:sz w:val="28"/>
          <w:cs/>
        </w:rPr>
      </w:pPr>
    </w:p>
    <w:p w:rsidR="00442B03" w:rsidRDefault="00BE55DB" w:rsidP="00C43832">
      <w:pPr>
        <w:rPr>
          <w:rFonts w:ascii="CordiaUPC" w:hAnsi="CordiaUPC" w:cs="CordiaUPC"/>
          <w:sz w:val="28"/>
        </w:rPr>
      </w:pPr>
      <w:r w:rsidRPr="00BE55DB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Default="00BE55DB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>
        <w:rPr>
          <w:rFonts w:ascii="CordiaUPC" w:hAnsi="CordiaUPC" w:cs="CordiaUPC"/>
          <w:sz w:val="28"/>
          <w:cs/>
        </w:rPr>
        <w:t>ช้ระบบงานทุกระบบด้วยคอมพิวเตอร์</w:t>
      </w:r>
      <w:r w:rsidRPr="00B72753">
        <w:rPr>
          <w:rFonts w:ascii="CordiaUPC" w:hAnsi="CordiaUPC" w:cs="CordiaUPC"/>
          <w:sz w:val="28"/>
          <w:cs/>
        </w:rPr>
        <w:t>ซึ่งบันทึกเข้าระบบ</w:t>
      </w:r>
      <w:r w:rsidR="00257F68">
        <w:rPr>
          <w:rFonts w:ascii="CordiaUPC" w:hAnsi="CordiaUPC" w:cs="CordiaUPC"/>
          <w:sz w:val="28"/>
          <w:cs/>
        </w:rPr>
        <w:t>บัญชีแยกประเภทโดยอัตโนมัติ</w:t>
      </w:r>
      <w:r w:rsidRPr="00B72753">
        <w:rPr>
          <w:rFonts w:ascii="CordiaUPC" w:hAnsi="CordiaUPC" w:cs="CordiaUPC"/>
          <w:sz w:val="28"/>
          <w:cs/>
        </w:rPr>
        <w:t>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257F68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4"/>
          <w:szCs w:val="24"/>
        </w:rPr>
      </w:pPr>
      <w:r w:rsidRPr="00257F68">
        <w:rPr>
          <w:rFonts w:ascii="CordiaUPC" w:hAnsi="CordiaUPC" w:cs="CordiaUPC"/>
          <w:sz w:val="24"/>
          <w:szCs w:val="24"/>
        </w:rPr>
        <w:t xml:space="preserve">( </w:t>
      </w:r>
      <w:r w:rsidRPr="00257F68">
        <w:rPr>
          <w:rFonts w:ascii="CordiaUPC" w:hAnsi="CordiaUPC" w:cs="CordiaUPC" w:hint="cs"/>
          <w:sz w:val="24"/>
          <w:szCs w:val="24"/>
          <w:cs/>
        </w:rPr>
        <w:t xml:space="preserve">ที่มา </w:t>
      </w:r>
      <w:r w:rsidRPr="00257F68">
        <w:rPr>
          <w:rFonts w:ascii="CordiaUPC" w:hAnsi="CordiaUPC" w:cs="CordiaUPC"/>
          <w:sz w:val="24"/>
          <w:szCs w:val="24"/>
        </w:rPr>
        <w:t xml:space="preserve">: </w:t>
      </w:r>
      <w:r w:rsidR="00C35DFB" w:rsidRPr="00257F68">
        <w:rPr>
          <w:rFonts w:ascii="CordiaUPC" w:hAnsi="CordiaUPC" w:cs="CordiaUPC" w:hint="cs"/>
          <w:sz w:val="24"/>
          <w:szCs w:val="24"/>
          <w:cs/>
        </w:rPr>
        <w:t>เอกสาร</w:t>
      </w:r>
      <w:r w:rsidR="00C35DFB" w:rsidRPr="00257F68">
        <w:rPr>
          <w:rFonts w:ascii="CordiaUPC" w:hAnsi="CordiaUPC" w:cs="CordiaUPC"/>
          <w:sz w:val="24"/>
          <w:szCs w:val="24"/>
          <w:cs/>
        </w:rPr>
        <w:t>โครงการจัดทำข้อมูลองค์ความรู้ งวดที่ 1  นิยามธุรกิจ การบัญชี</w:t>
      </w:r>
      <w:r w:rsidRPr="00257F68">
        <w:rPr>
          <w:rFonts w:ascii="CordiaUPC" w:hAnsi="CordiaUPC" w:cs="CordiaUPC"/>
          <w:sz w:val="24"/>
          <w:szCs w:val="24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57F68" w:rsidRDefault="00257F68" w:rsidP="00BB2FCB">
      <w:pPr>
        <w:jc w:val="thaiDistribute"/>
        <w:rPr>
          <w:rFonts w:ascii="CordiaUPC" w:hAnsi="CordiaUPC" w:cs="CordiaUPC"/>
          <w:sz w:val="28"/>
        </w:rPr>
      </w:pP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Pr="00BE64D6" w:rsidRDefault="00617100" w:rsidP="00BE64D6">
      <w:pPr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  <w:cs/>
        </w:rPr>
        <w:t>อุษณา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หะรังษี และ นางสาวภัทราวดี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behaviour)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r w:rsidRPr="002937FB">
        <w:rPr>
          <w:rFonts w:ascii="CordiaUPC" w:hAnsi="CordiaUPC" w:cs="CordiaUPC"/>
          <w:sz w:val="28"/>
        </w:rPr>
        <w:t xml:space="preserve">Organisational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r w:rsidR="006B1B79" w:rsidRPr="006B1B79">
        <w:rPr>
          <w:rFonts w:ascii="CordiaUPC" w:hAnsi="CordiaUPC" w:cs="CordiaUPC"/>
          <w:sz w:val="28"/>
        </w:rPr>
        <w:t xml:space="preserve">Maintainance)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เกษวรางค์ ญาณนาคถวัฒน์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3073F7" w:rsidRDefault="00004E8A" w:rsidP="00E64A90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693C18" w:rsidRDefault="00693C18" w:rsidP="00E64A90">
      <w:pPr>
        <w:rPr>
          <w:rFonts w:ascii="CordiaUPC" w:hAnsi="CordiaUPC" w:cs="CordiaUPC"/>
          <w:sz w:val="28"/>
        </w:rPr>
      </w:pPr>
      <w:r w:rsidRPr="00693C18">
        <w:rPr>
          <w:rFonts w:ascii="CordiaUPC" w:hAnsi="CordiaUPC" w:cs="CordiaUPC"/>
          <w:b/>
          <w:bCs/>
          <w:sz w:val="28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693C18">
        <w:rPr>
          <w:rFonts w:ascii="CordiaUPC" w:hAnsi="CordiaUPC" w:cs="CordiaUPC"/>
          <w:b/>
          <w:bCs/>
          <w:sz w:val="28"/>
        </w:rPr>
        <w:t>Windows</w:t>
      </w:r>
    </w:p>
    <w:p w:rsidR="00693C18" w:rsidRDefault="00693C18" w:rsidP="00693C18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</w:r>
      <w:r w:rsidR="00154049">
        <w:rPr>
          <w:rFonts w:ascii="CordiaUPC" w:hAnsi="CordiaUPC" w:cs="CordiaUPC" w:hint="cs"/>
          <w:sz w:val="28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>
        <w:rPr>
          <w:rFonts w:ascii="CordiaUPC" w:hAnsi="CordiaUPC" w:cs="CordiaUPC"/>
          <w:sz w:val="28"/>
        </w:rPr>
        <w:t xml:space="preserve"> Windows </w:t>
      </w:r>
      <w:r w:rsidR="00154049">
        <w:rPr>
          <w:rFonts w:ascii="CordiaUPC" w:hAnsi="CordiaUPC" w:cs="CordiaUPC" w:hint="cs"/>
          <w:sz w:val="28"/>
          <w:cs/>
        </w:rPr>
        <w:t xml:space="preserve">ไว้ว่า </w:t>
      </w:r>
      <w:r w:rsidRPr="00693C18">
        <w:rPr>
          <w:rFonts w:ascii="CordiaUPC" w:hAnsi="CordiaUPC" w:cs="CordiaUPC"/>
          <w:sz w:val="28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>
        <w:rPr>
          <w:rFonts w:ascii="CordiaUPC" w:hAnsi="CordiaUPC" w:cs="CordiaUPC"/>
          <w:sz w:val="28"/>
          <w:cs/>
        </w:rPr>
        <w:t>รื่องก็จะได้รับการอัพเดทเวอร์ชั</w:t>
      </w:r>
      <w:r w:rsidRPr="00693C18">
        <w:rPr>
          <w:rFonts w:ascii="CordiaUPC" w:hAnsi="CordiaUPC" w:cs="CordiaUPC"/>
          <w:sz w:val="28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ที่ต้องลงบนเครื่องโดยตรง</w:t>
      </w:r>
    </w:p>
    <w:p w:rsidR="00A75621" w:rsidRDefault="00A75621" w:rsidP="00E64A90">
      <w:pPr>
        <w:rPr>
          <w:rFonts w:ascii="CordiaUPC" w:hAnsi="CordiaUPC" w:cs="CordiaUPC" w:hint="cs"/>
          <w:sz w:val="28"/>
        </w:rPr>
      </w:pPr>
    </w:p>
    <w:p w:rsidR="003073F7" w:rsidRDefault="003073F7" w:rsidP="00E64A90">
      <w:pPr>
        <w:rPr>
          <w:rFonts w:ascii="CordiaUPC" w:hAnsi="CordiaUPC" w:cs="CordiaUPC"/>
          <w:sz w:val="28"/>
        </w:rPr>
      </w:pPr>
    </w:p>
    <w:p w:rsidR="00CD0536" w:rsidRDefault="00CD0536" w:rsidP="00E64A90">
      <w:pPr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b/>
          <w:bCs/>
          <w:sz w:val="28"/>
        </w:rPr>
        <w:lastRenderedPageBreak/>
        <w:t>Secure Sockets Layer</w:t>
      </w:r>
    </w:p>
    <w:p w:rsidR="00CD0536" w:rsidRPr="00CD0536" w:rsidRDefault="00CD0536" w:rsidP="00CD0536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urier New" w:hAnsi="Courier New" w:cs="Angsana New"/>
          <w:color w:val="000000"/>
          <w:sz w:val="27"/>
          <w:szCs w:val="27"/>
          <w:cs/>
        </w:rPr>
        <w:t>สมาคมผู้ประกอบการพาณิชย์อิเล็กทรอนิกส์ไทย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ได้กล่าวถึง </w:t>
      </w:r>
      <w:r w:rsidRPr="00CD0536">
        <w:rPr>
          <w:rFonts w:ascii="CordiaUPC" w:hAnsi="CordiaUPC" w:cs="CordiaUPC"/>
          <w:sz w:val="28"/>
        </w:rPr>
        <w:t xml:space="preserve">Secure Sockets Layer (SSL) </w:t>
      </w:r>
      <w:r>
        <w:rPr>
          <w:rFonts w:ascii="CordiaUPC" w:hAnsi="CordiaUPC" w:cs="CordiaUPC" w:hint="cs"/>
          <w:sz w:val="28"/>
          <w:cs/>
        </w:rPr>
        <w:t>ว่าเป็น</w:t>
      </w:r>
      <w:r w:rsidRPr="00CD0536">
        <w:rPr>
          <w:rFonts w:ascii="CordiaUPC" w:hAnsi="CordiaUPC" w:cs="CordiaUPC"/>
          <w:sz w:val="28"/>
          <w:cs/>
        </w:rPr>
        <w:t xml:space="preserve"> ระบบการรักษาความปลอดภัยในเว็บไซต์ โดยการเข้ารหัส (</w:t>
      </w:r>
      <w:r w:rsidRPr="00CD0536">
        <w:rPr>
          <w:rFonts w:ascii="CordiaUPC" w:hAnsi="CordiaUPC" w:cs="CordiaUPC"/>
          <w:sz w:val="28"/>
        </w:rPr>
        <w:t xml:space="preserve">encrypt) </w:t>
      </w:r>
      <w:r w:rsidRPr="00CD0536">
        <w:rPr>
          <w:rFonts w:ascii="CordiaUPC" w:hAnsi="CordiaUPC" w:cs="CordiaUPC"/>
          <w:sz w:val="28"/>
          <w:cs/>
        </w:rPr>
        <w:t>ข้อมูลตัวมันเอง ใช้สำหรับการตรว</w:t>
      </w:r>
      <w:r>
        <w:rPr>
          <w:rFonts w:ascii="CordiaUPC" w:hAnsi="CordiaUPC" w:cs="CordiaUPC"/>
          <w:sz w:val="28"/>
          <w:cs/>
        </w:rPr>
        <w:t>จสอบ และยืนยันว่ามีตัวตนจริง ซ</w:t>
      </w:r>
      <w:r>
        <w:rPr>
          <w:rFonts w:ascii="CordiaUPC" w:hAnsi="CordiaUPC" w:cs="CordiaUPC" w:hint="cs"/>
          <w:sz w:val="28"/>
          <w:cs/>
        </w:rPr>
        <w:t>ึ่ง</w:t>
      </w:r>
      <w:r w:rsidRPr="00CD0536">
        <w:rPr>
          <w:rFonts w:ascii="CordiaUPC" w:hAnsi="CordiaUPC" w:cs="CordiaUPC"/>
          <w:sz w:val="28"/>
          <w:cs/>
        </w:rPr>
        <w:t xml:space="preserve">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CD0536">
        <w:rPr>
          <w:rFonts w:ascii="CordiaUPC" w:hAnsi="CordiaUPC" w:cs="CordiaUPC"/>
          <w:sz w:val="28"/>
        </w:rPr>
        <w:t xml:space="preserve">SSL </w:t>
      </w:r>
      <w:r w:rsidRPr="00CD0536">
        <w:rPr>
          <w:rFonts w:ascii="CordiaUPC" w:hAnsi="CordiaUPC" w:cs="CordiaUPC"/>
          <w:sz w:val="28"/>
          <w:cs/>
        </w:rPr>
        <w:t>หลังจากนั้นจะส่งใบรับรอง (</w:t>
      </w:r>
      <w:r w:rsidRPr="00CD0536">
        <w:rPr>
          <w:rFonts w:ascii="CordiaUPC" w:hAnsi="CordiaUPC" w:cs="CordiaUPC"/>
          <w:sz w:val="28"/>
        </w:rPr>
        <w:t xml:space="preserve">server Certificate) </w:t>
      </w:r>
      <w:r w:rsidRPr="00CD0536">
        <w:rPr>
          <w:rFonts w:ascii="CordiaUPC" w:hAnsi="CordiaUPC" w:cs="CordiaUPC"/>
          <w:sz w:val="28"/>
          <w:cs/>
        </w:rPr>
        <w:t>กลับมาพร้อมการเข้ารหัส จากนั้นคอมพิวเตอร์ของฝั่งผู้รับจ</w:t>
      </w:r>
      <w:r>
        <w:rPr>
          <w:rFonts w:ascii="CordiaUPC" w:hAnsi="CordiaUPC" w:cs="CordiaUPC"/>
          <w:sz w:val="28"/>
          <w:cs/>
        </w:rPr>
        <w:t>ะทำการตรวจสอบใบรับรองอีกที เพ</w:t>
      </w:r>
      <w:r>
        <w:rPr>
          <w:rFonts w:ascii="CordiaUPC" w:hAnsi="CordiaUPC" w:cs="CordiaUPC" w:hint="cs"/>
          <w:sz w:val="28"/>
          <w:cs/>
        </w:rPr>
        <w:t>ื่อ</w:t>
      </w:r>
      <w:r w:rsidRPr="00CD0536">
        <w:rPr>
          <w:rFonts w:ascii="CordiaUPC" w:hAnsi="CordiaUPC" w:cs="CordiaUPC"/>
          <w:sz w:val="28"/>
          <w:cs/>
        </w:rPr>
        <w:t>ตรวจสอบตัวตนของฝั่งผู้ค้า ทำให้การติดต่อสื่อสารถึงกันได้อย่างปลอดภัย</w:t>
      </w:r>
    </w:p>
    <w:p w:rsidR="00E05038" w:rsidRDefault="00CD0536" w:rsidP="00CD0536">
      <w:pPr>
        <w:jc w:val="thaiDistribute"/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และ </w:t>
      </w:r>
      <w:r w:rsidRPr="00CD0536">
        <w:rPr>
          <w:rFonts w:ascii="CordiaUPC" w:hAnsi="CordiaUPC" w:cs="CordiaUPC"/>
          <w:sz w:val="28"/>
        </w:rPr>
        <w:t xml:space="preserve">MasterCard SecureCode </w:t>
      </w:r>
      <w:r w:rsidRPr="00CD0536">
        <w:rPr>
          <w:rFonts w:ascii="CordiaUPC" w:hAnsi="CordiaUPC" w:cs="CordiaUPC"/>
          <w:sz w:val="28"/>
          <w:cs/>
        </w:rPr>
        <w:t>คือ นวัตกรรมใหม่ ที่ผสมผสานระหว่างเทคโนโลยี และการทำธุรกรรมทางการเงิน โดยออกแบบขึ้นเพื่อเพิ่มความมั่นใจ ความสะดวกสบาย ความปลอดภัยให้กับผู้บริโภค ในการนำบัตรวีซ่าและมาสเตอร์ไปใช้สำหรับการชำระเงินทางอินเตอร์เน็ตเช่นเดียวกับการใช้บัตรวีซ่าซื้อสินค้าตามร้านค้าปกติ โดยผู้ให้บริการบัตรเครดิต วีซ่า อินเตอร์เนชั่นแนล และมาสเตอร์คาร์ด อินเตอร์เนชั่นแนล ร่วมกันพัฒนาขึ้นเพื่อเพิ่มความปลอดภัยของการชำระค่าสินค้าและบริการผ่านบัตรเครดิตทางอินเตอร์เน็ต ด้วยระบบสอบถามรหัสผ่านส่วนตัว (</w:t>
      </w:r>
      <w:r w:rsidRPr="00CD0536">
        <w:rPr>
          <w:rFonts w:ascii="CordiaUPC" w:hAnsi="CordiaUPC" w:cs="CordiaUPC"/>
          <w:sz w:val="28"/>
        </w:rPr>
        <w:t xml:space="preserve">Password) </w:t>
      </w:r>
      <w:r w:rsidRPr="00CD0536">
        <w:rPr>
          <w:rFonts w:ascii="CordiaUPC" w:hAnsi="CordiaUPC" w:cs="CordiaUPC"/>
          <w:sz w:val="28"/>
          <w:cs/>
        </w:rPr>
        <w:t>และระบบการแสดงข้อความยืนยันส่วนตัว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Pr="00CD0536">
        <w:rPr>
          <w:rFonts w:ascii="CordiaUPC" w:hAnsi="CordiaUPC" w:cs="CordiaUPC"/>
          <w:sz w:val="28"/>
        </w:rPr>
        <w:t xml:space="preserve"> Message) </w:t>
      </w:r>
      <w:r w:rsidRPr="00CD0536">
        <w:rPr>
          <w:rFonts w:ascii="CordiaUPC" w:hAnsi="CordiaUPC" w:cs="CordiaUPC"/>
          <w:sz w:val="28"/>
          <w:cs/>
        </w:rPr>
        <w:t xml:space="preserve">ในทุกครั้งที่มีการชำระเงินทางอินเตอร์เน็ต ผู้ใช้งานสามารถใช้บริการ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SecureCode </w:t>
      </w:r>
      <w:r w:rsidRPr="00CD0536">
        <w:rPr>
          <w:rFonts w:ascii="CordiaUPC" w:hAnsi="CordiaUPC" w:cs="CordiaUPC"/>
          <w:sz w:val="28"/>
          <w:cs/>
        </w:rPr>
        <w:t xml:space="preserve">ในการชำระค่าสินค้าและบริการบนเว็บไซต์ที่มีโลโก้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SecureCode </w:t>
      </w:r>
      <w:r w:rsidRPr="00CD0536">
        <w:rPr>
          <w:rFonts w:ascii="CordiaUPC" w:hAnsi="CordiaUPC" w:cs="CordiaUPC"/>
          <w:sz w:val="28"/>
          <w:cs/>
        </w:rPr>
        <w:t>ได้ทั่วโลก เพียงใส่หมายเลขบัตรเครดิต ควบคู่ไปกับรหัสผ่านส่วนตัว (</w:t>
      </w:r>
      <w:r w:rsidRPr="00CD0536">
        <w:rPr>
          <w:rFonts w:ascii="CordiaUPC" w:hAnsi="CordiaUPC" w:cs="CordiaUPC"/>
          <w:sz w:val="28"/>
        </w:rPr>
        <w:t xml:space="preserve">Verified by VISA Password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SecureCode) </w:t>
      </w:r>
      <w:r w:rsidRPr="00CD0536">
        <w:rPr>
          <w:rFonts w:ascii="CordiaUPC" w:hAnsi="CordiaUPC" w:cs="CordiaUPC"/>
          <w:sz w:val="28"/>
          <w:cs/>
        </w:rPr>
        <w:t>ทางร้านค้าจะส่งข้อความยืนยันส่วนตัว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="00E05038"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</w:rPr>
        <w:t xml:space="preserve">Message) </w:t>
      </w:r>
      <w:r w:rsidRPr="00CD0536">
        <w:rPr>
          <w:rFonts w:ascii="CordiaUPC" w:hAnsi="CordiaUPC" w:cs="CordiaUPC"/>
          <w:sz w:val="28"/>
          <w:cs/>
        </w:rPr>
        <w:t xml:space="preserve">ที่ถูกต้องมาให้ผ่านหน้าเว็บไซต์ หากไม่มีข้อความส่งมา หรือข้อความที่ส่งมาไม่ถูกต้อง ควรยกเลิกการสั่งซื้อสินค้าทันที  </w:t>
      </w:r>
      <w:bookmarkStart w:id="0" w:name="_GoBack"/>
      <w:bookmarkEnd w:id="0"/>
    </w:p>
    <w:p w:rsidR="00E64A90" w:rsidRPr="00E64A90" w:rsidRDefault="00E64A90" w:rsidP="00E64A90">
      <w:pPr>
        <w:ind w:firstLine="360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7"/>
  </w:num>
  <w:num w:numId="5">
    <w:abstractNumId w:val="10"/>
  </w:num>
  <w:num w:numId="6">
    <w:abstractNumId w:val="19"/>
  </w:num>
  <w:num w:numId="7">
    <w:abstractNumId w:val="26"/>
  </w:num>
  <w:num w:numId="8">
    <w:abstractNumId w:val="12"/>
  </w:num>
  <w:num w:numId="9">
    <w:abstractNumId w:val="18"/>
  </w:num>
  <w:num w:numId="10">
    <w:abstractNumId w:val="29"/>
  </w:num>
  <w:num w:numId="11">
    <w:abstractNumId w:val="28"/>
  </w:num>
  <w:num w:numId="12">
    <w:abstractNumId w:val="32"/>
  </w:num>
  <w:num w:numId="13">
    <w:abstractNumId w:val="31"/>
  </w:num>
  <w:num w:numId="14">
    <w:abstractNumId w:val="21"/>
  </w:num>
  <w:num w:numId="15">
    <w:abstractNumId w:val="1"/>
  </w:num>
  <w:num w:numId="16">
    <w:abstractNumId w:val="9"/>
  </w:num>
  <w:num w:numId="17">
    <w:abstractNumId w:val="3"/>
  </w:num>
  <w:num w:numId="18">
    <w:abstractNumId w:val="23"/>
  </w:num>
  <w:num w:numId="19">
    <w:abstractNumId w:val="25"/>
  </w:num>
  <w:num w:numId="20">
    <w:abstractNumId w:val="4"/>
  </w:num>
  <w:num w:numId="21">
    <w:abstractNumId w:val="14"/>
  </w:num>
  <w:num w:numId="22">
    <w:abstractNumId w:val="22"/>
  </w:num>
  <w:num w:numId="23">
    <w:abstractNumId w:val="30"/>
  </w:num>
  <w:num w:numId="24">
    <w:abstractNumId w:val="13"/>
  </w:num>
  <w:num w:numId="25">
    <w:abstractNumId w:val="27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C6A72"/>
    <w:rsid w:val="002D0B9B"/>
    <w:rsid w:val="002D3BB7"/>
    <w:rsid w:val="002D3CCF"/>
    <w:rsid w:val="002D4B76"/>
    <w:rsid w:val="002F0299"/>
    <w:rsid w:val="00303218"/>
    <w:rsid w:val="00303296"/>
    <w:rsid w:val="003073F7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615BB"/>
    <w:rsid w:val="00567F3A"/>
    <w:rsid w:val="005A03E2"/>
    <w:rsid w:val="005A4D59"/>
    <w:rsid w:val="005B29CC"/>
    <w:rsid w:val="005D60B6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616BC"/>
    <w:rsid w:val="009624FD"/>
    <w:rsid w:val="00972A88"/>
    <w:rsid w:val="009C7305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668CA"/>
    <w:rsid w:val="00C747CB"/>
    <w:rsid w:val="00CC7749"/>
    <w:rsid w:val="00CD0536"/>
    <w:rsid w:val="00D03FB3"/>
    <w:rsid w:val="00D43078"/>
    <w:rsid w:val="00D65093"/>
    <w:rsid w:val="00D87E2E"/>
    <w:rsid w:val="00D9105D"/>
    <w:rsid w:val="00DA03CC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9488-6954-41AA-9607-4AE4509A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20</Pages>
  <Words>4421</Words>
  <Characters>25203</Characters>
  <Application>Microsoft Office Word</Application>
  <DocSecurity>0</DocSecurity>
  <Lines>210</Lines>
  <Paragraphs>59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154</cp:revision>
  <dcterms:created xsi:type="dcterms:W3CDTF">2016-04-24T07:57:00Z</dcterms:created>
  <dcterms:modified xsi:type="dcterms:W3CDTF">2016-07-21T08:06:00Z</dcterms:modified>
</cp:coreProperties>
</file>