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35C35" id="Rectangle 3" o:spid="_x0000_s1026" style="position:absolute;margin-left:416.2pt;margin-top:-95.5pt;width:22.3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9B3D84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2546:2)</w:t>
      </w:r>
      <w:r w:rsidR="0038344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Sect="00D14B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162C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206E70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206E70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5109E5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109E5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3843D8" w:rsidTr="00723C71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C71" w:rsidRPr="00037616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ข้อเสีย</w:t>
            </w:r>
          </w:p>
        </w:tc>
      </w:tr>
      <w:tr w:rsidR="00723C71" w:rsidRPr="003843D8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ตรงกับความต้องการของผู้ใช้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ลงทุนสูง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ใช้เวลาในการพัฒนานาน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3843D8" w:rsidTr="00723C71">
        <w:tc>
          <w:tcPr>
            <w:tcW w:w="3078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โปรแกรมสำเร็จรูป (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t>Package)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ราคาถูกกว่าพัฒนาโปรแกรมใช้เองมาก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br/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ไม่มีความยืดหยุ่น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206E70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3843D8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3843D8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highlight w:val="yellow"/>
          <w:cs/>
        </w:rPr>
        <w:t xml:space="preserve"> 1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206E70" w:rsidTr="00FB6D4C">
        <w:trPr>
          <w:trHeight w:val="280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206E70" w:rsidTr="00FB6D4C">
        <w:trPr>
          <w:trHeight w:val="1708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B6D4C">
        <w:trPr>
          <w:trHeight w:val="2275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FB6D4C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356C38" w:rsidRDefault="00356C38" w:rsidP="00356C38"/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206E70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720990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720990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720990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206E70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405D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D0405D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C6757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BC6757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="00837D12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>
        <w:rPr>
          <w:rFonts w:ascii="TH Sarabun New" w:hAnsi="TH Sarabun New" w:cs="TH Sarabun New"/>
          <w:sz w:val="28"/>
        </w:rPr>
        <w:t>,</w:t>
      </w:r>
      <w:r w:rsidR="00837D12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  <w:cs/>
        </w:rPr>
        <w:t xml:space="preserve">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F25208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206E70">
        <w:rPr>
          <w:rFonts w:ascii="TH Sarabun New" w:hAnsi="TH Sarabun New" w:cs="TH Sarabun New"/>
          <w:sz w:val="32"/>
          <w:szCs w:val="32"/>
          <w:cs/>
        </w:rPr>
        <w:t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D45CC4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85376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Pr="00206E70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Default="00D45CC4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>
        <w:rPr>
          <w:rFonts w:ascii="TH Sarabun New" w:hAnsi="TH Sarabun New" w:cs="TH Sarabun New" w:hint="cs"/>
          <w:sz w:val="28"/>
          <w:cs/>
        </w:rPr>
        <w:t xml:space="preserve"> </w:t>
      </w:r>
      <w:r w:rsidR="00D45CC4">
        <w:rPr>
          <w:rFonts w:ascii="TH Sarabun New" w:hAnsi="TH Sarabun New" w:cs="TH Sarabun New"/>
          <w:sz w:val="28"/>
        </w:rPr>
        <w:t>,</w:t>
      </w:r>
      <w:r w:rsidR="00D45CC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6918C4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>
        <w:rPr>
          <w:rFonts w:ascii="TH Sarabun New" w:hAnsi="TH Sarabun New" w:cs="TH Sarabun New"/>
          <w:sz w:val="28"/>
        </w:rPr>
        <w:t>,</w:t>
      </w:r>
      <w:r w:rsidR="00A841F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9C80" id="ลูกศรเชื่อมต่อแบบตรง 26" o:spid="_x0000_s1026" type="#_x0000_t32" style="position:absolute;margin-left:130.15pt;margin-top:104.2pt;width:44.35pt;height:0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1C49">
        <w:rPr>
          <w:rFonts w:ascii="TH Sarabun New" w:hAnsi="TH Sarabun New" w:cs="TH Sarabun New" w:hint="cs"/>
          <w:sz w:val="32"/>
          <w:szCs w:val="32"/>
          <w:highlight w:val="yellow"/>
          <w:cs/>
        </w:rPr>
        <w:t>ความ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="009F35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50937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31104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67" type="#_x0000_t202" style="position:absolute;left:0;text-align:left;margin-left:154.05pt;margin-top:34.25pt;width:204.15pt;height: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x6DgZ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Tnetsecurity,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206E70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206E70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AC47F5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>
        <w:rPr>
          <w:rFonts w:ascii="TH Sarabun New" w:hAnsi="TH Sarabun New" w:cs="TH Sarabun New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206E70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206E70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206E70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5D4D2C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Heroku</w:t>
      </w:r>
    </w:p>
    <w:p w:rsidR="00191FCD" w:rsidRPr="00DB78A4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Heroku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คือ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ที่ทำหน้าที่เป็น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Web Server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ได้ โดยสามารถรองรับภาษาโปรแกรมมิ่งต่างๆได้มากมาย เช่น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Java, Node.js, Scala, Clojure, Python, PHP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และ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 Go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เป็นต้น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Application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ได้ เช่น บริการฐานข้อมูล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บริการอีเมล์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,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บริการแจ้งเตือน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0A690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06E70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5D4D2C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ClearDB</w:t>
      </w:r>
    </w:p>
    <w:p w:rsidR="00BE044E" w:rsidRPr="005D4D2C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ClearDB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เป็นบริการระบบฐานข้อมูล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MySQL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บน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="00305180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มีความสะดวกและง่ายในการติดตั้งใช้งาน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MB 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5D4D2C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แนวทางการวิจัย</w:t>
      </w:r>
    </w:p>
    <w:p w:rsidR="002147B7" w:rsidRPr="00190F39" w:rsidRDefault="002147B7" w:rsidP="00531FCC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จากการทบทวนวรรณกรรมทั้งหมดพบว่าคุณสมบัติของซอฟต์แวร์ที่ดีได้แก่</w:t>
      </w:r>
      <w:r w:rsidR="00531FCC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คุณสมบัติของซอฟต์แวร์ ความเหมาะสมกับองค์กร ความเหมาะสมของราคา และความปลอดภัยของระบบ</w:t>
      </w:r>
    </w:p>
    <w:p w:rsidR="00191FCD" w:rsidRPr="00191FCD" w:rsidRDefault="00191FCD" w:rsidP="00240EF9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72" w:rsidRDefault="00672F72" w:rsidP="002C27AA">
      <w:pPr>
        <w:spacing w:after="0" w:line="240" w:lineRule="auto"/>
      </w:pPr>
      <w:r>
        <w:separator/>
      </w:r>
    </w:p>
  </w:endnote>
  <w:endnote w:type="continuationSeparator" w:id="0">
    <w:p w:rsidR="00672F72" w:rsidRDefault="00672F7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72" w:rsidRDefault="00672F72" w:rsidP="002C27AA">
      <w:pPr>
        <w:spacing w:after="0" w:line="240" w:lineRule="auto"/>
      </w:pPr>
      <w:r>
        <w:separator/>
      </w:r>
    </w:p>
  </w:footnote>
  <w:footnote w:type="continuationSeparator" w:id="0">
    <w:p w:rsidR="00672F72" w:rsidRDefault="00672F72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5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3E31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94127-69BA-4BEB-BFDD-0F8800CE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28</Pages>
  <Words>5125</Words>
  <Characters>29213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214</cp:revision>
  <cp:lastPrinted>2017-05-15T23:47:00Z</cp:lastPrinted>
  <dcterms:created xsi:type="dcterms:W3CDTF">2016-06-03T01:08:00Z</dcterms:created>
  <dcterms:modified xsi:type="dcterms:W3CDTF">2017-05-24T14:38:00Z</dcterms:modified>
</cp:coreProperties>
</file>