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Faculty Viva Code Reference</w:t>
      </w:r>
    </w:p>
    <w:p>
      <w:r>
        <w:t>Team 17  |  Tanay Mohta and Aditya Rawat</w:t>
      </w:r>
    </w:p>
    <w:p>
      <w:r>
        <w:t>Use this index to open the implementation relevant to a faculty question. In desktop Word, hold Ctrl and click a blue filename. The links target verified files in this project on this computer.</w:t>
      </w:r>
    </w:p>
    <w:p>
      <w:r>
        <w:t>Keep these five files ready first: pipeline.py, semantics.py, sentiwordnet.py, hybrid.py and research_runner.py. Python files apply logic; JSON/TSV files contain the configured rules and lexical data.</w:t>
      </w:r>
    </w:p>
    <w:p>
      <w:pPr>
        <w:pStyle w:val="Heading1"/>
      </w:pPr>
      <w:r>
        <w:t>Module 1 Preprocessing and validation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592"/>
        <w:gridCol w:w="4896"/>
      </w:tblGrid>
      <w:tr>
        <w:trPr>
          <w:cantSplit/>
          <w:tblHeader/>
        </w:trPr>
        <w:tc>
          <w:tcPr>
            <w:tcW w:type="dxa" w:w="2880"/>
            <w:shd w:fill="EEEEEE"/>
          </w:tcPr>
          <w:p>
            <w:pPr>
              <w:spacing w:after="80" w:before="60"/>
            </w:pPr>
            <w:r>
              <w:rPr>
                <w:b/>
              </w:rPr>
              <w:t>Faculty question or purpose</w:t>
            </w:r>
          </w:p>
        </w:tc>
        <w:tc>
          <w:tcPr>
            <w:tcW w:type="dxa" w:w="2592"/>
            <w:shd w:fill="EEEEEE"/>
          </w:tcPr>
          <w:p>
            <w:pPr>
              <w:spacing w:after="80" w:before="60"/>
            </w:pPr>
            <w:r>
              <w:rPr>
                <w:b/>
              </w:rPr>
              <w:t>Open file</w:t>
            </w:r>
          </w:p>
        </w:tc>
        <w:tc>
          <w:tcPr>
            <w:tcW w:type="dxa" w:w="4896"/>
            <w:shd w:fill="EEEEEE"/>
          </w:tcPr>
          <w:p>
            <w:pPr>
              <w:spacing w:after="80" w:before="60"/>
            </w:pPr>
            <w:r>
              <w:rPr>
                <w:b/>
              </w:rPr>
              <w:t>What to show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CSV reading and validation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9">
              <w:r>
                <w:rPr>
                  <w:color w:val="1155CC"/>
                  <w:u w:val="single"/>
                </w:rPr>
                <w:t>csv_input.py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Headers, rows, empty reviews, duplicate IDs and limits.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Compiler front end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10">
              <w:r>
                <w:rPr>
                  <w:color w:val="1155CC"/>
                  <w:u w:val="single"/>
                </w:rPr>
                <w:t>front_end.py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Validation followed by lexical, syntax and semantic processing.</w:t>
            </w:r>
          </w:p>
        </w:tc>
      </w:tr>
    </w:tbl>
    <w:p>
      <w:pPr>
        <w:pStyle w:val="Heading1"/>
      </w:pPr>
      <w:r>
        <w:t>Module 2 Lexical and grammatical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592"/>
        <w:gridCol w:w="4896"/>
      </w:tblGrid>
      <w:tr>
        <w:trPr>
          <w:cantSplit/>
          <w:tblHeader/>
        </w:trPr>
        <w:tc>
          <w:tcPr>
            <w:tcW w:type="dxa" w:w="2880"/>
            <w:shd w:fill="EEEEEE"/>
          </w:tcPr>
          <w:p>
            <w:pPr>
              <w:spacing w:after="80" w:before="60"/>
            </w:pPr>
            <w:r>
              <w:rPr>
                <w:b/>
              </w:rPr>
              <w:t>Faculty question or purpose</w:t>
            </w:r>
          </w:p>
        </w:tc>
        <w:tc>
          <w:tcPr>
            <w:tcW w:type="dxa" w:w="2592"/>
            <w:shd w:fill="EEEEEE"/>
          </w:tcPr>
          <w:p>
            <w:pPr>
              <w:spacing w:after="80" w:before="60"/>
            </w:pPr>
            <w:r>
              <w:rPr>
                <w:b/>
              </w:rPr>
              <w:t>Open file</w:t>
            </w:r>
          </w:p>
        </w:tc>
        <w:tc>
          <w:tcPr>
            <w:tcW w:type="dxa" w:w="4896"/>
            <w:shd w:fill="EEEEEE"/>
          </w:tcPr>
          <w:p>
            <w:pPr>
              <w:spacing w:after="80" w:before="60"/>
            </w:pPr>
            <w:r>
              <w:rPr>
                <w:b/>
              </w:rPr>
              <w:t>What to show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SentiWordNet lexical analysis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11">
              <w:r>
                <w:rPr>
                  <w:color w:val="1155CC"/>
                  <w:u w:val="single"/>
                </w:rPr>
                <w:t>lexer.py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Tokenization, longest phrase matching, contractions and guarded morphology.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Controlled syntax grammar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12">
              <w:r>
                <w:rPr>
                  <w:color w:val="1155CC"/>
                  <w:u w:val="single"/>
                </w:rPr>
                <w:t>parser.py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Predictive parsing and supported clause structures.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Additional grammar and recovery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13">
              <w:r>
                <w:rPr>
                  <w:color w:val="1155CC"/>
                  <w:u w:val="single"/>
                </w:rPr>
                <w:t>expanded_parser.py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Bounded recovery, coordination and limited reference handling.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Hybrid grammatical analysis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14">
              <w:r>
                <w:rPr>
                  <w:color w:val="1155CC"/>
                  <w:u w:val="single"/>
                </w:rPr>
                <w:t>hybrid_nlp.py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analyze_language: Pattern POS/chunks, source spans and opinion attachment.</w:t>
            </w:r>
          </w:p>
        </w:tc>
      </w:tr>
    </w:tbl>
    <w:p>
      <w:pPr>
        <w:pStyle w:val="Heading1"/>
      </w:pPr>
      <w:r>
        <w:t>Module 3 Semantic attachment and lexical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592"/>
        <w:gridCol w:w="4896"/>
      </w:tblGrid>
      <w:tr>
        <w:trPr>
          <w:cantSplit/>
          <w:tblHeader/>
        </w:trPr>
        <w:tc>
          <w:tcPr>
            <w:tcW w:type="dxa" w:w="2880"/>
            <w:shd w:fill="EEEEEE"/>
          </w:tcPr>
          <w:p>
            <w:pPr>
              <w:spacing w:after="80" w:before="60"/>
            </w:pPr>
            <w:r>
              <w:rPr>
                <w:b/>
              </w:rPr>
              <w:t>Faculty question or purpose</w:t>
            </w:r>
          </w:p>
        </w:tc>
        <w:tc>
          <w:tcPr>
            <w:tcW w:type="dxa" w:w="2592"/>
            <w:shd w:fill="EEEEEE"/>
          </w:tcPr>
          <w:p>
            <w:pPr>
              <w:spacing w:after="80" w:before="60"/>
            </w:pPr>
            <w:r>
              <w:rPr>
                <w:b/>
              </w:rPr>
              <w:t>Open file</w:t>
            </w:r>
          </w:p>
        </w:tc>
        <w:tc>
          <w:tcPr>
            <w:tcW w:type="dxa" w:w="4896"/>
            <w:shd w:fill="EEEEEE"/>
          </w:tcPr>
          <w:p>
            <w:pPr>
              <w:spacing w:after="80" w:before="60"/>
            </w:pPr>
            <w:r>
              <w:rPr>
                <w:b/>
              </w:rPr>
              <w:t>What to show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Categories, issues and compatibility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15">
              <w:r>
                <w:rPr>
                  <w:color w:val="1155CC"/>
                  <w:u w:val="single"/>
                </w:rPr>
                <w:t>semantics.py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analyze_semantics: bind opinions to targets and check semantic guards.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SentiWordNet vocabulary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16">
              <w:r>
                <w:rPr>
                  <w:color w:val="1155CC"/>
                  <w:u w:val="single"/>
                </w:rPr>
                <w:t>domain_expanded.json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Configured aspects, opinions, aliases, senses and modifiers.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Native SentiWordNet values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17">
              <w:r>
                <w:rPr>
                  <w:color w:val="1155CC"/>
                  <w:u w:val="single"/>
                </w:rPr>
                <w:t>sentiwordnet_expanded.tsv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Actual packaged synset rows with positive and negative source values.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Hybrid tools and fusion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18">
              <w:r>
                <w:rPr>
                  <w:color w:val="1155CC"/>
                  <w:u w:val="single"/>
                </w:rPr>
                <w:t>hybrid.py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HybridEngine._score_native and score_text: VADER, TextBlob, evidence flags and fusion.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Guarded vocabulary adaptation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19">
              <w:r>
                <w:rPr>
                  <w:color w:val="1155CC"/>
                  <w:u w:val="single"/>
                </w:rPr>
                <w:t>hybrid_vocabulary.py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normalize_opinions: scoring-copy substitutions and retained evidence.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Hybrid lexical catalog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20">
              <w:r>
                <w:rPr>
                  <w:color w:val="1155CC"/>
                  <w:u w:val="single"/>
                </w:rPr>
                <w:t>hybrid_vocabulary.json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Reviewed lexical forms and category guards.</w:t>
            </w:r>
          </w:p>
        </w:tc>
      </w:tr>
    </w:tbl>
    <w:p>
      <w:pPr>
        <w:pStyle w:val="Heading1"/>
      </w:pPr>
      <w:r>
        <w:t>Module 4 Adjustments and final records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592"/>
        <w:gridCol w:w="4896"/>
      </w:tblGrid>
      <w:tr>
        <w:trPr>
          <w:cantSplit/>
          <w:tblHeader/>
        </w:trPr>
        <w:tc>
          <w:tcPr>
            <w:tcW w:type="dxa" w:w="2880"/>
            <w:shd w:fill="EEEEEE"/>
          </w:tcPr>
          <w:p>
            <w:pPr>
              <w:spacing w:after="80" w:before="60"/>
            </w:pPr>
            <w:r>
              <w:rPr>
                <w:b/>
              </w:rPr>
              <w:t>Faculty question or purpose</w:t>
            </w:r>
          </w:p>
        </w:tc>
        <w:tc>
          <w:tcPr>
            <w:tcW w:type="dxa" w:w="2592"/>
            <w:shd w:fill="EEEEEE"/>
          </w:tcPr>
          <w:p>
            <w:pPr>
              <w:spacing w:after="80" w:before="60"/>
            </w:pPr>
            <w:r>
              <w:rPr>
                <w:b/>
              </w:rPr>
              <w:t>Open file</w:t>
            </w:r>
          </w:p>
        </w:tc>
        <w:tc>
          <w:tcPr>
            <w:tcW w:type="dxa" w:w="4896"/>
            <w:shd w:fill="EEEEEE"/>
          </w:tcPr>
          <w:p>
            <w:pPr>
              <w:spacing w:after="80" w:before="60"/>
            </w:pPr>
            <w:r>
              <w:rPr>
                <w:b/>
              </w:rPr>
              <w:t>What to show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SentiWordNet final scoring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21">
              <w:r>
                <w:rPr>
                  <w:color w:val="1155CC"/>
                  <w:u w:val="single"/>
                </w:rPr>
                <w:t>sentiwordnet.py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evaluate: native P-N, domain adjustments, degree, negation and clipping.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Hybrid context adjustments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14">
              <w:r>
                <w:rPr>
                  <w:color w:val="1155CC"/>
                  <w:u w:val="single"/>
                </w:rPr>
                <w:t>hybrid_nlp.py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domain_adjustment: match hotel rules and handle opposing rule signs.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Hybrid aspect and rule configuration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22">
              <w:r>
                <w:rPr>
                  <w:color w:val="1155CC"/>
                  <w:u w:val="single"/>
                </w:rPr>
                <w:t>hybrid_domain.json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Aspect dictionaries, context patterns and assigned rule scores.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Five labels and Mixed sentiment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23">
              <w:r>
                <w:rPr>
                  <w:color w:val="1155CC"/>
                  <w:u w:val="single"/>
                </w:rPr>
                <w:t>sentiment_policy.py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SentimentPolicy and overall_polarity: thresholds and coexistence of polarities.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SentiWordNet orchestration and status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24">
              <w:r>
                <w:rPr>
                  <w:color w:val="1155CC"/>
                  <w:u w:val="single"/>
                </w:rPr>
                <w:t>pipeline.py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analyze_review: connect stages and set Complete, Partial or Unsupported.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Review score and intermediate records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25">
              <w:r>
                <w:rPr>
                  <w:color w:val="1155CC"/>
                  <w:u w:val="single"/>
                </w:rPr>
                <w:t>models.py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AnalysisResult.review_score, source-linked records and evidence types.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Hybrid synthesis and status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18">
              <w:r>
                <w:rPr>
                  <w:color w:val="1155CC"/>
                  <w:u w:val="single"/>
                </w:rPr>
                <w:t>hybrid.py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analyze_hybrid_review and HybridAnalysis: aspect mean, Mixed and diagnostics.</w:t>
            </w:r>
          </w:p>
        </w:tc>
      </w:tr>
    </w:tbl>
    <w:p>
      <w:pPr>
        <w:pStyle w:val="Heading1"/>
      </w:pPr>
      <w:r>
        <w:t>Evaluation datasets and demonstration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592"/>
        <w:gridCol w:w="4896"/>
      </w:tblGrid>
      <w:tr>
        <w:trPr>
          <w:cantSplit/>
          <w:tblHeader/>
        </w:trPr>
        <w:tc>
          <w:tcPr>
            <w:tcW w:type="dxa" w:w="2880"/>
            <w:shd w:fill="EEEEEE"/>
          </w:tcPr>
          <w:p>
            <w:pPr>
              <w:spacing w:after="80" w:before="60"/>
            </w:pPr>
            <w:r>
              <w:rPr>
                <w:b/>
              </w:rPr>
              <w:t>Faculty question or purpose</w:t>
            </w:r>
          </w:p>
        </w:tc>
        <w:tc>
          <w:tcPr>
            <w:tcW w:type="dxa" w:w="2592"/>
            <w:shd w:fill="EEEEEE"/>
          </w:tcPr>
          <w:p>
            <w:pPr>
              <w:spacing w:after="80" w:before="60"/>
            </w:pPr>
            <w:r>
              <w:rPr>
                <w:b/>
              </w:rPr>
              <w:t>Open file</w:t>
            </w:r>
          </w:p>
        </w:tc>
        <w:tc>
          <w:tcPr>
            <w:tcW w:type="dxa" w:w="4896"/>
            <w:shd w:fill="EEEEEE"/>
          </w:tcPr>
          <w:p>
            <w:pPr>
              <w:spacing w:after="80" w:before="60"/>
            </w:pPr>
            <w:r>
              <w:rPr>
                <w:b/>
              </w:rPr>
              <w:t>What to show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SemEval human annotation reader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26">
              <w:r>
                <w:rPr>
                  <w:color w:val="1155CC"/>
                  <w:u w:val="single"/>
                </w:rPr>
                <w:t>research_data.py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load_semeval: read original sentences and human opinions from XML.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Tuple generation and matching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27">
              <w:r>
                <w:rPr>
                  <w:color w:val="1155CC"/>
                  <w:u w:val="single"/>
                </w:rPr>
                <w:t>research_runner.py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evaluate_semeval: mapped gold/predicted sets, intersections and tuple scores.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Classification metrics and mapping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28">
              <w:r>
                <w:rPr>
                  <w:color w:val="1155CC"/>
                  <w:u w:val="single"/>
                </w:rPr>
                <w:t>research_metrics.py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classification_metrics, category crosswalk and cluster bootstrap intervals.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Real dataset cleaning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29">
              <w:r>
                <w:rPr>
                  <w:color w:val="1155CC"/>
                  <w:u w:val="single"/>
                </w:rPr>
                <w:t>prepare_clean_booking_demo.py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Marker/whitespace cleanup, deduplication, sampling and provenance.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Website backend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30">
              <w:r>
                <w:rPr>
                  <w:color w:val="1155CC"/>
                  <w:u w:val="single"/>
                </w:rPr>
                <w:t>web.py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HTTP routes, review requests and CSV batch handling.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</w:rPr>
              <w:t>Dashboard and upload interface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hyperlink r:id="rId31">
              <w:r>
                <w:rPr>
                  <w:color w:val="1155CC"/>
                  <w:u w:val="single"/>
                </w:rPr>
                <w:t>dashboard.js</w:t>
              </w:r>
            </w:hyperlink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rPr>
                <w:b w:val="0"/>
              </w:rPr>
              <w:t>Automatic headers, CSV upload, charts and individual-review display.</w:t>
            </w:r>
          </w:p>
        </w:tc>
      </w:tr>
    </w:tbl>
    <w:p>
      <w:r>
        <w:t>The current paper uses two systems only: SentiWordNet and Hybrid. The filename domain_expanded.json identifies the current SentiWordNet configuration; it is not a third system. The hybrid independently uses Pattern grammar and its own attachment rules, rather than the SentiWordNet AST.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C:/Users/asus/Documents/ChatGPT/CD_Project/hotel_compiler/csv_input.py" TargetMode="External"/><Relationship Id="rId10" Type="http://schemas.openxmlformats.org/officeDocument/2006/relationships/hyperlink" Target="file:///C:/Users/asus/Documents/ChatGPT/CD_Project/hotel_compiler/front_end.py" TargetMode="External"/><Relationship Id="rId11" Type="http://schemas.openxmlformats.org/officeDocument/2006/relationships/hyperlink" Target="file:///C:/Users/asus/Documents/ChatGPT/CD_Project/hotel_compiler/lexer.py" TargetMode="External"/><Relationship Id="rId12" Type="http://schemas.openxmlformats.org/officeDocument/2006/relationships/hyperlink" Target="file:///C:/Users/asus/Documents/ChatGPT/CD_Project/hotel_compiler/parser.py" TargetMode="External"/><Relationship Id="rId13" Type="http://schemas.openxmlformats.org/officeDocument/2006/relationships/hyperlink" Target="file:///C:/Users/asus/Documents/ChatGPT/CD_Project/hotel_compiler/expanded_parser.py" TargetMode="External"/><Relationship Id="rId14" Type="http://schemas.openxmlformats.org/officeDocument/2006/relationships/hyperlink" Target="file:///C:/Users/asus/Documents/ChatGPT/CD_Project/hotel_compiler/hybrid_nlp.py" TargetMode="External"/><Relationship Id="rId15" Type="http://schemas.openxmlformats.org/officeDocument/2006/relationships/hyperlink" Target="file:///C:/Users/asus/Documents/ChatGPT/CD_Project/hotel_compiler/semantics.py" TargetMode="External"/><Relationship Id="rId16" Type="http://schemas.openxmlformats.org/officeDocument/2006/relationships/hyperlink" Target="file:///C:/Users/asus/Documents/ChatGPT/CD_Project/hotel_compiler/resources/domain_expanded.json" TargetMode="External"/><Relationship Id="rId17" Type="http://schemas.openxmlformats.org/officeDocument/2006/relationships/hyperlink" Target="file:///C:/Users/asus/Documents/ChatGPT/CD_Project/hotel_compiler/resources/sentiwordnet_expanded.tsv" TargetMode="External"/><Relationship Id="rId18" Type="http://schemas.openxmlformats.org/officeDocument/2006/relationships/hyperlink" Target="file:///C:/Users/asus/Documents/ChatGPT/CD_Project/hotel_compiler/hybrid.py" TargetMode="External"/><Relationship Id="rId19" Type="http://schemas.openxmlformats.org/officeDocument/2006/relationships/hyperlink" Target="file:///C:/Users/asus/Documents/ChatGPT/CD_Project/hotel_compiler/hybrid_vocabulary.py" TargetMode="External"/><Relationship Id="rId20" Type="http://schemas.openxmlformats.org/officeDocument/2006/relationships/hyperlink" Target="file:///C:/Users/asus/Documents/ChatGPT/CD_Project/hotel_compiler/resources/hybrid_vocabulary.json" TargetMode="External"/><Relationship Id="rId21" Type="http://schemas.openxmlformats.org/officeDocument/2006/relationships/hyperlink" Target="file:///C:/Users/asus/Documents/ChatGPT/CD_Project/hotel_compiler/sentiwordnet.py" TargetMode="External"/><Relationship Id="rId22" Type="http://schemas.openxmlformats.org/officeDocument/2006/relationships/hyperlink" Target="file:///C:/Users/asus/Documents/ChatGPT/CD_Project/hotel_compiler/resources/hybrid_domain.json" TargetMode="External"/><Relationship Id="rId23" Type="http://schemas.openxmlformats.org/officeDocument/2006/relationships/hyperlink" Target="file:///C:/Users/asus/Documents/ChatGPT/CD_Project/hotel_compiler/sentiment_policy.py" TargetMode="External"/><Relationship Id="rId24" Type="http://schemas.openxmlformats.org/officeDocument/2006/relationships/hyperlink" Target="file:///C:/Users/asus/Documents/ChatGPT/CD_Project/hotel_compiler/pipeline.py" TargetMode="External"/><Relationship Id="rId25" Type="http://schemas.openxmlformats.org/officeDocument/2006/relationships/hyperlink" Target="file:///C:/Users/asus/Documents/ChatGPT/CD_Project/hotel_compiler/models.py" TargetMode="External"/><Relationship Id="rId26" Type="http://schemas.openxmlformats.org/officeDocument/2006/relationships/hyperlink" Target="file:///C:/Users/asus/Documents/ChatGPT/CD_Project/hotel_compiler/research_data.py" TargetMode="External"/><Relationship Id="rId27" Type="http://schemas.openxmlformats.org/officeDocument/2006/relationships/hyperlink" Target="file:///C:/Users/asus/Documents/ChatGPT/CD_Project/hotel_compiler/research_runner.py" TargetMode="External"/><Relationship Id="rId28" Type="http://schemas.openxmlformats.org/officeDocument/2006/relationships/hyperlink" Target="file:///C:/Users/asus/Documents/ChatGPT/CD_Project/hotel_compiler/research_metrics.py" TargetMode="External"/><Relationship Id="rId29" Type="http://schemas.openxmlformats.org/officeDocument/2006/relationships/hyperlink" Target="file:///C:/Users/asus/Documents/ChatGPT/CD_Project/scripts/prepare_clean_booking_demo.py" TargetMode="External"/><Relationship Id="rId30" Type="http://schemas.openxmlformats.org/officeDocument/2006/relationships/hyperlink" Target="file:///C:/Users/asus/Documents/ChatGPT/CD_Project/hotel_compiler/web.py" TargetMode="External"/><Relationship Id="rId31" Type="http://schemas.openxmlformats.org/officeDocument/2006/relationships/hyperlink" Target="file:///C:/Users/asus/Documents/ChatGPT/CD_Project/hotel_compiler/web_assets/dashboard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